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FCAA8" w14:textId="77777777" w:rsidR="00C07B16" w:rsidRDefault="00C07B16" w:rsidP="00C37731">
      <w:pPr>
        <w:pStyle w:val="Spacerparatopoffirstpage"/>
        <w:rPr>
          <w:noProof w:val="0"/>
        </w:rPr>
      </w:pPr>
    </w:p>
    <w:p w14:paraId="1AEE2B20" w14:textId="39980475" w:rsidR="008979DF" w:rsidRPr="008C748D" w:rsidRDefault="008979DF" w:rsidP="00C37731">
      <w:pPr>
        <w:pStyle w:val="Spacerparatopoffirstpage"/>
        <w:rPr>
          <w:noProof w:val="0"/>
        </w:rPr>
        <w:sectPr w:rsidR="008979DF" w:rsidRPr="008C748D" w:rsidSect="00CE750D">
          <w:footerReference w:type="even" r:id="rId9"/>
          <w:footerReference w:type="default" r:id="rId10"/>
          <w:footerReference w:type="first" r:id="rId11"/>
          <w:type w:val="continuous"/>
          <w:pgSz w:w="11906" w:h="16838" w:code="9"/>
          <w:pgMar w:top="567" w:right="851" w:bottom="1134" w:left="1134" w:header="510" w:footer="510" w:gutter="0"/>
          <w:cols w:space="340"/>
          <w:docGrid w:linePitch="360"/>
        </w:sectPr>
      </w:pPr>
    </w:p>
    <w:p w14:paraId="3DF93BC6" w14:textId="77777777" w:rsidR="00306E5F" w:rsidRPr="0071365A" w:rsidRDefault="0075285D" w:rsidP="00C37731">
      <w:pPr>
        <w:pStyle w:val="Spacerparatopoffirstpage"/>
        <w:rPr>
          <w:noProof w:val="0"/>
        </w:rPr>
      </w:pPr>
      <w:r w:rsidRPr="0071365A">
        <w:rPr>
          <w:lang w:eastAsia="en-AU"/>
        </w:rPr>
        <w:drawing>
          <wp:anchor distT="0" distB="0" distL="114300" distR="114300" simplePos="0" relativeHeight="251652608" behindDoc="1" locked="1" layoutInCell="0" allowOverlap="1" wp14:anchorId="2520EE05" wp14:editId="7B580A42">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2">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71365A" w14:paraId="75F82DFD" w14:textId="77777777" w:rsidTr="001B5CC1">
        <w:trPr>
          <w:trHeight w:val="905"/>
        </w:trPr>
        <w:tc>
          <w:tcPr>
            <w:tcW w:w="9987" w:type="dxa"/>
            <w:shd w:val="clear" w:color="auto" w:fill="auto"/>
            <w:vAlign w:val="bottom"/>
          </w:tcPr>
          <w:p w14:paraId="1D76E9E8" w14:textId="6F6D54C7" w:rsidR="004946F4" w:rsidRPr="0071365A" w:rsidRDefault="00DE006F" w:rsidP="00337894">
            <w:pPr>
              <w:pStyle w:val="DPCmainheading"/>
            </w:pPr>
            <w:r w:rsidRPr="0071365A">
              <w:t>Glossary</w:t>
            </w:r>
          </w:p>
        </w:tc>
      </w:tr>
      <w:tr w:rsidR="005D6597" w:rsidRPr="0071365A" w14:paraId="74DF7E0B" w14:textId="77777777" w:rsidTr="001B5CC1">
        <w:trPr>
          <w:trHeight w:val="298"/>
        </w:trPr>
        <w:tc>
          <w:tcPr>
            <w:tcW w:w="9987" w:type="dxa"/>
            <w:shd w:val="clear" w:color="auto" w:fill="auto"/>
            <w:tcMar>
              <w:top w:w="284" w:type="dxa"/>
              <w:bottom w:w="454" w:type="dxa"/>
            </w:tcMar>
          </w:tcPr>
          <w:p w14:paraId="4D093267" w14:textId="7477AD46" w:rsidR="005D6597" w:rsidRPr="0071365A" w:rsidRDefault="00B76C97" w:rsidP="00B76C97">
            <w:pPr>
              <w:pStyle w:val="DPCmainsubheading"/>
            </w:pPr>
            <w:r w:rsidRPr="0071365A">
              <w:t>Automated Briefing and Correspondence</w:t>
            </w:r>
          </w:p>
        </w:tc>
      </w:tr>
    </w:tbl>
    <w:p w14:paraId="3CF36A07" w14:textId="77777777" w:rsidR="00E604DA" w:rsidRPr="0071365A" w:rsidRDefault="00E604DA" w:rsidP="00E604DA">
      <w:pPr>
        <w:pStyle w:val="DPCbody"/>
      </w:pPr>
    </w:p>
    <w:p w14:paraId="22EEE8D5" w14:textId="39F5AB14" w:rsidR="00893AF6" w:rsidRPr="0071365A" w:rsidRDefault="00DE006F" w:rsidP="005E4097">
      <w:pPr>
        <w:pStyle w:val="Heading1"/>
      </w:pPr>
      <w:r w:rsidRPr="0071365A">
        <w:t>Overview</w:t>
      </w:r>
    </w:p>
    <w:p w14:paraId="0DE94BC9" w14:textId="77E6B0A6" w:rsidR="00DE006F" w:rsidRPr="0071365A" w:rsidRDefault="00DE006F" w:rsidP="00DE006F">
      <w:pPr>
        <w:pStyle w:val="DPCbody"/>
      </w:pPr>
      <w:r w:rsidRPr="0071365A">
        <w:t xml:space="preserve">The automated briefing and correspondence </w:t>
      </w:r>
      <w:r w:rsidR="00F30561" w:rsidRPr="0071365A">
        <w:t xml:space="preserve">glossary </w:t>
      </w:r>
      <w:r w:rsidRPr="0071365A">
        <w:t>defines the terms and abbreviations used in the delivery of the Victorian Government’s automated briefing and correspondence governance model, policy, standards and guidelines.</w:t>
      </w:r>
    </w:p>
    <w:p w14:paraId="0DFF08C9" w14:textId="1D60C27C" w:rsidR="00DE006F" w:rsidRPr="0071365A" w:rsidRDefault="00DE006F" w:rsidP="00DE006F">
      <w:pPr>
        <w:pStyle w:val="DPCbody"/>
      </w:pPr>
      <w:r w:rsidRPr="0071365A">
        <w:t xml:space="preserve">The glossary only contains definitions specific to automated briefing and correspondence, refer to </w:t>
      </w:r>
      <w:hyperlink r:id="rId13" w:anchor="information-management-glossary" w:history="1">
        <w:r w:rsidRPr="00ED78CC">
          <w:rPr>
            <w:rStyle w:val="Hyperlink"/>
          </w:rPr>
          <w:t>IM</w:t>
        </w:r>
        <w:r w:rsidR="00E476B2" w:rsidRPr="00ED78CC">
          <w:rPr>
            <w:rStyle w:val="Hyperlink"/>
          </w:rPr>
          <w:t>/</w:t>
        </w:r>
        <w:r w:rsidRPr="00ED78CC">
          <w:rPr>
            <w:rStyle w:val="Hyperlink"/>
          </w:rPr>
          <w:t>GUIDE</w:t>
        </w:r>
        <w:r w:rsidR="00E476B2" w:rsidRPr="00ED78CC">
          <w:rPr>
            <w:rStyle w:val="Hyperlink"/>
          </w:rPr>
          <w:t>/</w:t>
        </w:r>
        <w:r w:rsidRPr="00ED78CC">
          <w:rPr>
            <w:rStyle w:val="Hyperlink"/>
          </w:rPr>
          <w:t>03 Information Management Glossary</w:t>
        </w:r>
      </w:hyperlink>
      <w:r w:rsidRPr="00ED78CC">
        <w:t xml:space="preserve"> </w:t>
      </w:r>
      <w:r w:rsidRPr="0071365A">
        <w:t xml:space="preserve">for terms and abbreviations in general use within the Victorian </w:t>
      </w:r>
      <w:r w:rsidR="00E476B2" w:rsidRPr="0071365A">
        <w:t>Government</w:t>
      </w:r>
      <w:r w:rsidR="00A14D21" w:rsidRPr="0071365A">
        <w:t>.</w:t>
      </w:r>
    </w:p>
    <w:p w14:paraId="4833A281" w14:textId="19A2BA8D" w:rsidR="00E5229A" w:rsidRDefault="00DE006F" w:rsidP="00DE006F">
      <w:pPr>
        <w:pStyle w:val="DPCbody"/>
      </w:pPr>
      <w:r w:rsidRPr="0071365A">
        <w:t>NOTE: This is a working document and will change over time.</w:t>
      </w:r>
    </w:p>
    <w:p w14:paraId="2E9978B9" w14:textId="77777777" w:rsidR="00034A58" w:rsidRDefault="00034A58" w:rsidP="00034A58">
      <w:pPr>
        <w:pStyle w:val="DPCbody"/>
        <w:keepNext/>
      </w:pPr>
      <w:r>
        <w:t>This document is yet to be formally approved and is published as guidance only. It is expected that when delivery of the common platform commences, under the requirements of VSB approved ABC SOD, the ABC Governance Model and associated standards and templates will be formally reviewed and approved.</w:t>
      </w:r>
    </w:p>
    <w:p w14:paraId="7FEE0FD1" w14:textId="77777777" w:rsidR="00E5229A" w:rsidRPr="0071365A" w:rsidRDefault="00E5229A" w:rsidP="00A455A0">
      <w:pPr>
        <w:pStyle w:val="DPCbody"/>
      </w:pPr>
    </w:p>
    <w:p w14:paraId="6AE1C6C6" w14:textId="77777777" w:rsidR="00E604DA" w:rsidRPr="0071365A" w:rsidRDefault="00E604DA" w:rsidP="00A455A0">
      <w:pPr>
        <w:pStyle w:val="DPCbody"/>
      </w:pPr>
    </w:p>
    <w:p w14:paraId="729391E3" w14:textId="77777777" w:rsidR="00E604DA" w:rsidRPr="0071365A" w:rsidRDefault="00E604DA" w:rsidP="00A455A0">
      <w:pPr>
        <w:pStyle w:val="DPCbody"/>
      </w:pPr>
    </w:p>
    <w:p w14:paraId="2250AA54" w14:textId="079E032F" w:rsidR="0046522F" w:rsidRPr="0071365A" w:rsidRDefault="0046522F" w:rsidP="0046522F">
      <w:pPr>
        <w:pStyle w:val="Heading1"/>
      </w:pPr>
    </w:p>
    <w:tbl>
      <w:tblPr>
        <w:tblStyle w:val="TableGrid"/>
        <w:tblW w:w="9923" w:type="dxa"/>
        <w:tblLook w:val="04A0" w:firstRow="1" w:lastRow="0" w:firstColumn="1" w:lastColumn="0" w:noHBand="0" w:noVBand="1"/>
      </w:tblPr>
      <w:tblGrid>
        <w:gridCol w:w="1735"/>
        <w:gridCol w:w="3510"/>
        <w:gridCol w:w="1559"/>
        <w:gridCol w:w="3119"/>
      </w:tblGrid>
      <w:tr w:rsidR="0046522F" w:rsidRPr="0071365A" w14:paraId="613F3ED9" w14:textId="77777777" w:rsidTr="00CF4A60">
        <w:tc>
          <w:tcPr>
            <w:tcW w:w="1735" w:type="dxa"/>
            <w:vAlign w:val="center"/>
          </w:tcPr>
          <w:p w14:paraId="0BA30B8C" w14:textId="77777777" w:rsidR="0046522F" w:rsidRPr="0071365A" w:rsidRDefault="0046522F" w:rsidP="0046522F">
            <w:pPr>
              <w:pStyle w:val="DPCtablecolhead"/>
              <w:spacing w:before="120" w:after="120"/>
            </w:pPr>
            <w:r w:rsidRPr="0071365A">
              <w:t>Applies to</w:t>
            </w:r>
          </w:p>
        </w:tc>
        <w:tc>
          <w:tcPr>
            <w:tcW w:w="3510" w:type="dxa"/>
            <w:vAlign w:val="center"/>
          </w:tcPr>
          <w:p w14:paraId="08FEA1BA" w14:textId="77777777" w:rsidR="0046522F" w:rsidRPr="0071365A" w:rsidRDefault="0046522F" w:rsidP="0046522F">
            <w:pPr>
              <w:pStyle w:val="DPCtabletext"/>
              <w:spacing w:before="120" w:after="120"/>
            </w:pPr>
            <w:r w:rsidRPr="0071365A">
              <w:t>All departments and Victoria Police</w:t>
            </w:r>
          </w:p>
        </w:tc>
        <w:tc>
          <w:tcPr>
            <w:tcW w:w="1559" w:type="dxa"/>
            <w:vAlign w:val="center"/>
          </w:tcPr>
          <w:p w14:paraId="2B8F01F6" w14:textId="77777777" w:rsidR="0046522F" w:rsidRPr="0071365A" w:rsidRDefault="0046522F" w:rsidP="0046522F">
            <w:pPr>
              <w:pStyle w:val="DPCtablecolhead"/>
              <w:spacing w:before="120" w:after="120"/>
            </w:pPr>
            <w:r w:rsidRPr="0071365A">
              <w:t>Authority</w:t>
            </w:r>
          </w:p>
        </w:tc>
        <w:tc>
          <w:tcPr>
            <w:tcW w:w="3119" w:type="dxa"/>
            <w:vAlign w:val="center"/>
          </w:tcPr>
          <w:p w14:paraId="284B0659" w14:textId="2EE55D25" w:rsidR="0046522F" w:rsidRPr="0071365A" w:rsidRDefault="00FF191D" w:rsidP="0046522F">
            <w:pPr>
              <w:pStyle w:val="DPCtabletext"/>
              <w:spacing w:before="120" w:after="120"/>
            </w:pPr>
            <w:r>
              <w:t>Digital Strategy and Transformation</w:t>
            </w:r>
            <w:r w:rsidR="008B1647">
              <w:t>, Department of Premier and Cabinet</w:t>
            </w:r>
          </w:p>
        </w:tc>
      </w:tr>
      <w:tr w:rsidR="0046522F" w:rsidRPr="0071365A" w14:paraId="651D34D8" w14:textId="77777777" w:rsidTr="00CF4A60">
        <w:tc>
          <w:tcPr>
            <w:tcW w:w="1735" w:type="dxa"/>
            <w:vAlign w:val="center"/>
          </w:tcPr>
          <w:p w14:paraId="525B05B7" w14:textId="77777777" w:rsidR="0046522F" w:rsidRPr="0071365A" w:rsidRDefault="0046522F" w:rsidP="0046522F">
            <w:pPr>
              <w:pStyle w:val="DPCtablecolhead"/>
              <w:spacing w:before="120" w:after="120"/>
            </w:pPr>
            <w:r w:rsidRPr="0071365A">
              <w:t>Period</w:t>
            </w:r>
          </w:p>
        </w:tc>
        <w:tc>
          <w:tcPr>
            <w:tcW w:w="3510" w:type="dxa"/>
            <w:vAlign w:val="center"/>
          </w:tcPr>
          <w:p w14:paraId="08F71321" w14:textId="61393A4B" w:rsidR="0046522F" w:rsidRPr="0071365A" w:rsidRDefault="00034A58" w:rsidP="0046522F">
            <w:pPr>
              <w:pStyle w:val="DPCtabletext"/>
              <w:spacing w:before="120" w:after="120"/>
            </w:pPr>
            <w:r>
              <w:t>To be determined</w:t>
            </w:r>
          </w:p>
        </w:tc>
        <w:tc>
          <w:tcPr>
            <w:tcW w:w="1559" w:type="dxa"/>
            <w:vAlign w:val="center"/>
          </w:tcPr>
          <w:p w14:paraId="09A57DB5" w14:textId="77777777" w:rsidR="0046522F" w:rsidRPr="0071365A" w:rsidRDefault="0046522F" w:rsidP="0046522F">
            <w:pPr>
              <w:pStyle w:val="DPCtablecolhead"/>
              <w:spacing w:before="120" w:after="120"/>
            </w:pPr>
            <w:r w:rsidRPr="0071365A">
              <w:t>Advised by</w:t>
            </w:r>
          </w:p>
        </w:tc>
        <w:tc>
          <w:tcPr>
            <w:tcW w:w="3119" w:type="dxa"/>
            <w:vAlign w:val="center"/>
          </w:tcPr>
          <w:p w14:paraId="2CD43C62" w14:textId="550D6F66" w:rsidR="0046522F" w:rsidRPr="0071365A" w:rsidRDefault="00A0335A" w:rsidP="0046522F">
            <w:pPr>
              <w:pStyle w:val="DPCtabletext"/>
              <w:spacing w:before="120" w:after="120"/>
            </w:pPr>
            <w:r>
              <w:t>N/A</w:t>
            </w:r>
          </w:p>
        </w:tc>
      </w:tr>
      <w:tr w:rsidR="0046522F" w:rsidRPr="0071365A" w14:paraId="42503A30" w14:textId="77777777" w:rsidTr="00CF4A60">
        <w:tc>
          <w:tcPr>
            <w:tcW w:w="1735" w:type="dxa"/>
            <w:vAlign w:val="center"/>
          </w:tcPr>
          <w:p w14:paraId="2C8139FB" w14:textId="77777777" w:rsidR="0046522F" w:rsidRPr="0071365A" w:rsidRDefault="0046522F" w:rsidP="0046522F">
            <w:pPr>
              <w:pStyle w:val="DPCtablecolhead"/>
              <w:spacing w:before="120" w:after="120"/>
            </w:pPr>
            <w:r w:rsidRPr="0071365A">
              <w:t>Issue Date</w:t>
            </w:r>
          </w:p>
        </w:tc>
        <w:tc>
          <w:tcPr>
            <w:tcW w:w="3510" w:type="dxa"/>
            <w:vAlign w:val="center"/>
          </w:tcPr>
          <w:p w14:paraId="749A2128" w14:textId="5229BCC4" w:rsidR="0046522F" w:rsidRPr="0071365A" w:rsidRDefault="0071365A" w:rsidP="0046522F">
            <w:pPr>
              <w:pStyle w:val="DPCtabletext"/>
              <w:spacing w:before="120" w:after="120"/>
            </w:pPr>
            <w:r>
              <w:t>To be determined</w:t>
            </w:r>
          </w:p>
        </w:tc>
        <w:tc>
          <w:tcPr>
            <w:tcW w:w="1559" w:type="dxa"/>
            <w:vAlign w:val="center"/>
          </w:tcPr>
          <w:p w14:paraId="57F6E69A" w14:textId="77777777" w:rsidR="0046522F" w:rsidRPr="0071365A" w:rsidRDefault="0046522F" w:rsidP="0046522F">
            <w:pPr>
              <w:pStyle w:val="DPCtablecolhead"/>
              <w:spacing w:before="120" w:after="120"/>
            </w:pPr>
            <w:r w:rsidRPr="0071365A">
              <w:t>Document ID</w:t>
            </w:r>
          </w:p>
        </w:tc>
        <w:tc>
          <w:tcPr>
            <w:tcW w:w="3119" w:type="dxa"/>
            <w:vAlign w:val="center"/>
          </w:tcPr>
          <w:p w14:paraId="35F99184" w14:textId="47418943" w:rsidR="0046522F" w:rsidRPr="0071365A" w:rsidRDefault="0071365A" w:rsidP="006E2ECF">
            <w:pPr>
              <w:pStyle w:val="DPCtabletext"/>
              <w:spacing w:before="120" w:after="120"/>
            </w:pPr>
            <w:r>
              <w:t>ABC-Guide-</w:t>
            </w:r>
            <w:r w:rsidR="00761073" w:rsidRPr="0071365A">
              <w:t>02</w:t>
            </w:r>
          </w:p>
        </w:tc>
      </w:tr>
      <w:tr w:rsidR="0046522F" w:rsidRPr="0071365A" w14:paraId="0EB4FB8B" w14:textId="77777777" w:rsidTr="00CF4A60">
        <w:tc>
          <w:tcPr>
            <w:tcW w:w="1735" w:type="dxa"/>
            <w:vAlign w:val="center"/>
          </w:tcPr>
          <w:p w14:paraId="1AD516FC" w14:textId="77777777" w:rsidR="0046522F" w:rsidRPr="0071365A" w:rsidRDefault="0046522F" w:rsidP="0046522F">
            <w:pPr>
              <w:pStyle w:val="DPCtablecolhead"/>
              <w:spacing w:before="120" w:after="120"/>
            </w:pPr>
            <w:r w:rsidRPr="0071365A">
              <w:t>Review Date</w:t>
            </w:r>
          </w:p>
        </w:tc>
        <w:tc>
          <w:tcPr>
            <w:tcW w:w="3510" w:type="dxa"/>
            <w:vAlign w:val="center"/>
          </w:tcPr>
          <w:p w14:paraId="7BDF8953" w14:textId="184DD255" w:rsidR="0046522F" w:rsidRPr="0071365A" w:rsidRDefault="0071365A" w:rsidP="0046522F">
            <w:pPr>
              <w:pStyle w:val="DPCtabletext"/>
              <w:spacing w:before="120" w:after="120"/>
            </w:pPr>
            <w:r>
              <w:t>To be determined</w:t>
            </w:r>
          </w:p>
        </w:tc>
        <w:tc>
          <w:tcPr>
            <w:tcW w:w="1559" w:type="dxa"/>
            <w:vAlign w:val="center"/>
          </w:tcPr>
          <w:p w14:paraId="49A435CE" w14:textId="77777777" w:rsidR="0046522F" w:rsidRPr="0071365A" w:rsidRDefault="0046522F" w:rsidP="0046522F">
            <w:pPr>
              <w:pStyle w:val="DPCtablecolhead"/>
              <w:spacing w:before="120" w:after="120"/>
            </w:pPr>
            <w:r w:rsidRPr="0071365A">
              <w:t>Version</w:t>
            </w:r>
          </w:p>
        </w:tc>
        <w:tc>
          <w:tcPr>
            <w:tcW w:w="3119" w:type="dxa"/>
            <w:vAlign w:val="center"/>
          </w:tcPr>
          <w:p w14:paraId="3BB0F508" w14:textId="18143D40" w:rsidR="0046522F" w:rsidRPr="0071365A" w:rsidRDefault="00845ACC" w:rsidP="000705CF">
            <w:pPr>
              <w:pStyle w:val="DPCtabletext"/>
              <w:spacing w:before="120" w:after="120"/>
            </w:pPr>
            <w:r>
              <w:t>1.0</w:t>
            </w:r>
          </w:p>
        </w:tc>
      </w:tr>
    </w:tbl>
    <w:p w14:paraId="5022A97C" w14:textId="77777777" w:rsidR="00E5229A" w:rsidRPr="0071365A" w:rsidRDefault="00E5229A" w:rsidP="00E5229A">
      <w:pPr>
        <w:spacing w:line="200" w:lineRule="exact"/>
        <w:ind w:left="101"/>
        <w:rPr>
          <w:rFonts w:ascii="Calibri" w:eastAsia="Calibri" w:hAnsi="Calibri" w:cs="Calibri"/>
        </w:rPr>
      </w:pPr>
    </w:p>
    <w:p w14:paraId="2F5FF1F8" w14:textId="110D5617" w:rsidR="00302EBD" w:rsidRPr="00A0335A" w:rsidRDefault="00E5229A" w:rsidP="00A0335A">
      <w:pPr>
        <w:spacing w:line="200" w:lineRule="exact"/>
        <w:rPr>
          <w:rFonts w:ascii="Arial" w:eastAsia="Cambria" w:hAnsi="Arial"/>
          <w:sz w:val="16"/>
          <w:szCs w:val="24"/>
        </w:rPr>
      </w:pPr>
      <w:r w:rsidRPr="0071365A">
        <w:rPr>
          <w:rFonts w:ascii="Arial" w:eastAsia="Cambria" w:hAnsi="Arial"/>
          <w:noProof/>
          <w:szCs w:val="24"/>
          <w:lang w:eastAsia="en-AU"/>
        </w:rPr>
        <w:drawing>
          <wp:anchor distT="0" distB="0" distL="114300" distR="114300" simplePos="0" relativeHeight="251661312" behindDoc="0" locked="0" layoutInCell="1" allowOverlap="1" wp14:anchorId="6527FB19" wp14:editId="49D8CFF0">
            <wp:simplePos x="0" y="0"/>
            <wp:positionH relativeFrom="column">
              <wp:align>left</wp:align>
            </wp:positionH>
            <wp:positionV relativeFrom="paragraph">
              <wp:align>top</wp:align>
            </wp:positionV>
            <wp:extent cx="750570" cy="27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0570" cy="275590"/>
                    </a:xfrm>
                    <a:prstGeom prst="rect">
                      <a:avLst/>
                    </a:prstGeom>
                    <a:noFill/>
                  </pic:spPr>
                </pic:pic>
              </a:graphicData>
            </a:graphic>
            <wp14:sizeRelH relativeFrom="page">
              <wp14:pctWidth>0</wp14:pctWidth>
            </wp14:sizeRelH>
            <wp14:sizeRelV relativeFrom="page">
              <wp14:pctHeight>0</wp14:pctHeight>
            </wp14:sizeRelV>
          </wp:anchor>
        </w:drawing>
      </w:r>
      <w:r w:rsidRPr="0071365A">
        <w:rPr>
          <w:rFonts w:ascii="Calibri" w:eastAsia="Calibri" w:hAnsi="Calibri" w:cs="Calibri"/>
        </w:rPr>
        <w:br w:type="textWrapping" w:clear="all"/>
      </w:r>
      <w:r w:rsidRPr="0071365A">
        <w:rPr>
          <w:spacing w:val="-1"/>
          <w:sz w:val="16"/>
        </w:rPr>
        <w:t>Except</w:t>
      </w:r>
      <w:r w:rsidRPr="0071365A">
        <w:rPr>
          <w:spacing w:val="-6"/>
          <w:sz w:val="16"/>
        </w:rPr>
        <w:t xml:space="preserve"> </w:t>
      </w:r>
      <w:r w:rsidRPr="0071365A">
        <w:rPr>
          <w:spacing w:val="-1"/>
          <w:sz w:val="16"/>
        </w:rPr>
        <w:t>for</w:t>
      </w:r>
      <w:r w:rsidRPr="0071365A">
        <w:rPr>
          <w:spacing w:val="-6"/>
          <w:sz w:val="16"/>
        </w:rPr>
        <w:t xml:space="preserve"> </w:t>
      </w:r>
      <w:r w:rsidRPr="0071365A">
        <w:rPr>
          <w:sz w:val="16"/>
        </w:rPr>
        <w:t>any</w:t>
      </w:r>
      <w:r w:rsidRPr="0071365A">
        <w:rPr>
          <w:spacing w:val="-5"/>
          <w:sz w:val="16"/>
        </w:rPr>
        <w:t xml:space="preserve"> </w:t>
      </w:r>
      <w:r w:rsidRPr="0071365A">
        <w:rPr>
          <w:spacing w:val="-1"/>
          <w:sz w:val="16"/>
        </w:rPr>
        <w:t>logos,</w:t>
      </w:r>
      <w:r w:rsidRPr="0071365A">
        <w:rPr>
          <w:spacing w:val="-6"/>
          <w:sz w:val="16"/>
        </w:rPr>
        <w:t xml:space="preserve"> </w:t>
      </w:r>
      <w:r w:rsidRPr="0071365A">
        <w:rPr>
          <w:sz w:val="16"/>
        </w:rPr>
        <w:t>emblems,</w:t>
      </w:r>
      <w:r w:rsidRPr="0071365A">
        <w:rPr>
          <w:spacing w:val="-6"/>
          <w:sz w:val="16"/>
        </w:rPr>
        <w:t xml:space="preserve"> </w:t>
      </w:r>
      <w:r w:rsidRPr="0071365A">
        <w:rPr>
          <w:spacing w:val="-1"/>
          <w:sz w:val="16"/>
        </w:rPr>
        <w:t>trademarks</w:t>
      </w:r>
      <w:r w:rsidRPr="0071365A">
        <w:rPr>
          <w:spacing w:val="-6"/>
          <w:sz w:val="16"/>
        </w:rPr>
        <w:t xml:space="preserve"> </w:t>
      </w:r>
      <w:r w:rsidRPr="0071365A">
        <w:rPr>
          <w:sz w:val="16"/>
        </w:rPr>
        <w:t>and</w:t>
      </w:r>
      <w:r w:rsidRPr="0071365A">
        <w:rPr>
          <w:spacing w:val="-6"/>
          <w:sz w:val="16"/>
        </w:rPr>
        <w:t xml:space="preserve"> </w:t>
      </w:r>
      <w:r w:rsidRPr="0071365A">
        <w:rPr>
          <w:sz w:val="16"/>
        </w:rPr>
        <w:t>contents</w:t>
      </w:r>
      <w:r w:rsidRPr="0071365A">
        <w:rPr>
          <w:spacing w:val="-6"/>
          <w:sz w:val="16"/>
        </w:rPr>
        <w:t xml:space="preserve"> </w:t>
      </w:r>
      <w:r w:rsidRPr="0071365A">
        <w:rPr>
          <w:sz w:val="16"/>
        </w:rPr>
        <w:t>attributed</w:t>
      </w:r>
      <w:r w:rsidRPr="0071365A">
        <w:rPr>
          <w:spacing w:val="-6"/>
          <w:sz w:val="16"/>
        </w:rPr>
        <w:t xml:space="preserve"> </w:t>
      </w:r>
      <w:r w:rsidRPr="0071365A">
        <w:rPr>
          <w:sz w:val="16"/>
        </w:rPr>
        <w:t>to</w:t>
      </w:r>
      <w:r w:rsidRPr="0071365A">
        <w:rPr>
          <w:spacing w:val="-5"/>
          <w:sz w:val="16"/>
        </w:rPr>
        <w:t xml:space="preserve"> </w:t>
      </w:r>
      <w:r w:rsidRPr="0071365A">
        <w:rPr>
          <w:sz w:val="16"/>
        </w:rPr>
        <w:t>other</w:t>
      </w:r>
      <w:r w:rsidRPr="0071365A">
        <w:rPr>
          <w:spacing w:val="-6"/>
          <w:sz w:val="16"/>
        </w:rPr>
        <w:t xml:space="preserve"> </w:t>
      </w:r>
      <w:r w:rsidRPr="0071365A">
        <w:rPr>
          <w:spacing w:val="-1"/>
          <w:sz w:val="16"/>
        </w:rPr>
        <w:t>parties,</w:t>
      </w:r>
      <w:r w:rsidRPr="0071365A">
        <w:rPr>
          <w:spacing w:val="-6"/>
          <w:sz w:val="16"/>
        </w:rPr>
        <w:t xml:space="preserve"> </w:t>
      </w:r>
      <w:r w:rsidRPr="0071365A">
        <w:rPr>
          <w:sz w:val="16"/>
        </w:rPr>
        <w:t>the statements of direction,</w:t>
      </w:r>
      <w:r w:rsidRPr="0071365A">
        <w:rPr>
          <w:spacing w:val="-6"/>
          <w:sz w:val="16"/>
        </w:rPr>
        <w:t xml:space="preserve"> </w:t>
      </w:r>
      <w:r w:rsidRPr="0071365A">
        <w:rPr>
          <w:spacing w:val="-1"/>
          <w:sz w:val="16"/>
        </w:rPr>
        <w:t>policies and</w:t>
      </w:r>
      <w:r w:rsidRPr="0071365A">
        <w:rPr>
          <w:spacing w:val="-3"/>
          <w:sz w:val="16"/>
        </w:rPr>
        <w:t xml:space="preserve"> </w:t>
      </w:r>
      <w:r w:rsidRPr="0071365A">
        <w:rPr>
          <w:spacing w:val="-1"/>
          <w:sz w:val="16"/>
        </w:rPr>
        <w:t>standards</w:t>
      </w:r>
      <w:r w:rsidRPr="0071365A">
        <w:rPr>
          <w:spacing w:val="-7"/>
          <w:sz w:val="16"/>
        </w:rPr>
        <w:t xml:space="preserve"> </w:t>
      </w:r>
      <w:r w:rsidRPr="0071365A">
        <w:rPr>
          <w:spacing w:val="1"/>
          <w:sz w:val="16"/>
        </w:rPr>
        <w:t>of</w:t>
      </w:r>
      <w:r w:rsidRPr="0071365A">
        <w:rPr>
          <w:spacing w:val="-7"/>
          <w:sz w:val="16"/>
        </w:rPr>
        <w:t xml:space="preserve"> </w:t>
      </w:r>
      <w:r w:rsidRPr="0071365A">
        <w:rPr>
          <w:sz w:val="16"/>
        </w:rPr>
        <w:t>the</w:t>
      </w:r>
      <w:r w:rsidRPr="0071365A">
        <w:rPr>
          <w:spacing w:val="-7"/>
          <w:sz w:val="16"/>
        </w:rPr>
        <w:t xml:space="preserve"> </w:t>
      </w:r>
      <w:r w:rsidRPr="0071365A">
        <w:rPr>
          <w:spacing w:val="-1"/>
          <w:sz w:val="16"/>
        </w:rPr>
        <w:t>Victorian</w:t>
      </w:r>
      <w:r w:rsidRPr="0071365A">
        <w:rPr>
          <w:spacing w:val="-6"/>
          <w:sz w:val="16"/>
        </w:rPr>
        <w:t xml:space="preserve"> </w:t>
      </w:r>
      <w:r w:rsidRPr="0071365A">
        <w:rPr>
          <w:sz w:val="16"/>
        </w:rPr>
        <w:t>Government</w:t>
      </w:r>
      <w:r w:rsidRPr="0071365A">
        <w:rPr>
          <w:spacing w:val="-6"/>
          <w:sz w:val="16"/>
        </w:rPr>
        <w:t xml:space="preserve">’s Victorian Secretaries Board or </w:t>
      </w:r>
      <w:r w:rsidRPr="0071365A">
        <w:rPr>
          <w:spacing w:val="-1"/>
          <w:sz w:val="16"/>
        </w:rPr>
        <w:t>CIO Leadership Group</w:t>
      </w:r>
      <w:r w:rsidRPr="0071365A">
        <w:rPr>
          <w:spacing w:val="-6"/>
          <w:sz w:val="16"/>
        </w:rPr>
        <w:t xml:space="preserve"> </w:t>
      </w:r>
      <w:r w:rsidRPr="0071365A">
        <w:rPr>
          <w:spacing w:val="1"/>
          <w:sz w:val="16"/>
        </w:rPr>
        <w:t>are</w:t>
      </w:r>
      <w:r w:rsidRPr="0071365A">
        <w:rPr>
          <w:spacing w:val="-7"/>
          <w:sz w:val="16"/>
        </w:rPr>
        <w:t xml:space="preserve"> </w:t>
      </w:r>
      <w:r w:rsidRPr="0071365A">
        <w:rPr>
          <w:sz w:val="16"/>
        </w:rPr>
        <w:t>licensed</w:t>
      </w:r>
      <w:r w:rsidRPr="0071365A">
        <w:rPr>
          <w:spacing w:val="-6"/>
          <w:sz w:val="16"/>
        </w:rPr>
        <w:t xml:space="preserve"> </w:t>
      </w:r>
      <w:r w:rsidRPr="0071365A">
        <w:rPr>
          <w:sz w:val="16"/>
        </w:rPr>
        <w:t>under</w:t>
      </w:r>
      <w:r w:rsidRPr="0071365A">
        <w:rPr>
          <w:spacing w:val="-6"/>
          <w:sz w:val="16"/>
        </w:rPr>
        <w:t xml:space="preserve"> </w:t>
      </w:r>
      <w:r w:rsidRPr="0071365A">
        <w:rPr>
          <w:sz w:val="16"/>
        </w:rPr>
        <w:t>the</w:t>
      </w:r>
      <w:r w:rsidRPr="0071365A">
        <w:rPr>
          <w:spacing w:val="-7"/>
          <w:sz w:val="16"/>
        </w:rPr>
        <w:t xml:space="preserve"> </w:t>
      </w:r>
      <w:r w:rsidRPr="0071365A">
        <w:rPr>
          <w:spacing w:val="-1"/>
          <w:sz w:val="16"/>
        </w:rPr>
        <w:t xml:space="preserve">Creative Commons Attribution 4.0 </w:t>
      </w:r>
      <w:r w:rsidRPr="0071365A">
        <w:rPr>
          <w:sz w:val="16"/>
        </w:rPr>
        <w:t>International licence. To view</w:t>
      </w:r>
      <w:r w:rsidRPr="0071365A">
        <w:rPr>
          <w:spacing w:val="-9"/>
          <w:sz w:val="16"/>
        </w:rPr>
        <w:t xml:space="preserve"> </w:t>
      </w:r>
      <w:r w:rsidRPr="0071365A">
        <w:rPr>
          <w:sz w:val="16"/>
        </w:rPr>
        <w:t>a</w:t>
      </w:r>
      <w:r w:rsidRPr="0071365A">
        <w:rPr>
          <w:spacing w:val="-8"/>
          <w:sz w:val="16"/>
        </w:rPr>
        <w:t xml:space="preserve"> </w:t>
      </w:r>
      <w:r w:rsidRPr="0071365A">
        <w:rPr>
          <w:sz w:val="16"/>
        </w:rPr>
        <w:t>copy</w:t>
      </w:r>
      <w:r w:rsidRPr="0071365A">
        <w:rPr>
          <w:spacing w:val="-7"/>
          <w:sz w:val="16"/>
        </w:rPr>
        <w:t xml:space="preserve"> </w:t>
      </w:r>
      <w:r w:rsidRPr="0071365A">
        <w:rPr>
          <w:sz w:val="16"/>
        </w:rPr>
        <w:t>of</w:t>
      </w:r>
      <w:r w:rsidRPr="0071365A">
        <w:rPr>
          <w:spacing w:val="-9"/>
          <w:sz w:val="16"/>
        </w:rPr>
        <w:t xml:space="preserve"> </w:t>
      </w:r>
      <w:r w:rsidRPr="0071365A">
        <w:rPr>
          <w:sz w:val="16"/>
        </w:rPr>
        <w:t>this</w:t>
      </w:r>
      <w:r w:rsidRPr="0071365A">
        <w:rPr>
          <w:spacing w:val="-9"/>
          <w:sz w:val="16"/>
        </w:rPr>
        <w:t xml:space="preserve"> </w:t>
      </w:r>
      <w:r w:rsidRPr="0071365A">
        <w:rPr>
          <w:sz w:val="16"/>
        </w:rPr>
        <w:t>licence</w:t>
      </w:r>
      <w:r w:rsidRPr="0071365A">
        <w:rPr>
          <w:spacing w:val="-1"/>
          <w:sz w:val="16"/>
        </w:rPr>
        <w:t>,</w:t>
      </w:r>
      <w:r w:rsidRPr="0071365A">
        <w:rPr>
          <w:spacing w:val="-8"/>
          <w:sz w:val="16"/>
        </w:rPr>
        <w:t xml:space="preserve"> </w:t>
      </w:r>
      <w:r w:rsidRPr="0071365A">
        <w:rPr>
          <w:sz w:val="16"/>
        </w:rPr>
        <w:t>visit</w:t>
      </w:r>
      <w:r w:rsidRPr="0071365A">
        <w:rPr>
          <w:spacing w:val="-5"/>
          <w:sz w:val="16"/>
        </w:rPr>
        <w:t xml:space="preserve"> </w:t>
      </w:r>
      <w:hyperlink r:id="rId15" w:history="1">
        <w:r w:rsidRPr="0071365A">
          <w:rPr>
            <w:rStyle w:val="Hyperlink"/>
            <w:rFonts w:eastAsia="MS Gothic"/>
            <w:sz w:val="16"/>
          </w:rPr>
          <w:t>https://creativecommons.org/licenses/by/4.0/</w:t>
        </w:r>
      </w:hyperlink>
      <w:r w:rsidRPr="0071365A">
        <w:rPr>
          <w:sz w:val="16"/>
        </w:rPr>
        <w:t>.</w:t>
      </w:r>
      <w:r w:rsidR="00302EBD" w:rsidRPr="0071365A">
        <w:br w:type="page"/>
      </w:r>
    </w:p>
    <w:p w14:paraId="0ED27091" w14:textId="764A13A1" w:rsidR="0046522F" w:rsidRPr="0071365A" w:rsidRDefault="00A14D21" w:rsidP="0046522F">
      <w:pPr>
        <w:pStyle w:val="Heading1"/>
      </w:pPr>
      <w:r w:rsidRPr="0071365A">
        <w:lastRenderedPageBreak/>
        <w:t>Definitions</w:t>
      </w:r>
    </w:p>
    <w:tbl>
      <w:tblPr>
        <w:tblStyle w:val="TableGrid"/>
        <w:tblW w:w="8697" w:type="dxa"/>
        <w:tblLook w:val="04A0" w:firstRow="1" w:lastRow="0" w:firstColumn="1" w:lastColumn="0" w:noHBand="0" w:noVBand="1"/>
      </w:tblPr>
      <w:tblGrid>
        <w:gridCol w:w="1843"/>
        <w:gridCol w:w="142"/>
        <w:gridCol w:w="5976"/>
        <w:gridCol w:w="401"/>
        <w:gridCol w:w="335"/>
      </w:tblGrid>
      <w:tr w:rsidR="00BA22C6" w:rsidRPr="0071365A" w14:paraId="43FCF893" w14:textId="77777777" w:rsidTr="00E052AD">
        <w:trPr>
          <w:gridAfter w:val="1"/>
          <w:wAfter w:w="335" w:type="dxa"/>
          <w:cantSplit/>
          <w:tblHeader/>
        </w:trPr>
        <w:tc>
          <w:tcPr>
            <w:tcW w:w="1843" w:type="dxa"/>
          </w:tcPr>
          <w:p w14:paraId="0E6727D9" w14:textId="77777777" w:rsidR="00BA22C6" w:rsidRPr="0071365A" w:rsidRDefault="00BA22C6" w:rsidP="00A14D21">
            <w:pPr>
              <w:pStyle w:val="DPCtablecolhead"/>
            </w:pPr>
            <w:r w:rsidRPr="0071365A">
              <w:t>Term</w:t>
            </w:r>
          </w:p>
        </w:tc>
        <w:tc>
          <w:tcPr>
            <w:tcW w:w="6519" w:type="dxa"/>
            <w:gridSpan w:val="3"/>
          </w:tcPr>
          <w:p w14:paraId="267079CA" w14:textId="77777777" w:rsidR="00BA22C6" w:rsidRPr="0071365A" w:rsidRDefault="00BA22C6" w:rsidP="00A14D21">
            <w:pPr>
              <w:pStyle w:val="DPCtablecolhead"/>
            </w:pPr>
            <w:r w:rsidRPr="0071365A">
              <w:t>Definition</w:t>
            </w:r>
          </w:p>
        </w:tc>
      </w:tr>
      <w:tr w:rsidR="00BA22C6" w:rsidRPr="0071365A" w14:paraId="74B2188E" w14:textId="77777777" w:rsidTr="00E052AD">
        <w:trPr>
          <w:gridAfter w:val="1"/>
          <w:wAfter w:w="335" w:type="dxa"/>
          <w:cantSplit/>
        </w:trPr>
        <w:tc>
          <w:tcPr>
            <w:tcW w:w="1843" w:type="dxa"/>
          </w:tcPr>
          <w:p w14:paraId="62DE5112" w14:textId="77777777" w:rsidR="00BA22C6" w:rsidRPr="0071365A" w:rsidRDefault="00BA22C6" w:rsidP="001173A4">
            <w:pPr>
              <w:pStyle w:val="DPCtabletext"/>
              <w:keepNext/>
              <w:rPr>
                <w:b/>
                <w:color w:val="0072CE"/>
                <w:sz w:val="24"/>
                <w:szCs w:val="24"/>
              </w:rPr>
            </w:pPr>
            <w:r w:rsidRPr="0071365A">
              <w:rPr>
                <w:b/>
                <w:color w:val="0072CE"/>
                <w:sz w:val="24"/>
                <w:szCs w:val="24"/>
              </w:rPr>
              <w:t>A</w:t>
            </w:r>
          </w:p>
        </w:tc>
        <w:tc>
          <w:tcPr>
            <w:tcW w:w="6519" w:type="dxa"/>
            <w:gridSpan w:val="3"/>
          </w:tcPr>
          <w:p w14:paraId="05D91974" w14:textId="77777777" w:rsidR="00BA22C6" w:rsidRPr="0071365A" w:rsidRDefault="00BA22C6" w:rsidP="001173A4">
            <w:pPr>
              <w:pStyle w:val="DPCtabletext"/>
              <w:keepNext/>
              <w:rPr>
                <w:b/>
                <w:color w:val="0072CE"/>
                <w:sz w:val="24"/>
                <w:szCs w:val="24"/>
              </w:rPr>
            </w:pPr>
          </w:p>
        </w:tc>
      </w:tr>
      <w:tr w:rsidR="00BA22C6" w:rsidRPr="0071365A" w14:paraId="388D3586" w14:textId="77777777" w:rsidTr="00E052AD">
        <w:trPr>
          <w:gridAfter w:val="1"/>
          <w:wAfter w:w="335" w:type="dxa"/>
          <w:cantSplit/>
        </w:trPr>
        <w:tc>
          <w:tcPr>
            <w:tcW w:w="1843" w:type="dxa"/>
          </w:tcPr>
          <w:p w14:paraId="10C6F95B" w14:textId="53949891" w:rsidR="00BA22C6" w:rsidRPr="00F335F6" w:rsidRDefault="00BA22C6" w:rsidP="00F335F6">
            <w:pPr>
              <w:pStyle w:val="DPCbody"/>
              <w:rPr>
                <w:sz w:val="20"/>
                <w:szCs w:val="20"/>
              </w:rPr>
            </w:pPr>
            <w:r w:rsidRPr="00F335F6">
              <w:rPr>
                <w:sz w:val="20"/>
                <w:szCs w:val="20"/>
              </w:rPr>
              <w:t>ABC</w:t>
            </w:r>
            <w:r w:rsidR="00F335F6">
              <w:rPr>
                <w:sz w:val="20"/>
                <w:szCs w:val="20"/>
              </w:rPr>
              <w:t xml:space="preserve"> </w:t>
            </w:r>
            <w:r w:rsidRPr="00F335F6">
              <w:rPr>
                <w:sz w:val="20"/>
                <w:szCs w:val="20"/>
              </w:rPr>
              <w:t>(Automated Briefs and Correspondence)</w:t>
            </w:r>
          </w:p>
        </w:tc>
        <w:tc>
          <w:tcPr>
            <w:tcW w:w="6519" w:type="dxa"/>
            <w:gridSpan w:val="3"/>
          </w:tcPr>
          <w:p w14:paraId="3C58DFC4" w14:textId="67231C54" w:rsidR="00BA22C6" w:rsidRPr="00F335F6" w:rsidRDefault="00BA22C6" w:rsidP="00F335F6">
            <w:pPr>
              <w:pStyle w:val="DPCbody"/>
              <w:rPr>
                <w:sz w:val="20"/>
                <w:szCs w:val="20"/>
              </w:rPr>
            </w:pPr>
            <w:r w:rsidRPr="00F335F6">
              <w:rPr>
                <w:sz w:val="20"/>
                <w:szCs w:val="20"/>
              </w:rPr>
              <w:t xml:space="preserve">Collective reference to the automated briefs and correspondence operation system, including the governance and operational structures and staff; policies, standards, guidelines, common processes, </w:t>
            </w:r>
            <w:r w:rsidR="00D51F3B" w:rsidRPr="00F335F6">
              <w:rPr>
                <w:sz w:val="20"/>
                <w:szCs w:val="20"/>
              </w:rPr>
              <w:t>common</w:t>
            </w:r>
            <w:r w:rsidRPr="00F335F6">
              <w:rPr>
                <w:sz w:val="20"/>
                <w:szCs w:val="20"/>
              </w:rPr>
              <w:t xml:space="preserve"> templates and any ICT solutions or products used by departments.</w:t>
            </w:r>
          </w:p>
        </w:tc>
      </w:tr>
      <w:tr w:rsidR="00BA22C6" w:rsidRPr="0071365A" w14:paraId="29F9BE2D" w14:textId="77777777" w:rsidTr="00E052AD">
        <w:trPr>
          <w:gridAfter w:val="1"/>
          <w:wAfter w:w="335" w:type="dxa"/>
          <w:cantSplit/>
        </w:trPr>
        <w:tc>
          <w:tcPr>
            <w:tcW w:w="1843" w:type="dxa"/>
          </w:tcPr>
          <w:p w14:paraId="1C4B2EEC" w14:textId="77777777" w:rsidR="00BA22C6" w:rsidRPr="00F335F6" w:rsidRDefault="00BA22C6" w:rsidP="00F335F6">
            <w:pPr>
              <w:pStyle w:val="DPCbody"/>
              <w:rPr>
                <w:sz w:val="20"/>
                <w:szCs w:val="20"/>
              </w:rPr>
            </w:pPr>
            <w:r w:rsidRPr="00F335F6">
              <w:rPr>
                <w:sz w:val="20"/>
                <w:szCs w:val="20"/>
              </w:rPr>
              <w:t>ABC common process</w:t>
            </w:r>
          </w:p>
        </w:tc>
        <w:tc>
          <w:tcPr>
            <w:tcW w:w="6519" w:type="dxa"/>
            <w:gridSpan w:val="3"/>
          </w:tcPr>
          <w:p w14:paraId="0B53D407" w14:textId="713300C2" w:rsidR="00BA22C6" w:rsidRPr="00F335F6" w:rsidRDefault="00BA22C6" w:rsidP="00F335F6">
            <w:pPr>
              <w:pStyle w:val="DPCbody"/>
              <w:rPr>
                <w:sz w:val="20"/>
                <w:szCs w:val="20"/>
              </w:rPr>
            </w:pPr>
            <w:r w:rsidRPr="00F335F6">
              <w:rPr>
                <w:sz w:val="20"/>
                <w:szCs w:val="20"/>
              </w:rPr>
              <w:t xml:space="preserve">The </w:t>
            </w:r>
            <w:r w:rsidR="001B0A6A">
              <w:rPr>
                <w:sz w:val="20"/>
                <w:szCs w:val="20"/>
              </w:rPr>
              <w:t>W</w:t>
            </w:r>
            <w:r w:rsidRPr="00F335F6">
              <w:rPr>
                <w:sz w:val="20"/>
                <w:szCs w:val="20"/>
              </w:rPr>
              <w:t>hole of Victorian Government automated briefing and correspondence process including a common process and language, roles and responsibilities and stages of delivery.</w:t>
            </w:r>
          </w:p>
        </w:tc>
      </w:tr>
      <w:tr w:rsidR="00BA22C6" w:rsidRPr="0071365A" w14:paraId="141087F6" w14:textId="77777777" w:rsidTr="00E052AD">
        <w:trPr>
          <w:gridAfter w:val="1"/>
          <w:wAfter w:w="335" w:type="dxa"/>
          <w:cantSplit/>
        </w:trPr>
        <w:tc>
          <w:tcPr>
            <w:tcW w:w="1843" w:type="dxa"/>
          </w:tcPr>
          <w:p w14:paraId="6D018F93" w14:textId="77777777" w:rsidR="00BA22C6" w:rsidRPr="00F335F6" w:rsidRDefault="00BA22C6" w:rsidP="00F335F6">
            <w:pPr>
              <w:pStyle w:val="DPCbody"/>
              <w:rPr>
                <w:sz w:val="20"/>
                <w:szCs w:val="20"/>
              </w:rPr>
            </w:pPr>
            <w:r w:rsidRPr="00F335F6">
              <w:rPr>
                <w:sz w:val="20"/>
                <w:szCs w:val="20"/>
              </w:rPr>
              <w:t>ABC governance model</w:t>
            </w:r>
          </w:p>
        </w:tc>
        <w:tc>
          <w:tcPr>
            <w:tcW w:w="6519" w:type="dxa"/>
            <w:gridSpan w:val="3"/>
          </w:tcPr>
          <w:p w14:paraId="6FEDE253" w14:textId="77777777" w:rsidR="00BA22C6" w:rsidRPr="00F335F6" w:rsidRDefault="00BA22C6" w:rsidP="00F335F6">
            <w:pPr>
              <w:pStyle w:val="DPCbody"/>
              <w:rPr>
                <w:sz w:val="20"/>
                <w:szCs w:val="20"/>
              </w:rPr>
            </w:pPr>
            <w:r w:rsidRPr="00F335F6">
              <w:rPr>
                <w:sz w:val="20"/>
                <w:szCs w:val="20"/>
              </w:rPr>
              <w:t>Where distinction is required between the ABC operational system and the ABC governance model, reference is made specifically to the ABC governance model.</w:t>
            </w:r>
          </w:p>
        </w:tc>
      </w:tr>
      <w:tr w:rsidR="00BA22C6" w:rsidRPr="0071365A" w14:paraId="78546AC7" w14:textId="77777777" w:rsidTr="00E052AD">
        <w:trPr>
          <w:gridAfter w:val="1"/>
          <w:wAfter w:w="335" w:type="dxa"/>
          <w:cantSplit/>
        </w:trPr>
        <w:tc>
          <w:tcPr>
            <w:tcW w:w="1843" w:type="dxa"/>
          </w:tcPr>
          <w:p w14:paraId="593C9AF1" w14:textId="77777777" w:rsidR="00BA22C6" w:rsidRPr="00F335F6" w:rsidRDefault="00BA22C6" w:rsidP="00F335F6">
            <w:pPr>
              <w:pStyle w:val="DPCbody"/>
              <w:rPr>
                <w:sz w:val="20"/>
                <w:szCs w:val="20"/>
              </w:rPr>
            </w:pPr>
            <w:r w:rsidRPr="00F335F6">
              <w:rPr>
                <w:sz w:val="20"/>
                <w:szCs w:val="20"/>
              </w:rPr>
              <w:t>ABC SOD</w:t>
            </w:r>
          </w:p>
        </w:tc>
        <w:tc>
          <w:tcPr>
            <w:tcW w:w="6519" w:type="dxa"/>
            <w:gridSpan w:val="3"/>
          </w:tcPr>
          <w:p w14:paraId="051100B2" w14:textId="4BAB0434" w:rsidR="00BA22C6" w:rsidRPr="00F335F6" w:rsidRDefault="00BA22C6" w:rsidP="00F335F6">
            <w:pPr>
              <w:pStyle w:val="DPCbody"/>
              <w:rPr>
                <w:sz w:val="20"/>
                <w:szCs w:val="20"/>
              </w:rPr>
            </w:pPr>
            <w:r w:rsidRPr="00F335F6">
              <w:rPr>
                <w:sz w:val="20"/>
                <w:szCs w:val="20"/>
              </w:rPr>
              <w:t>Automated Briefing and Correspondence Statement of Direction</w:t>
            </w:r>
            <w:r w:rsidR="00F335F6">
              <w:rPr>
                <w:sz w:val="20"/>
                <w:szCs w:val="20"/>
              </w:rPr>
              <w:t>.</w:t>
            </w:r>
          </w:p>
        </w:tc>
      </w:tr>
      <w:tr w:rsidR="00BA22C6" w:rsidRPr="0071365A" w14:paraId="739CBE7C" w14:textId="77777777" w:rsidTr="00E052AD">
        <w:trPr>
          <w:gridAfter w:val="1"/>
          <w:wAfter w:w="335" w:type="dxa"/>
          <w:cantSplit/>
        </w:trPr>
        <w:tc>
          <w:tcPr>
            <w:tcW w:w="1843" w:type="dxa"/>
          </w:tcPr>
          <w:p w14:paraId="34F9599D" w14:textId="55662BCC" w:rsidR="00BA22C6" w:rsidRPr="00F335F6" w:rsidRDefault="00BA22C6" w:rsidP="00F335F6">
            <w:pPr>
              <w:pStyle w:val="DPCbody"/>
              <w:rPr>
                <w:sz w:val="20"/>
                <w:szCs w:val="20"/>
              </w:rPr>
            </w:pPr>
            <w:r w:rsidRPr="00F335F6">
              <w:rPr>
                <w:sz w:val="20"/>
                <w:szCs w:val="20"/>
              </w:rPr>
              <w:t>AO</w:t>
            </w:r>
            <w:r w:rsidR="00F335F6">
              <w:rPr>
                <w:sz w:val="20"/>
                <w:szCs w:val="20"/>
              </w:rPr>
              <w:t xml:space="preserve"> </w:t>
            </w:r>
            <w:r w:rsidRPr="00F335F6">
              <w:rPr>
                <w:sz w:val="20"/>
                <w:szCs w:val="20"/>
              </w:rPr>
              <w:t>(Accountable Officer)</w:t>
            </w:r>
          </w:p>
        </w:tc>
        <w:tc>
          <w:tcPr>
            <w:tcW w:w="6519" w:type="dxa"/>
            <w:gridSpan w:val="3"/>
          </w:tcPr>
          <w:p w14:paraId="5CEFB918" w14:textId="77777777" w:rsidR="00BA22C6" w:rsidRPr="00F335F6" w:rsidRDefault="00BA22C6" w:rsidP="00F335F6">
            <w:pPr>
              <w:pStyle w:val="DPCbody"/>
              <w:rPr>
                <w:sz w:val="20"/>
                <w:szCs w:val="20"/>
              </w:rPr>
            </w:pPr>
            <w:r w:rsidRPr="00F335F6">
              <w:rPr>
                <w:sz w:val="20"/>
                <w:szCs w:val="20"/>
              </w:rPr>
              <w:t>The person ultimately accountable for the brief or correspondence including ensuring it reaches the Recommender in a form and timeframe suitable for recommendation. This includes compliance with all relevant legislation and regulation.</w:t>
            </w:r>
          </w:p>
        </w:tc>
      </w:tr>
      <w:tr w:rsidR="00BA22C6" w:rsidRPr="0071365A" w14:paraId="3B391771" w14:textId="77777777" w:rsidTr="00E052AD">
        <w:trPr>
          <w:gridAfter w:val="1"/>
          <w:wAfter w:w="335" w:type="dxa"/>
          <w:cantSplit/>
        </w:trPr>
        <w:tc>
          <w:tcPr>
            <w:tcW w:w="1843" w:type="dxa"/>
          </w:tcPr>
          <w:p w14:paraId="5F44830C" w14:textId="77777777" w:rsidR="00BA22C6" w:rsidRPr="00F335F6" w:rsidRDefault="00BA22C6" w:rsidP="00F335F6">
            <w:pPr>
              <w:pStyle w:val="DPCbody"/>
              <w:rPr>
                <w:sz w:val="20"/>
                <w:szCs w:val="20"/>
              </w:rPr>
            </w:pPr>
            <w:r w:rsidRPr="00F335F6">
              <w:rPr>
                <w:sz w:val="20"/>
                <w:szCs w:val="20"/>
              </w:rPr>
              <w:t>Approve</w:t>
            </w:r>
          </w:p>
        </w:tc>
        <w:tc>
          <w:tcPr>
            <w:tcW w:w="6519" w:type="dxa"/>
            <w:gridSpan w:val="3"/>
          </w:tcPr>
          <w:p w14:paraId="626441B1" w14:textId="77777777" w:rsidR="00BA22C6" w:rsidRPr="00F335F6" w:rsidRDefault="00BA22C6" w:rsidP="00F335F6">
            <w:pPr>
              <w:pStyle w:val="DPCbody"/>
              <w:rPr>
                <w:sz w:val="20"/>
                <w:szCs w:val="20"/>
              </w:rPr>
            </w:pPr>
            <w:r w:rsidRPr="00F335F6">
              <w:rPr>
                <w:sz w:val="20"/>
                <w:szCs w:val="20"/>
              </w:rPr>
              <w:t>The acceptance of the recommendation contained in a BPQC in whole and without modification.</w:t>
            </w:r>
          </w:p>
        </w:tc>
      </w:tr>
      <w:tr w:rsidR="00BA22C6" w:rsidRPr="0071365A" w14:paraId="5E5C4479" w14:textId="77777777" w:rsidTr="00E052AD">
        <w:trPr>
          <w:gridAfter w:val="1"/>
          <w:wAfter w:w="335" w:type="dxa"/>
          <w:cantSplit/>
        </w:trPr>
        <w:tc>
          <w:tcPr>
            <w:tcW w:w="1843" w:type="dxa"/>
          </w:tcPr>
          <w:p w14:paraId="1845125C" w14:textId="77777777" w:rsidR="00BA22C6" w:rsidRPr="00F335F6" w:rsidRDefault="00BA22C6" w:rsidP="00F335F6">
            <w:pPr>
              <w:pStyle w:val="DPCbody"/>
              <w:rPr>
                <w:sz w:val="20"/>
                <w:szCs w:val="20"/>
              </w:rPr>
            </w:pPr>
            <w:r w:rsidRPr="00F335F6">
              <w:rPr>
                <w:sz w:val="20"/>
                <w:szCs w:val="20"/>
              </w:rPr>
              <w:t>Approve with modifications</w:t>
            </w:r>
          </w:p>
        </w:tc>
        <w:tc>
          <w:tcPr>
            <w:tcW w:w="6519" w:type="dxa"/>
            <w:gridSpan w:val="3"/>
          </w:tcPr>
          <w:p w14:paraId="2CDE11C4" w14:textId="77777777" w:rsidR="00BA22C6" w:rsidRPr="00F335F6" w:rsidRDefault="00BA22C6" w:rsidP="00F335F6">
            <w:pPr>
              <w:pStyle w:val="DPCbody"/>
              <w:rPr>
                <w:sz w:val="20"/>
                <w:szCs w:val="20"/>
              </w:rPr>
            </w:pPr>
            <w:r w:rsidRPr="00F335F6">
              <w:rPr>
                <w:sz w:val="20"/>
                <w:szCs w:val="20"/>
              </w:rPr>
              <w:t>The acceptance of the recommendation contained in the BPQC with modifications ranging from minor modifications (amendments, enhancements, reductions etc.) to major modifications to the recommendation.</w:t>
            </w:r>
          </w:p>
        </w:tc>
      </w:tr>
      <w:tr w:rsidR="00BA22C6" w:rsidRPr="0071365A" w14:paraId="373876FA" w14:textId="77777777" w:rsidTr="00E052AD">
        <w:trPr>
          <w:gridAfter w:val="1"/>
          <w:wAfter w:w="335" w:type="dxa"/>
          <w:cantSplit/>
        </w:trPr>
        <w:tc>
          <w:tcPr>
            <w:tcW w:w="1843" w:type="dxa"/>
          </w:tcPr>
          <w:p w14:paraId="14BBBF9C" w14:textId="77777777" w:rsidR="00BA22C6" w:rsidRPr="0071365A" w:rsidRDefault="00BA22C6" w:rsidP="001173A4">
            <w:pPr>
              <w:pStyle w:val="DPCtabletext"/>
              <w:keepNext/>
              <w:rPr>
                <w:b/>
                <w:color w:val="0072CE"/>
                <w:sz w:val="24"/>
                <w:szCs w:val="24"/>
              </w:rPr>
            </w:pPr>
            <w:r w:rsidRPr="0071365A">
              <w:rPr>
                <w:b/>
                <w:color w:val="0072CE"/>
                <w:sz w:val="24"/>
                <w:szCs w:val="24"/>
              </w:rPr>
              <w:t>B</w:t>
            </w:r>
          </w:p>
        </w:tc>
        <w:tc>
          <w:tcPr>
            <w:tcW w:w="6519" w:type="dxa"/>
            <w:gridSpan w:val="3"/>
          </w:tcPr>
          <w:p w14:paraId="01B27B7F" w14:textId="77777777" w:rsidR="00BA22C6" w:rsidRPr="0071365A" w:rsidRDefault="00BA22C6" w:rsidP="001173A4">
            <w:pPr>
              <w:pStyle w:val="DPCtabletext"/>
              <w:keepNext/>
              <w:rPr>
                <w:b/>
                <w:color w:val="0072CE"/>
                <w:sz w:val="24"/>
                <w:szCs w:val="24"/>
              </w:rPr>
            </w:pPr>
          </w:p>
        </w:tc>
      </w:tr>
      <w:tr w:rsidR="00BA22C6" w:rsidRPr="0071365A" w14:paraId="46845031" w14:textId="77777777" w:rsidTr="00E052AD">
        <w:trPr>
          <w:gridAfter w:val="1"/>
          <w:wAfter w:w="335" w:type="dxa"/>
          <w:cantSplit/>
        </w:trPr>
        <w:tc>
          <w:tcPr>
            <w:tcW w:w="1843" w:type="dxa"/>
          </w:tcPr>
          <w:p w14:paraId="075B821C" w14:textId="19EDAD19" w:rsidR="00BA22C6" w:rsidRPr="00F335F6" w:rsidRDefault="00BA22C6" w:rsidP="00F335F6">
            <w:pPr>
              <w:pStyle w:val="DPCbody"/>
              <w:rPr>
                <w:sz w:val="20"/>
                <w:szCs w:val="20"/>
              </w:rPr>
            </w:pPr>
            <w:r w:rsidRPr="00F335F6">
              <w:rPr>
                <w:sz w:val="20"/>
                <w:szCs w:val="20"/>
              </w:rPr>
              <w:t>BPQC</w:t>
            </w:r>
            <w:r w:rsidR="00F335F6">
              <w:rPr>
                <w:sz w:val="20"/>
                <w:szCs w:val="20"/>
              </w:rPr>
              <w:t xml:space="preserve"> </w:t>
            </w:r>
            <w:r w:rsidRPr="00F335F6">
              <w:rPr>
                <w:sz w:val="20"/>
                <w:szCs w:val="20"/>
              </w:rPr>
              <w:t>(Briefs, Parliamentary Questions and Correspondence)</w:t>
            </w:r>
          </w:p>
        </w:tc>
        <w:tc>
          <w:tcPr>
            <w:tcW w:w="6519" w:type="dxa"/>
            <w:gridSpan w:val="3"/>
          </w:tcPr>
          <w:p w14:paraId="5C9B226B" w14:textId="77777777" w:rsidR="00BA22C6" w:rsidRPr="00F335F6" w:rsidRDefault="00BA22C6" w:rsidP="00F335F6">
            <w:pPr>
              <w:pStyle w:val="DPCbody"/>
              <w:rPr>
                <w:sz w:val="20"/>
                <w:szCs w:val="20"/>
              </w:rPr>
            </w:pPr>
            <w:r w:rsidRPr="00F335F6">
              <w:rPr>
                <w:sz w:val="20"/>
                <w:szCs w:val="20"/>
              </w:rPr>
              <w:t>Collective reference to the briefs and cabinet papers, parliamentary questions and correspondence that are currently managed by the departments as distinct for the ABC.</w:t>
            </w:r>
          </w:p>
        </w:tc>
      </w:tr>
      <w:tr w:rsidR="00BA22C6" w:rsidRPr="0071365A" w14:paraId="5228E232" w14:textId="77777777" w:rsidTr="00E052AD">
        <w:trPr>
          <w:gridAfter w:val="1"/>
          <w:wAfter w:w="335" w:type="dxa"/>
          <w:cantSplit/>
        </w:trPr>
        <w:tc>
          <w:tcPr>
            <w:tcW w:w="1843" w:type="dxa"/>
          </w:tcPr>
          <w:p w14:paraId="5D05422A" w14:textId="77777777" w:rsidR="00BA22C6" w:rsidRPr="00F335F6" w:rsidRDefault="00BA22C6" w:rsidP="00F335F6">
            <w:pPr>
              <w:pStyle w:val="DPCbody"/>
              <w:rPr>
                <w:sz w:val="20"/>
                <w:szCs w:val="20"/>
              </w:rPr>
            </w:pPr>
            <w:r w:rsidRPr="00F335F6">
              <w:rPr>
                <w:sz w:val="20"/>
                <w:szCs w:val="20"/>
              </w:rPr>
              <w:lastRenderedPageBreak/>
              <w:t>Brief</w:t>
            </w:r>
          </w:p>
        </w:tc>
        <w:tc>
          <w:tcPr>
            <w:tcW w:w="6519" w:type="dxa"/>
            <w:gridSpan w:val="3"/>
          </w:tcPr>
          <w:p w14:paraId="2DC82159" w14:textId="1641135B" w:rsidR="00BA22C6" w:rsidRPr="00F335F6" w:rsidRDefault="00BA22C6" w:rsidP="00F335F6">
            <w:pPr>
              <w:pStyle w:val="DPCbody"/>
              <w:rPr>
                <w:sz w:val="20"/>
                <w:szCs w:val="20"/>
              </w:rPr>
            </w:pPr>
            <w:r w:rsidRPr="00F335F6">
              <w:rPr>
                <w:sz w:val="20"/>
                <w:szCs w:val="20"/>
              </w:rPr>
              <w:t>A preparation of advice for decision by at least the next level up (in the department, Minister or Cabinet). The Decision Maker can be the Cabinet, Minister, Secretary, Deputy Secretary, Executive Director or Director.</w:t>
            </w:r>
          </w:p>
          <w:p w14:paraId="71B40FDF" w14:textId="77777777" w:rsidR="00BA22C6" w:rsidRPr="00F335F6" w:rsidRDefault="00BA22C6" w:rsidP="00F335F6">
            <w:pPr>
              <w:pStyle w:val="DPCbody"/>
              <w:rPr>
                <w:sz w:val="20"/>
                <w:szCs w:val="20"/>
              </w:rPr>
            </w:pPr>
            <w:r w:rsidRPr="00F335F6">
              <w:rPr>
                <w:sz w:val="20"/>
                <w:szCs w:val="20"/>
              </w:rPr>
              <w:t>A brief can cover the following topics:</w:t>
            </w:r>
          </w:p>
          <w:p w14:paraId="23D1D53A" w14:textId="77777777" w:rsidR="00BA22C6" w:rsidRPr="00F335F6" w:rsidRDefault="00BA22C6" w:rsidP="00F335F6">
            <w:pPr>
              <w:pStyle w:val="DPCbody"/>
              <w:rPr>
                <w:sz w:val="20"/>
                <w:szCs w:val="20"/>
              </w:rPr>
            </w:pPr>
            <w:r w:rsidRPr="00F335F6">
              <w:rPr>
                <w:sz w:val="20"/>
                <w:szCs w:val="20"/>
              </w:rPr>
              <w:t>Standard brief - a document prepared for the Decision Maker to inform them on key activities, tasks or events relevant to their portfolio.</w:t>
            </w:r>
          </w:p>
          <w:p w14:paraId="43EDC53F" w14:textId="77777777" w:rsidR="00BA22C6" w:rsidRPr="00F335F6" w:rsidRDefault="00BA22C6" w:rsidP="00F335F6">
            <w:pPr>
              <w:pStyle w:val="DPCbody"/>
              <w:rPr>
                <w:sz w:val="20"/>
                <w:szCs w:val="20"/>
              </w:rPr>
            </w:pPr>
            <w:r w:rsidRPr="00F335F6">
              <w:rPr>
                <w:sz w:val="20"/>
                <w:szCs w:val="20"/>
              </w:rPr>
              <w:t>Event brief - a brief to inform someone (higher next level authority) about an event that is expected to occur in the future.</w:t>
            </w:r>
          </w:p>
          <w:p w14:paraId="13B4DE0D" w14:textId="77777777" w:rsidR="00BA22C6" w:rsidRPr="00F335F6" w:rsidRDefault="00BA22C6" w:rsidP="00F335F6">
            <w:pPr>
              <w:pStyle w:val="DPCbody"/>
              <w:rPr>
                <w:sz w:val="20"/>
                <w:szCs w:val="20"/>
              </w:rPr>
            </w:pPr>
            <w:r w:rsidRPr="00F335F6">
              <w:rPr>
                <w:sz w:val="20"/>
                <w:szCs w:val="20"/>
              </w:rPr>
              <w:t>Correspondence response briefs – a brief in response to correspondence received by a department.</w:t>
            </w:r>
          </w:p>
          <w:p w14:paraId="1CB75C3C" w14:textId="77777777" w:rsidR="00BA22C6" w:rsidRPr="00F335F6" w:rsidRDefault="00BA22C6" w:rsidP="00F335F6">
            <w:pPr>
              <w:pStyle w:val="DPCbody"/>
              <w:rPr>
                <w:sz w:val="20"/>
                <w:szCs w:val="20"/>
              </w:rPr>
            </w:pPr>
            <w:r w:rsidRPr="00F335F6">
              <w:rPr>
                <w:sz w:val="20"/>
                <w:szCs w:val="20"/>
              </w:rPr>
              <w:t>Regulatory briefs – a brief to inform Minister of impending regulation affecting/impacting their department.</w:t>
            </w:r>
          </w:p>
          <w:p w14:paraId="415A3686" w14:textId="7ACD2996" w:rsidR="00BA22C6" w:rsidRPr="00F335F6" w:rsidRDefault="00BA22C6" w:rsidP="00F335F6">
            <w:pPr>
              <w:pStyle w:val="DPCbody"/>
              <w:rPr>
                <w:sz w:val="20"/>
                <w:szCs w:val="20"/>
              </w:rPr>
            </w:pPr>
            <w:r w:rsidRPr="00F335F6">
              <w:rPr>
                <w:sz w:val="20"/>
                <w:szCs w:val="20"/>
              </w:rPr>
              <w:t>Cabinet briefs – a briefing to inform Cabinet of information</w:t>
            </w:r>
            <w:r w:rsidR="00F335F6" w:rsidRPr="00F335F6">
              <w:rPr>
                <w:sz w:val="20"/>
                <w:szCs w:val="20"/>
              </w:rPr>
              <w:t>.</w:t>
            </w:r>
          </w:p>
          <w:p w14:paraId="3CEA8C85" w14:textId="77777777" w:rsidR="00BA22C6" w:rsidRPr="00F335F6" w:rsidRDefault="00BA22C6" w:rsidP="00F335F6">
            <w:pPr>
              <w:pStyle w:val="DPCbody"/>
              <w:rPr>
                <w:sz w:val="20"/>
                <w:szCs w:val="20"/>
              </w:rPr>
            </w:pPr>
            <w:r w:rsidRPr="00F335F6">
              <w:rPr>
                <w:sz w:val="20"/>
                <w:szCs w:val="20"/>
              </w:rPr>
              <w:t>Cabinet submissions – a brief to inform Cabinet of a new policy proposal.</w:t>
            </w:r>
          </w:p>
          <w:p w14:paraId="0D1D9BFE" w14:textId="77777777" w:rsidR="00BA22C6" w:rsidRPr="00F335F6" w:rsidRDefault="00BA22C6" w:rsidP="00F335F6">
            <w:pPr>
              <w:pStyle w:val="DPCbody"/>
              <w:rPr>
                <w:sz w:val="20"/>
                <w:szCs w:val="20"/>
              </w:rPr>
            </w:pPr>
            <w:r w:rsidRPr="00F335F6">
              <w:rPr>
                <w:sz w:val="20"/>
                <w:szCs w:val="20"/>
              </w:rPr>
              <w:t>Adjournment debate briefs - a brief to respond to an adjournment debate question asked to the Minister in Parliament.</w:t>
            </w:r>
          </w:p>
          <w:p w14:paraId="43F6124D" w14:textId="77777777" w:rsidR="00BA22C6" w:rsidRPr="00F335F6" w:rsidRDefault="00BA22C6" w:rsidP="00F335F6">
            <w:pPr>
              <w:pStyle w:val="DPCbody"/>
              <w:rPr>
                <w:sz w:val="20"/>
                <w:szCs w:val="20"/>
              </w:rPr>
            </w:pPr>
            <w:r w:rsidRPr="00F335F6">
              <w:rPr>
                <w:sz w:val="20"/>
                <w:szCs w:val="20"/>
              </w:rPr>
              <w:t>The ABC scope does not include PAEC briefs.</w:t>
            </w:r>
          </w:p>
        </w:tc>
      </w:tr>
      <w:tr w:rsidR="00BA22C6" w:rsidRPr="0071365A" w14:paraId="2DFFD13C" w14:textId="77777777" w:rsidTr="00E052AD">
        <w:trPr>
          <w:gridAfter w:val="1"/>
          <w:wAfter w:w="335" w:type="dxa"/>
          <w:cantSplit/>
        </w:trPr>
        <w:tc>
          <w:tcPr>
            <w:tcW w:w="1843" w:type="dxa"/>
          </w:tcPr>
          <w:p w14:paraId="057A8A49" w14:textId="77777777" w:rsidR="00BA22C6" w:rsidRPr="0071365A" w:rsidRDefault="00BA22C6" w:rsidP="001173A4">
            <w:pPr>
              <w:pStyle w:val="DPCtabletext"/>
              <w:keepNext/>
              <w:rPr>
                <w:b/>
                <w:color w:val="0072CE"/>
                <w:sz w:val="24"/>
                <w:szCs w:val="24"/>
              </w:rPr>
            </w:pPr>
            <w:r w:rsidRPr="0071365A">
              <w:rPr>
                <w:b/>
                <w:color w:val="0072CE"/>
                <w:sz w:val="24"/>
                <w:szCs w:val="24"/>
              </w:rPr>
              <w:t>C</w:t>
            </w:r>
          </w:p>
        </w:tc>
        <w:tc>
          <w:tcPr>
            <w:tcW w:w="6519" w:type="dxa"/>
            <w:gridSpan w:val="3"/>
          </w:tcPr>
          <w:p w14:paraId="4917B822" w14:textId="77777777" w:rsidR="00BA22C6" w:rsidRPr="0071365A" w:rsidRDefault="00BA22C6" w:rsidP="001173A4">
            <w:pPr>
              <w:pStyle w:val="DPCtabletext"/>
              <w:keepNext/>
              <w:rPr>
                <w:b/>
                <w:color w:val="0072CE"/>
                <w:sz w:val="24"/>
                <w:szCs w:val="24"/>
              </w:rPr>
            </w:pPr>
          </w:p>
        </w:tc>
      </w:tr>
      <w:tr w:rsidR="00BA22C6" w:rsidRPr="0071365A" w14:paraId="3F80B193" w14:textId="77777777" w:rsidTr="00E052AD">
        <w:trPr>
          <w:gridAfter w:val="1"/>
          <w:wAfter w:w="335" w:type="dxa"/>
          <w:cantSplit/>
        </w:trPr>
        <w:tc>
          <w:tcPr>
            <w:tcW w:w="1843" w:type="dxa"/>
          </w:tcPr>
          <w:p w14:paraId="4A0ABF51" w14:textId="77777777" w:rsidR="00BA22C6" w:rsidRPr="00F335F6" w:rsidRDefault="00BA22C6" w:rsidP="00F335F6">
            <w:pPr>
              <w:pStyle w:val="DPCbody"/>
              <w:rPr>
                <w:sz w:val="20"/>
                <w:szCs w:val="20"/>
              </w:rPr>
            </w:pPr>
            <w:r w:rsidRPr="00F335F6">
              <w:rPr>
                <w:sz w:val="20"/>
                <w:szCs w:val="20"/>
              </w:rPr>
              <w:t>Correspondence (hard copy)</w:t>
            </w:r>
          </w:p>
        </w:tc>
        <w:tc>
          <w:tcPr>
            <w:tcW w:w="6519" w:type="dxa"/>
            <w:gridSpan w:val="3"/>
          </w:tcPr>
          <w:p w14:paraId="195A5C12" w14:textId="77777777" w:rsidR="00BA22C6" w:rsidRPr="00F335F6" w:rsidRDefault="00BA22C6" w:rsidP="00F335F6">
            <w:pPr>
              <w:pStyle w:val="DPCbody"/>
              <w:rPr>
                <w:sz w:val="20"/>
                <w:szCs w:val="20"/>
              </w:rPr>
            </w:pPr>
            <w:r w:rsidRPr="00F335F6">
              <w:rPr>
                <w:sz w:val="20"/>
                <w:szCs w:val="20"/>
              </w:rPr>
              <w:t>A hard copy correspondence is from entities external to the receiving department that requires a response. It could be addressed to the Minister, Premier or department from someone outside the department. It requires a hardcopy response.</w:t>
            </w:r>
          </w:p>
          <w:p w14:paraId="3A8AE99E" w14:textId="77777777" w:rsidR="00BA22C6" w:rsidRPr="00F335F6" w:rsidRDefault="00BA22C6" w:rsidP="00F335F6">
            <w:pPr>
              <w:pStyle w:val="DPCbody"/>
              <w:rPr>
                <w:sz w:val="20"/>
                <w:szCs w:val="20"/>
              </w:rPr>
            </w:pPr>
            <w:r w:rsidRPr="00F335F6">
              <w:rPr>
                <w:sz w:val="20"/>
                <w:szCs w:val="20"/>
              </w:rPr>
              <w:t>Hardcopy, inbound – any form of hardcopy correspondence which is send to a department or Minister.</w:t>
            </w:r>
          </w:p>
          <w:p w14:paraId="7E312C62" w14:textId="77777777" w:rsidR="00BA22C6" w:rsidRPr="00F335F6" w:rsidRDefault="00BA22C6" w:rsidP="00F335F6">
            <w:pPr>
              <w:pStyle w:val="DPCbody"/>
              <w:rPr>
                <w:sz w:val="20"/>
                <w:szCs w:val="20"/>
              </w:rPr>
            </w:pPr>
            <w:r w:rsidRPr="00F335F6">
              <w:rPr>
                <w:sz w:val="20"/>
                <w:szCs w:val="20"/>
              </w:rPr>
              <w:t>Hardcopy, outbound – a communication sent from a department to another department or someone outside the Victorian Government.</w:t>
            </w:r>
          </w:p>
        </w:tc>
      </w:tr>
      <w:tr w:rsidR="00BA22C6" w:rsidRPr="0071365A" w14:paraId="5AA7A63C" w14:textId="77777777" w:rsidTr="00E052AD">
        <w:trPr>
          <w:gridAfter w:val="1"/>
          <w:wAfter w:w="335" w:type="dxa"/>
          <w:cantSplit/>
        </w:trPr>
        <w:tc>
          <w:tcPr>
            <w:tcW w:w="1843" w:type="dxa"/>
          </w:tcPr>
          <w:p w14:paraId="4729258D" w14:textId="77777777" w:rsidR="00BA22C6" w:rsidRPr="0071365A" w:rsidRDefault="00BA22C6" w:rsidP="001173A4">
            <w:pPr>
              <w:pStyle w:val="DPCtabletext"/>
              <w:keepNext/>
              <w:rPr>
                <w:b/>
                <w:color w:val="0072CE"/>
                <w:sz w:val="24"/>
                <w:szCs w:val="24"/>
              </w:rPr>
            </w:pPr>
            <w:r w:rsidRPr="0071365A">
              <w:rPr>
                <w:b/>
                <w:color w:val="0072CE"/>
                <w:sz w:val="24"/>
                <w:szCs w:val="24"/>
              </w:rPr>
              <w:t>D</w:t>
            </w:r>
          </w:p>
        </w:tc>
        <w:tc>
          <w:tcPr>
            <w:tcW w:w="6519" w:type="dxa"/>
            <w:gridSpan w:val="3"/>
          </w:tcPr>
          <w:p w14:paraId="10926133" w14:textId="77777777" w:rsidR="00BA22C6" w:rsidRPr="0071365A" w:rsidRDefault="00BA22C6" w:rsidP="001173A4">
            <w:pPr>
              <w:pStyle w:val="DPCtabletext"/>
              <w:keepNext/>
              <w:rPr>
                <w:b/>
                <w:color w:val="0072CE"/>
                <w:sz w:val="24"/>
                <w:szCs w:val="24"/>
              </w:rPr>
            </w:pPr>
          </w:p>
        </w:tc>
      </w:tr>
      <w:tr w:rsidR="00BA22C6" w:rsidRPr="0071365A" w14:paraId="5A3EFB54" w14:textId="77777777" w:rsidTr="00E052AD">
        <w:trPr>
          <w:gridAfter w:val="1"/>
          <w:wAfter w:w="335" w:type="dxa"/>
          <w:cantSplit/>
        </w:trPr>
        <w:tc>
          <w:tcPr>
            <w:tcW w:w="1843" w:type="dxa"/>
          </w:tcPr>
          <w:p w14:paraId="6CA13B4A" w14:textId="77777777" w:rsidR="00BA22C6" w:rsidRPr="00F335F6" w:rsidRDefault="00BA22C6" w:rsidP="00F335F6">
            <w:pPr>
              <w:pStyle w:val="DPCbody"/>
              <w:rPr>
                <w:sz w:val="20"/>
                <w:szCs w:val="20"/>
              </w:rPr>
            </w:pPr>
            <w:r w:rsidRPr="00F335F6">
              <w:rPr>
                <w:sz w:val="20"/>
                <w:szCs w:val="20"/>
              </w:rPr>
              <w:t>Decision Maker</w:t>
            </w:r>
          </w:p>
        </w:tc>
        <w:tc>
          <w:tcPr>
            <w:tcW w:w="6519" w:type="dxa"/>
            <w:gridSpan w:val="3"/>
          </w:tcPr>
          <w:p w14:paraId="006C6A84" w14:textId="77777777" w:rsidR="00BA22C6" w:rsidRPr="00F335F6" w:rsidRDefault="00BA22C6" w:rsidP="00F335F6">
            <w:pPr>
              <w:pStyle w:val="DPCbody"/>
              <w:rPr>
                <w:sz w:val="20"/>
                <w:szCs w:val="20"/>
              </w:rPr>
            </w:pPr>
            <w:r w:rsidRPr="00F335F6">
              <w:rPr>
                <w:sz w:val="20"/>
                <w:szCs w:val="20"/>
              </w:rPr>
              <w:t>The person who will ultimately Approve; Not approve or Note a brief or correspondence.</w:t>
            </w:r>
          </w:p>
        </w:tc>
      </w:tr>
      <w:tr w:rsidR="00BA22C6" w:rsidRPr="0071365A" w14:paraId="7E6F2548" w14:textId="77777777" w:rsidTr="00E052AD">
        <w:trPr>
          <w:gridAfter w:val="1"/>
          <w:wAfter w:w="335" w:type="dxa"/>
          <w:cantSplit/>
        </w:trPr>
        <w:tc>
          <w:tcPr>
            <w:tcW w:w="1843" w:type="dxa"/>
          </w:tcPr>
          <w:p w14:paraId="3D3CBA41" w14:textId="77777777" w:rsidR="00BA22C6" w:rsidRPr="00F335F6" w:rsidRDefault="00BA22C6" w:rsidP="00F335F6">
            <w:pPr>
              <w:pStyle w:val="DPCbody"/>
              <w:rPr>
                <w:sz w:val="20"/>
                <w:szCs w:val="20"/>
              </w:rPr>
            </w:pPr>
            <w:r w:rsidRPr="00F335F6">
              <w:rPr>
                <w:sz w:val="20"/>
                <w:szCs w:val="20"/>
              </w:rPr>
              <w:t>Departmental ABC Coordinator</w:t>
            </w:r>
          </w:p>
        </w:tc>
        <w:tc>
          <w:tcPr>
            <w:tcW w:w="6519" w:type="dxa"/>
            <w:gridSpan w:val="3"/>
          </w:tcPr>
          <w:p w14:paraId="5DC234C4" w14:textId="77777777" w:rsidR="00BA22C6" w:rsidRPr="00F335F6" w:rsidRDefault="00BA22C6" w:rsidP="00F335F6">
            <w:pPr>
              <w:pStyle w:val="DPCbody"/>
              <w:rPr>
                <w:sz w:val="20"/>
                <w:szCs w:val="20"/>
              </w:rPr>
            </w:pPr>
            <w:r w:rsidRPr="00F335F6">
              <w:rPr>
                <w:sz w:val="20"/>
                <w:szCs w:val="20"/>
              </w:rPr>
              <w:t>A departmental coordinator / administrator function for departmental briefs and correspondence that will report to the departmental executive officer.</w:t>
            </w:r>
          </w:p>
        </w:tc>
      </w:tr>
      <w:tr w:rsidR="00BA22C6" w:rsidRPr="0071365A" w14:paraId="09EA3F2F" w14:textId="77777777" w:rsidTr="00E052AD">
        <w:trPr>
          <w:gridAfter w:val="1"/>
          <w:wAfter w:w="335" w:type="dxa"/>
          <w:cantSplit/>
        </w:trPr>
        <w:tc>
          <w:tcPr>
            <w:tcW w:w="1843" w:type="dxa"/>
          </w:tcPr>
          <w:p w14:paraId="08F63272" w14:textId="77777777" w:rsidR="00BA22C6" w:rsidRPr="00F335F6" w:rsidRDefault="00BA22C6" w:rsidP="00F335F6">
            <w:pPr>
              <w:pStyle w:val="DPCbody"/>
              <w:rPr>
                <w:sz w:val="20"/>
                <w:szCs w:val="20"/>
              </w:rPr>
            </w:pPr>
            <w:r w:rsidRPr="00F335F6">
              <w:rPr>
                <w:sz w:val="20"/>
                <w:szCs w:val="20"/>
              </w:rPr>
              <w:lastRenderedPageBreak/>
              <w:t>Departmental ABC group</w:t>
            </w:r>
          </w:p>
        </w:tc>
        <w:tc>
          <w:tcPr>
            <w:tcW w:w="6519" w:type="dxa"/>
            <w:gridSpan w:val="3"/>
          </w:tcPr>
          <w:p w14:paraId="67F9F97B" w14:textId="77777777" w:rsidR="00BA22C6" w:rsidRPr="00F335F6" w:rsidRDefault="00BA22C6" w:rsidP="00F335F6">
            <w:pPr>
              <w:pStyle w:val="DPCbody"/>
              <w:rPr>
                <w:sz w:val="20"/>
                <w:szCs w:val="20"/>
              </w:rPr>
            </w:pPr>
            <w:r w:rsidRPr="00F335F6">
              <w:rPr>
                <w:sz w:val="20"/>
                <w:szCs w:val="20"/>
              </w:rPr>
              <w:t>A group of people, probably subject matter experts (SMEs) in the operation of briefs and correspondence within the department.</w:t>
            </w:r>
          </w:p>
          <w:p w14:paraId="7BE4DB1E" w14:textId="77777777" w:rsidR="00BA22C6" w:rsidRPr="00F335F6" w:rsidRDefault="00BA22C6" w:rsidP="00F335F6">
            <w:pPr>
              <w:pStyle w:val="DPCbody"/>
              <w:rPr>
                <w:sz w:val="20"/>
                <w:szCs w:val="20"/>
              </w:rPr>
            </w:pPr>
            <w:r w:rsidRPr="00F335F6">
              <w:rPr>
                <w:sz w:val="20"/>
                <w:szCs w:val="20"/>
              </w:rPr>
              <w:t>The responsibilities of the departmental ABC group include the:</w:t>
            </w:r>
          </w:p>
          <w:p w14:paraId="15B6FC45" w14:textId="77777777" w:rsidR="00BA22C6" w:rsidRPr="00F335F6" w:rsidRDefault="00BA22C6" w:rsidP="00F335F6">
            <w:pPr>
              <w:pStyle w:val="DPCbody"/>
              <w:rPr>
                <w:sz w:val="20"/>
                <w:szCs w:val="20"/>
              </w:rPr>
            </w:pPr>
            <w:r w:rsidRPr="00F335F6">
              <w:rPr>
                <w:sz w:val="20"/>
                <w:szCs w:val="20"/>
              </w:rPr>
              <w:t>Endorse and present recommendations to the departmental executive authority regarding changes to the department’s ABC practices.</w:t>
            </w:r>
          </w:p>
          <w:p w14:paraId="27F8ABF9" w14:textId="77777777" w:rsidR="00BA22C6" w:rsidRPr="00F335F6" w:rsidRDefault="00BA22C6" w:rsidP="00F335F6">
            <w:pPr>
              <w:pStyle w:val="DPCbody"/>
              <w:rPr>
                <w:sz w:val="20"/>
                <w:szCs w:val="20"/>
              </w:rPr>
            </w:pPr>
            <w:r w:rsidRPr="00F335F6">
              <w:rPr>
                <w:sz w:val="20"/>
                <w:szCs w:val="20"/>
              </w:rPr>
              <w:t>Advise and respond to briefs and correspondence proposals from WOVG ABC Group.</w:t>
            </w:r>
          </w:p>
        </w:tc>
      </w:tr>
      <w:tr w:rsidR="00BA22C6" w:rsidRPr="0071365A" w14:paraId="4D69BEDC" w14:textId="77777777" w:rsidTr="00E052AD">
        <w:trPr>
          <w:gridAfter w:val="1"/>
          <w:wAfter w:w="335" w:type="dxa"/>
          <w:cantSplit/>
        </w:trPr>
        <w:tc>
          <w:tcPr>
            <w:tcW w:w="1843" w:type="dxa"/>
          </w:tcPr>
          <w:p w14:paraId="7A86ABBD" w14:textId="77777777" w:rsidR="00BA22C6" w:rsidRPr="00F335F6" w:rsidRDefault="00BA22C6" w:rsidP="00F335F6">
            <w:pPr>
              <w:pStyle w:val="DPCbody"/>
              <w:rPr>
                <w:sz w:val="20"/>
                <w:szCs w:val="20"/>
              </w:rPr>
            </w:pPr>
            <w:r w:rsidRPr="00F335F6">
              <w:rPr>
                <w:sz w:val="20"/>
                <w:szCs w:val="20"/>
              </w:rPr>
              <w:t>Departmental Executive Authority</w:t>
            </w:r>
          </w:p>
        </w:tc>
        <w:tc>
          <w:tcPr>
            <w:tcW w:w="6519" w:type="dxa"/>
            <w:gridSpan w:val="3"/>
          </w:tcPr>
          <w:p w14:paraId="1B775E4F" w14:textId="3287182C" w:rsidR="00BA22C6" w:rsidRPr="00F335F6" w:rsidRDefault="00BA22C6" w:rsidP="00F335F6">
            <w:pPr>
              <w:pStyle w:val="DPCbody"/>
              <w:rPr>
                <w:sz w:val="20"/>
                <w:szCs w:val="20"/>
              </w:rPr>
            </w:pPr>
            <w:r w:rsidRPr="00F335F6">
              <w:rPr>
                <w:sz w:val="20"/>
                <w:szCs w:val="20"/>
              </w:rPr>
              <w:t>The Department</w:t>
            </w:r>
            <w:r w:rsidR="00F335F6" w:rsidRPr="00F335F6">
              <w:rPr>
                <w:sz w:val="20"/>
                <w:szCs w:val="20"/>
              </w:rPr>
              <w:t>al</w:t>
            </w:r>
            <w:r w:rsidRPr="00F335F6">
              <w:rPr>
                <w:sz w:val="20"/>
                <w:szCs w:val="20"/>
              </w:rPr>
              <w:t xml:space="preserve"> Executive Authority is a function to be allocated to a single person who is accountable for the management of briefs and correspondence across the department.</w:t>
            </w:r>
          </w:p>
        </w:tc>
      </w:tr>
      <w:tr w:rsidR="00BA22C6" w:rsidRPr="0071365A" w14:paraId="42653C4C" w14:textId="77777777" w:rsidTr="00E052AD">
        <w:trPr>
          <w:gridAfter w:val="1"/>
          <w:wAfter w:w="335" w:type="dxa"/>
          <w:cantSplit/>
        </w:trPr>
        <w:tc>
          <w:tcPr>
            <w:tcW w:w="1843" w:type="dxa"/>
          </w:tcPr>
          <w:p w14:paraId="6CCBE6AB" w14:textId="77777777" w:rsidR="00BA22C6" w:rsidRPr="0071365A" w:rsidRDefault="00BA22C6" w:rsidP="00E7073C">
            <w:pPr>
              <w:pStyle w:val="DPCtabletext"/>
              <w:keepNext/>
              <w:rPr>
                <w:b/>
                <w:color w:val="0072CE"/>
                <w:sz w:val="24"/>
                <w:szCs w:val="24"/>
              </w:rPr>
            </w:pPr>
            <w:r w:rsidRPr="0071365A">
              <w:rPr>
                <w:b/>
                <w:color w:val="0072CE"/>
                <w:sz w:val="24"/>
                <w:szCs w:val="24"/>
              </w:rPr>
              <w:t>I</w:t>
            </w:r>
          </w:p>
        </w:tc>
        <w:tc>
          <w:tcPr>
            <w:tcW w:w="6519" w:type="dxa"/>
            <w:gridSpan w:val="3"/>
          </w:tcPr>
          <w:p w14:paraId="655D2BC6" w14:textId="77777777" w:rsidR="00BA22C6" w:rsidRPr="0071365A" w:rsidRDefault="00BA22C6" w:rsidP="00E7073C">
            <w:pPr>
              <w:pStyle w:val="DPCtabletext"/>
              <w:keepNext/>
              <w:rPr>
                <w:b/>
                <w:color w:val="0072CE"/>
                <w:sz w:val="24"/>
                <w:szCs w:val="24"/>
              </w:rPr>
            </w:pPr>
          </w:p>
        </w:tc>
      </w:tr>
      <w:tr w:rsidR="00BA22C6" w:rsidRPr="0071365A" w14:paraId="1B1AC066" w14:textId="77777777" w:rsidTr="00E052AD">
        <w:trPr>
          <w:gridAfter w:val="1"/>
          <w:wAfter w:w="335" w:type="dxa"/>
          <w:cantSplit/>
        </w:trPr>
        <w:tc>
          <w:tcPr>
            <w:tcW w:w="1843" w:type="dxa"/>
          </w:tcPr>
          <w:p w14:paraId="2DBCBE38" w14:textId="7E8B7CF0" w:rsidR="00BA22C6" w:rsidRPr="00F335F6" w:rsidRDefault="00BA22C6" w:rsidP="00F335F6">
            <w:pPr>
              <w:pStyle w:val="DPCbody"/>
              <w:rPr>
                <w:sz w:val="20"/>
                <w:szCs w:val="20"/>
              </w:rPr>
            </w:pPr>
            <w:r w:rsidRPr="00F335F6">
              <w:rPr>
                <w:sz w:val="20"/>
                <w:szCs w:val="20"/>
              </w:rPr>
              <w:t>ICRS</w:t>
            </w:r>
            <w:r w:rsidR="00F335F6">
              <w:rPr>
                <w:sz w:val="20"/>
                <w:szCs w:val="20"/>
              </w:rPr>
              <w:t xml:space="preserve"> </w:t>
            </w:r>
            <w:r w:rsidRPr="00F335F6">
              <w:rPr>
                <w:sz w:val="20"/>
                <w:szCs w:val="20"/>
              </w:rPr>
              <w:t>(VSB Integrity and Corporate Reform Subcommittee)</w:t>
            </w:r>
          </w:p>
        </w:tc>
        <w:tc>
          <w:tcPr>
            <w:tcW w:w="6519" w:type="dxa"/>
            <w:gridSpan w:val="3"/>
          </w:tcPr>
          <w:p w14:paraId="3CDA3B1E" w14:textId="77777777" w:rsidR="00BA22C6" w:rsidRPr="00F335F6" w:rsidRDefault="00BA22C6" w:rsidP="00F335F6">
            <w:pPr>
              <w:pStyle w:val="DPCbody"/>
              <w:rPr>
                <w:sz w:val="20"/>
                <w:szCs w:val="20"/>
              </w:rPr>
            </w:pPr>
            <w:r w:rsidRPr="00F335F6">
              <w:rPr>
                <w:sz w:val="20"/>
                <w:szCs w:val="20"/>
              </w:rPr>
              <w:t>The ICRS is a subcommittee to the Victorian Secretaries Board and is made up of deputy-secretary department representatives.</w:t>
            </w:r>
          </w:p>
        </w:tc>
      </w:tr>
      <w:tr w:rsidR="00BA22C6" w:rsidRPr="0071365A" w14:paraId="034F1680" w14:textId="77777777" w:rsidTr="00E052AD">
        <w:trPr>
          <w:gridAfter w:val="1"/>
          <w:wAfter w:w="335" w:type="dxa"/>
          <w:cantSplit/>
        </w:trPr>
        <w:tc>
          <w:tcPr>
            <w:tcW w:w="1843" w:type="dxa"/>
          </w:tcPr>
          <w:p w14:paraId="6C53BC01" w14:textId="77777777" w:rsidR="00BA22C6" w:rsidRPr="00F335F6" w:rsidRDefault="00BA22C6" w:rsidP="00F335F6">
            <w:pPr>
              <w:pStyle w:val="DPCbody"/>
              <w:rPr>
                <w:sz w:val="20"/>
                <w:szCs w:val="20"/>
              </w:rPr>
            </w:pPr>
            <w:r w:rsidRPr="00F335F6">
              <w:rPr>
                <w:sz w:val="20"/>
                <w:szCs w:val="20"/>
              </w:rPr>
              <w:t>Initiator</w:t>
            </w:r>
          </w:p>
        </w:tc>
        <w:tc>
          <w:tcPr>
            <w:tcW w:w="6519" w:type="dxa"/>
            <w:gridSpan w:val="3"/>
          </w:tcPr>
          <w:p w14:paraId="63605FFB" w14:textId="77777777" w:rsidR="00BA22C6" w:rsidRPr="00F335F6" w:rsidRDefault="00BA22C6" w:rsidP="00F335F6">
            <w:pPr>
              <w:pStyle w:val="DPCbody"/>
              <w:rPr>
                <w:sz w:val="20"/>
                <w:szCs w:val="20"/>
              </w:rPr>
            </w:pPr>
            <w:r w:rsidRPr="00F335F6">
              <w:rPr>
                <w:sz w:val="20"/>
                <w:szCs w:val="20"/>
              </w:rPr>
              <w:t>The person requesting or initiating the brief or correspondence. Note that in the case of hardcopy correspondence, once the correspondence is received by the Minister or the department, the Initiator is the person who initiates a responsive action.</w:t>
            </w:r>
          </w:p>
        </w:tc>
      </w:tr>
      <w:tr w:rsidR="00BA22C6" w:rsidRPr="0071365A" w14:paraId="5A45F1C3" w14:textId="77777777" w:rsidTr="00E052AD">
        <w:trPr>
          <w:gridAfter w:val="1"/>
          <w:wAfter w:w="335" w:type="dxa"/>
          <w:cantSplit/>
        </w:trPr>
        <w:tc>
          <w:tcPr>
            <w:tcW w:w="1843" w:type="dxa"/>
          </w:tcPr>
          <w:p w14:paraId="0C1ED8B6" w14:textId="77777777" w:rsidR="00BA22C6" w:rsidRPr="0071365A" w:rsidRDefault="00BA22C6" w:rsidP="00E7073C">
            <w:pPr>
              <w:pStyle w:val="DPCtabletext"/>
              <w:keepNext/>
              <w:rPr>
                <w:b/>
                <w:color w:val="0072CE"/>
                <w:sz w:val="24"/>
                <w:szCs w:val="24"/>
              </w:rPr>
            </w:pPr>
            <w:r w:rsidRPr="0071365A">
              <w:rPr>
                <w:b/>
                <w:color w:val="0072CE"/>
                <w:sz w:val="24"/>
                <w:szCs w:val="24"/>
              </w:rPr>
              <w:t>L</w:t>
            </w:r>
          </w:p>
        </w:tc>
        <w:tc>
          <w:tcPr>
            <w:tcW w:w="6519" w:type="dxa"/>
            <w:gridSpan w:val="3"/>
          </w:tcPr>
          <w:p w14:paraId="166C780B" w14:textId="77777777" w:rsidR="00BA22C6" w:rsidRPr="0071365A" w:rsidRDefault="00BA22C6" w:rsidP="00E7073C">
            <w:pPr>
              <w:pStyle w:val="DPCtabletext"/>
              <w:keepNext/>
              <w:rPr>
                <w:b/>
                <w:color w:val="0072CE"/>
                <w:sz w:val="24"/>
                <w:szCs w:val="24"/>
              </w:rPr>
            </w:pPr>
          </w:p>
        </w:tc>
      </w:tr>
      <w:tr w:rsidR="00BA22C6" w:rsidRPr="0071365A" w14:paraId="7C722301" w14:textId="77777777" w:rsidTr="00E052AD">
        <w:trPr>
          <w:gridAfter w:val="1"/>
          <w:wAfter w:w="335" w:type="dxa"/>
          <w:cantSplit/>
        </w:trPr>
        <w:tc>
          <w:tcPr>
            <w:tcW w:w="1843" w:type="dxa"/>
          </w:tcPr>
          <w:p w14:paraId="0B9DB03B" w14:textId="58AB87FC" w:rsidR="00BA22C6" w:rsidRPr="00F335F6" w:rsidRDefault="00BA22C6" w:rsidP="00F335F6">
            <w:pPr>
              <w:pStyle w:val="DPCbody"/>
              <w:rPr>
                <w:sz w:val="20"/>
                <w:szCs w:val="20"/>
              </w:rPr>
            </w:pPr>
            <w:r w:rsidRPr="00F335F6">
              <w:rPr>
                <w:sz w:val="20"/>
                <w:szCs w:val="20"/>
              </w:rPr>
              <w:t>LA</w:t>
            </w:r>
            <w:r w:rsidR="00F335F6">
              <w:rPr>
                <w:sz w:val="20"/>
                <w:szCs w:val="20"/>
              </w:rPr>
              <w:t xml:space="preserve"> </w:t>
            </w:r>
            <w:r w:rsidRPr="00F335F6">
              <w:rPr>
                <w:sz w:val="20"/>
                <w:szCs w:val="20"/>
              </w:rPr>
              <w:t>(Lead Author)</w:t>
            </w:r>
          </w:p>
        </w:tc>
        <w:tc>
          <w:tcPr>
            <w:tcW w:w="6519" w:type="dxa"/>
            <w:gridSpan w:val="3"/>
          </w:tcPr>
          <w:p w14:paraId="3B7E6EEC" w14:textId="16EE2F89" w:rsidR="00BA22C6" w:rsidRPr="00F335F6" w:rsidRDefault="00BA22C6" w:rsidP="00F335F6">
            <w:pPr>
              <w:pStyle w:val="DPCbody"/>
              <w:rPr>
                <w:sz w:val="20"/>
                <w:szCs w:val="20"/>
              </w:rPr>
            </w:pPr>
            <w:r w:rsidRPr="00F335F6">
              <w:rPr>
                <w:sz w:val="20"/>
                <w:szCs w:val="20"/>
              </w:rPr>
              <w:t xml:space="preserve">The person who is responsible for ensuring that the document gets completed on behalf of the Accountable </w:t>
            </w:r>
            <w:r w:rsidR="00F335F6" w:rsidRPr="00F335F6">
              <w:rPr>
                <w:sz w:val="20"/>
                <w:szCs w:val="20"/>
              </w:rPr>
              <w:t>Officer and</w:t>
            </w:r>
            <w:r w:rsidRPr="00F335F6">
              <w:rPr>
                <w:sz w:val="20"/>
                <w:szCs w:val="20"/>
              </w:rPr>
              <w:t xml:space="preserve"> returned to the Accountable Officer.</w:t>
            </w:r>
          </w:p>
        </w:tc>
      </w:tr>
      <w:tr w:rsidR="00BA22C6" w:rsidRPr="0071365A" w14:paraId="1B26AAC1" w14:textId="77777777" w:rsidTr="00E052AD">
        <w:trPr>
          <w:gridAfter w:val="1"/>
          <w:wAfter w:w="335" w:type="dxa"/>
          <w:cantSplit/>
        </w:trPr>
        <w:tc>
          <w:tcPr>
            <w:tcW w:w="1843" w:type="dxa"/>
          </w:tcPr>
          <w:p w14:paraId="41B5E44F" w14:textId="77777777" w:rsidR="00BA22C6" w:rsidRPr="0071365A" w:rsidRDefault="00BA22C6" w:rsidP="001173A4">
            <w:pPr>
              <w:pStyle w:val="DPCtabletext"/>
              <w:keepNext/>
              <w:rPr>
                <w:b/>
                <w:color w:val="0072CE"/>
                <w:sz w:val="24"/>
                <w:szCs w:val="24"/>
              </w:rPr>
            </w:pPr>
            <w:r w:rsidRPr="0071365A">
              <w:rPr>
                <w:b/>
                <w:color w:val="0072CE"/>
                <w:sz w:val="24"/>
                <w:szCs w:val="24"/>
              </w:rPr>
              <w:t>N</w:t>
            </w:r>
          </w:p>
        </w:tc>
        <w:tc>
          <w:tcPr>
            <w:tcW w:w="6519" w:type="dxa"/>
            <w:gridSpan w:val="3"/>
          </w:tcPr>
          <w:p w14:paraId="7A0489C8" w14:textId="77777777" w:rsidR="00BA22C6" w:rsidRPr="0071365A" w:rsidRDefault="00BA22C6" w:rsidP="001173A4">
            <w:pPr>
              <w:pStyle w:val="DPCtabletext"/>
              <w:keepNext/>
              <w:rPr>
                <w:b/>
                <w:color w:val="0072CE"/>
                <w:sz w:val="24"/>
                <w:szCs w:val="24"/>
              </w:rPr>
            </w:pPr>
          </w:p>
        </w:tc>
      </w:tr>
      <w:tr w:rsidR="00BA22C6" w:rsidRPr="00F335F6" w14:paraId="2592ED32" w14:textId="77777777" w:rsidTr="00E052AD">
        <w:trPr>
          <w:gridAfter w:val="1"/>
          <w:wAfter w:w="335" w:type="dxa"/>
          <w:cantSplit/>
        </w:trPr>
        <w:tc>
          <w:tcPr>
            <w:tcW w:w="1843" w:type="dxa"/>
          </w:tcPr>
          <w:p w14:paraId="35717393" w14:textId="77777777" w:rsidR="00BA22C6" w:rsidRPr="00F335F6" w:rsidRDefault="00BA22C6" w:rsidP="00F335F6">
            <w:pPr>
              <w:pStyle w:val="DPCbody"/>
              <w:rPr>
                <w:sz w:val="20"/>
                <w:szCs w:val="20"/>
              </w:rPr>
            </w:pPr>
            <w:r w:rsidRPr="00F335F6">
              <w:rPr>
                <w:sz w:val="20"/>
                <w:szCs w:val="20"/>
              </w:rPr>
              <w:t>Not approved</w:t>
            </w:r>
          </w:p>
        </w:tc>
        <w:tc>
          <w:tcPr>
            <w:tcW w:w="6519" w:type="dxa"/>
            <w:gridSpan w:val="3"/>
          </w:tcPr>
          <w:p w14:paraId="5C6B907D" w14:textId="77777777" w:rsidR="00BA22C6" w:rsidRPr="00F335F6" w:rsidRDefault="00BA22C6" w:rsidP="00F335F6">
            <w:pPr>
              <w:pStyle w:val="DPCbody"/>
              <w:rPr>
                <w:sz w:val="20"/>
                <w:szCs w:val="20"/>
              </w:rPr>
            </w:pPr>
            <w:r w:rsidRPr="00F335F6">
              <w:rPr>
                <w:sz w:val="20"/>
                <w:szCs w:val="20"/>
              </w:rPr>
              <w:t>None of the recommendations contain in the BPQR are to be progressed.</w:t>
            </w:r>
          </w:p>
        </w:tc>
      </w:tr>
      <w:tr w:rsidR="00BA22C6" w:rsidRPr="00F335F6" w14:paraId="267EEB58" w14:textId="77777777" w:rsidTr="00E052AD">
        <w:trPr>
          <w:gridAfter w:val="1"/>
          <w:wAfter w:w="335" w:type="dxa"/>
          <w:cantSplit/>
        </w:trPr>
        <w:tc>
          <w:tcPr>
            <w:tcW w:w="1843" w:type="dxa"/>
          </w:tcPr>
          <w:p w14:paraId="10A24C37" w14:textId="77777777" w:rsidR="00BA22C6" w:rsidRPr="00F335F6" w:rsidRDefault="00BA22C6" w:rsidP="00F335F6">
            <w:pPr>
              <w:pStyle w:val="DPCbody"/>
              <w:rPr>
                <w:sz w:val="20"/>
                <w:szCs w:val="20"/>
              </w:rPr>
            </w:pPr>
            <w:r w:rsidRPr="00F335F6">
              <w:rPr>
                <w:sz w:val="20"/>
                <w:szCs w:val="20"/>
              </w:rPr>
              <w:t>Noted</w:t>
            </w:r>
          </w:p>
        </w:tc>
        <w:tc>
          <w:tcPr>
            <w:tcW w:w="6519" w:type="dxa"/>
            <w:gridSpan w:val="3"/>
          </w:tcPr>
          <w:p w14:paraId="3D52A489" w14:textId="77777777" w:rsidR="00BA22C6" w:rsidRPr="00F335F6" w:rsidRDefault="00BA22C6" w:rsidP="00F335F6">
            <w:pPr>
              <w:pStyle w:val="DPCbody"/>
              <w:rPr>
                <w:sz w:val="20"/>
                <w:szCs w:val="20"/>
              </w:rPr>
            </w:pPr>
            <w:r w:rsidRPr="00F335F6">
              <w:rPr>
                <w:sz w:val="20"/>
                <w:szCs w:val="20"/>
              </w:rPr>
              <w:t>No course of action is recommended by the BPQC and the Decision Maker acknowledges the recommendation.</w:t>
            </w:r>
          </w:p>
        </w:tc>
      </w:tr>
      <w:tr w:rsidR="00BA22C6" w:rsidRPr="0071365A" w14:paraId="4246FBDE" w14:textId="77777777" w:rsidTr="00E052AD">
        <w:trPr>
          <w:gridAfter w:val="1"/>
          <w:wAfter w:w="335" w:type="dxa"/>
          <w:cantSplit/>
        </w:trPr>
        <w:tc>
          <w:tcPr>
            <w:tcW w:w="1843" w:type="dxa"/>
          </w:tcPr>
          <w:p w14:paraId="6E17650F" w14:textId="77777777" w:rsidR="00BA22C6" w:rsidRPr="0071365A" w:rsidRDefault="00BA22C6" w:rsidP="001173A4">
            <w:pPr>
              <w:pStyle w:val="DPCtabletext"/>
              <w:keepNext/>
              <w:rPr>
                <w:b/>
                <w:color w:val="0072CE"/>
                <w:sz w:val="24"/>
                <w:szCs w:val="24"/>
              </w:rPr>
            </w:pPr>
            <w:r w:rsidRPr="0071365A">
              <w:rPr>
                <w:b/>
                <w:color w:val="0072CE"/>
                <w:sz w:val="24"/>
                <w:szCs w:val="24"/>
              </w:rPr>
              <w:t>P</w:t>
            </w:r>
          </w:p>
        </w:tc>
        <w:tc>
          <w:tcPr>
            <w:tcW w:w="6519" w:type="dxa"/>
            <w:gridSpan w:val="3"/>
          </w:tcPr>
          <w:p w14:paraId="128CE557" w14:textId="77777777" w:rsidR="00BA22C6" w:rsidRPr="0071365A" w:rsidRDefault="00BA22C6" w:rsidP="001173A4">
            <w:pPr>
              <w:pStyle w:val="DPCtabletext"/>
              <w:keepNext/>
              <w:rPr>
                <w:b/>
                <w:color w:val="0072CE"/>
                <w:sz w:val="24"/>
                <w:szCs w:val="24"/>
              </w:rPr>
            </w:pPr>
          </w:p>
        </w:tc>
      </w:tr>
      <w:tr w:rsidR="00BA22C6" w:rsidRPr="0071365A" w14:paraId="21B8EF52" w14:textId="77777777" w:rsidTr="00E052AD">
        <w:trPr>
          <w:gridAfter w:val="1"/>
          <w:wAfter w:w="335" w:type="dxa"/>
          <w:cantSplit/>
        </w:trPr>
        <w:tc>
          <w:tcPr>
            <w:tcW w:w="1843" w:type="dxa"/>
          </w:tcPr>
          <w:p w14:paraId="38395581" w14:textId="77777777" w:rsidR="00BA22C6" w:rsidRPr="00F335F6" w:rsidRDefault="00BA22C6" w:rsidP="00F335F6">
            <w:pPr>
              <w:pStyle w:val="DPCbody"/>
              <w:rPr>
                <w:sz w:val="20"/>
                <w:szCs w:val="20"/>
              </w:rPr>
            </w:pPr>
            <w:r w:rsidRPr="00F335F6">
              <w:rPr>
                <w:sz w:val="20"/>
                <w:szCs w:val="20"/>
              </w:rPr>
              <w:t>PAEC</w:t>
            </w:r>
          </w:p>
        </w:tc>
        <w:tc>
          <w:tcPr>
            <w:tcW w:w="6519" w:type="dxa"/>
            <w:gridSpan w:val="3"/>
          </w:tcPr>
          <w:p w14:paraId="0A92183F" w14:textId="77777777" w:rsidR="00BA22C6" w:rsidRPr="00F335F6" w:rsidRDefault="00BA22C6" w:rsidP="00F335F6">
            <w:pPr>
              <w:pStyle w:val="DPCbody"/>
              <w:rPr>
                <w:sz w:val="20"/>
                <w:szCs w:val="20"/>
              </w:rPr>
            </w:pPr>
            <w:r w:rsidRPr="00F335F6">
              <w:rPr>
                <w:sz w:val="20"/>
                <w:szCs w:val="20"/>
              </w:rPr>
              <w:t>Public Accounts and Estimates Committee</w:t>
            </w:r>
          </w:p>
        </w:tc>
      </w:tr>
      <w:tr w:rsidR="00BA22C6" w:rsidRPr="0071365A" w14:paraId="0B5157C3" w14:textId="77777777" w:rsidTr="00E052AD">
        <w:trPr>
          <w:gridAfter w:val="1"/>
          <w:wAfter w:w="335" w:type="dxa"/>
          <w:cantSplit/>
        </w:trPr>
        <w:tc>
          <w:tcPr>
            <w:tcW w:w="1843" w:type="dxa"/>
          </w:tcPr>
          <w:p w14:paraId="4EC1ECBD" w14:textId="77777777" w:rsidR="00BA22C6" w:rsidRPr="00F335F6" w:rsidRDefault="00BA22C6" w:rsidP="00F335F6">
            <w:pPr>
              <w:pStyle w:val="DPCbody"/>
              <w:rPr>
                <w:sz w:val="20"/>
                <w:szCs w:val="20"/>
              </w:rPr>
            </w:pPr>
            <w:r w:rsidRPr="00F335F6">
              <w:rPr>
                <w:sz w:val="20"/>
                <w:szCs w:val="20"/>
              </w:rPr>
              <w:lastRenderedPageBreak/>
              <w:t>Parliamentary Questions</w:t>
            </w:r>
          </w:p>
        </w:tc>
        <w:tc>
          <w:tcPr>
            <w:tcW w:w="6519" w:type="dxa"/>
            <w:gridSpan w:val="3"/>
          </w:tcPr>
          <w:p w14:paraId="00A3E13C" w14:textId="77777777" w:rsidR="00BA22C6" w:rsidRPr="00F335F6" w:rsidRDefault="00BA22C6" w:rsidP="00F335F6">
            <w:pPr>
              <w:pStyle w:val="DPCbody"/>
              <w:rPr>
                <w:sz w:val="20"/>
                <w:szCs w:val="20"/>
              </w:rPr>
            </w:pPr>
            <w:r w:rsidRPr="00F335F6">
              <w:rPr>
                <w:sz w:val="20"/>
                <w:szCs w:val="20"/>
              </w:rPr>
              <w:t>Possible Parliamentary Question, Questions on Notice; Questions Without Notice (incl. Supplementary Questions) and Constituency Questions are considered a form of Brief.</w:t>
            </w:r>
          </w:p>
          <w:p w14:paraId="2A0474B8" w14:textId="77777777" w:rsidR="00BA22C6" w:rsidRPr="00F335F6" w:rsidRDefault="00BA22C6" w:rsidP="00F335F6">
            <w:pPr>
              <w:pStyle w:val="DPCbody"/>
              <w:rPr>
                <w:sz w:val="20"/>
                <w:szCs w:val="20"/>
              </w:rPr>
            </w:pPr>
            <w:r w:rsidRPr="00F335F6">
              <w:rPr>
                <w:sz w:val="20"/>
                <w:szCs w:val="20"/>
              </w:rPr>
              <w:t>Possible Parliamentary Question – a brief prepared for the Minister in anticipation of a future question to be asked in Parliament.</w:t>
            </w:r>
          </w:p>
          <w:p w14:paraId="07FE79FC" w14:textId="50F5C5F4" w:rsidR="00BA22C6" w:rsidRPr="00F335F6" w:rsidRDefault="00BA22C6" w:rsidP="00F335F6">
            <w:pPr>
              <w:pStyle w:val="DPCbody"/>
              <w:rPr>
                <w:sz w:val="20"/>
                <w:szCs w:val="20"/>
              </w:rPr>
            </w:pPr>
            <w:r w:rsidRPr="00F335F6">
              <w:rPr>
                <w:sz w:val="20"/>
                <w:szCs w:val="20"/>
              </w:rPr>
              <w:t>Questions on Notice – a written request for information often requiring detailed responses concerning government administration</w:t>
            </w:r>
            <w:r w:rsidR="00F335F6">
              <w:rPr>
                <w:sz w:val="20"/>
                <w:szCs w:val="20"/>
              </w:rPr>
              <w:t>.</w:t>
            </w:r>
          </w:p>
          <w:p w14:paraId="489A6DEF" w14:textId="77777777" w:rsidR="00BA22C6" w:rsidRPr="00F335F6" w:rsidRDefault="00BA22C6" w:rsidP="00F335F6">
            <w:pPr>
              <w:pStyle w:val="DPCbody"/>
              <w:rPr>
                <w:sz w:val="20"/>
                <w:szCs w:val="20"/>
              </w:rPr>
            </w:pPr>
            <w:r w:rsidRPr="00F335F6">
              <w:rPr>
                <w:sz w:val="20"/>
                <w:szCs w:val="20"/>
              </w:rPr>
              <w:t>Questions Without Notice – a question to seek information or press for action in relation to matters with which Ministers’ are officially connected, to proceedings pending in the House or to any other issues within Ministers’ responsibilities.</w:t>
            </w:r>
          </w:p>
          <w:p w14:paraId="6778408D" w14:textId="77777777" w:rsidR="00BA22C6" w:rsidRPr="00F335F6" w:rsidRDefault="00BA22C6" w:rsidP="00F335F6">
            <w:pPr>
              <w:pStyle w:val="DPCbody"/>
              <w:rPr>
                <w:sz w:val="20"/>
                <w:szCs w:val="20"/>
              </w:rPr>
            </w:pPr>
            <w:r w:rsidRPr="00F335F6">
              <w:rPr>
                <w:sz w:val="20"/>
                <w:szCs w:val="20"/>
              </w:rPr>
              <w:t>Constituency Question – a question asked by a member of Parliament (who themselves is not a Minister) of a Minister within that Ministers’ individual area of responsibility, which relates to matters in the member’s own electorate.</w:t>
            </w:r>
          </w:p>
        </w:tc>
      </w:tr>
      <w:tr w:rsidR="00BA22C6" w14:paraId="610B2D15" w14:textId="77777777" w:rsidTr="00E052AD">
        <w:tc>
          <w:tcPr>
            <w:tcW w:w="1843" w:type="dxa"/>
          </w:tcPr>
          <w:p w14:paraId="4AA094F4" w14:textId="77777777" w:rsidR="00BA22C6" w:rsidRPr="00F335F6" w:rsidRDefault="00BA22C6" w:rsidP="00FB4458">
            <w:pPr>
              <w:pStyle w:val="DPCbody"/>
              <w:rPr>
                <w:sz w:val="20"/>
                <w:szCs w:val="20"/>
              </w:rPr>
            </w:pPr>
            <w:r w:rsidRPr="00F335F6">
              <w:rPr>
                <w:sz w:val="20"/>
                <w:szCs w:val="20"/>
              </w:rPr>
              <w:t>Public record</w:t>
            </w:r>
          </w:p>
        </w:tc>
        <w:tc>
          <w:tcPr>
            <w:tcW w:w="6854" w:type="dxa"/>
            <w:gridSpan w:val="4"/>
          </w:tcPr>
          <w:p w14:paraId="0D7F2890" w14:textId="0F26C447" w:rsidR="00BA22C6" w:rsidRPr="00F335F6" w:rsidRDefault="00BA22C6" w:rsidP="00FB4458">
            <w:pPr>
              <w:pStyle w:val="DPCbody"/>
              <w:rPr>
                <w:sz w:val="20"/>
                <w:szCs w:val="20"/>
              </w:rPr>
            </w:pPr>
            <w:r w:rsidRPr="00F335F6">
              <w:rPr>
                <w:sz w:val="20"/>
                <w:szCs w:val="20"/>
              </w:rPr>
              <w:t xml:space="preserve">Any record made or received by a public officer in the course of </w:t>
            </w:r>
            <w:r w:rsidR="00F335F6">
              <w:rPr>
                <w:sz w:val="20"/>
                <w:szCs w:val="20"/>
              </w:rPr>
              <w:t>their</w:t>
            </w:r>
            <w:r w:rsidRPr="00F335F6">
              <w:rPr>
                <w:sz w:val="20"/>
                <w:szCs w:val="20"/>
              </w:rPr>
              <w:t xml:space="preserve"> duties; and any record made or received by a court or person acting judicially in Victoria. Refer to S 2(1) of the </w:t>
            </w:r>
            <w:hyperlink r:id="rId16" w:history="1">
              <w:r w:rsidRPr="00A0335A">
                <w:rPr>
                  <w:rStyle w:val="Hyperlink"/>
                  <w:i/>
                  <w:sz w:val="20"/>
                  <w:szCs w:val="20"/>
                </w:rPr>
                <w:t>Public Records Act 1973</w:t>
              </w:r>
            </w:hyperlink>
            <w:r w:rsidR="00E052AD">
              <w:rPr>
                <w:sz w:val="20"/>
                <w:szCs w:val="20"/>
              </w:rPr>
              <w:t>.</w:t>
            </w:r>
          </w:p>
          <w:p w14:paraId="6243E092" w14:textId="77777777" w:rsidR="00BA22C6" w:rsidRPr="00F335F6" w:rsidRDefault="00BA22C6" w:rsidP="00FB4458">
            <w:pPr>
              <w:pStyle w:val="DPCbody"/>
              <w:rPr>
                <w:sz w:val="20"/>
                <w:szCs w:val="20"/>
              </w:rPr>
            </w:pPr>
            <w:r w:rsidRPr="00F335F6">
              <w:rPr>
                <w:sz w:val="20"/>
                <w:szCs w:val="20"/>
              </w:rPr>
              <w:t>The record used by and relied upon by a department to conduct its business, with other copies being considered working documents.</w:t>
            </w:r>
          </w:p>
        </w:tc>
      </w:tr>
      <w:tr w:rsidR="00BA22C6" w:rsidRPr="0071365A" w14:paraId="3D47AB44" w14:textId="77777777" w:rsidTr="00E052AD">
        <w:trPr>
          <w:gridAfter w:val="1"/>
          <w:wAfter w:w="335" w:type="dxa"/>
          <w:cantSplit/>
        </w:trPr>
        <w:tc>
          <w:tcPr>
            <w:tcW w:w="1843" w:type="dxa"/>
          </w:tcPr>
          <w:p w14:paraId="04CD7BFD" w14:textId="77777777" w:rsidR="00BA22C6" w:rsidRPr="0071365A" w:rsidRDefault="00BA22C6" w:rsidP="001173A4">
            <w:pPr>
              <w:pStyle w:val="DPCtabletext"/>
              <w:keepNext/>
              <w:rPr>
                <w:b/>
                <w:color w:val="0072CE"/>
                <w:sz w:val="24"/>
                <w:szCs w:val="24"/>
              </w:rPr>
            </w:pPr>
            <w:r w:rsidRPr="0071365A">
              <w:rPr>
                <w:b/>
                <w:color w:val="0072CE"/>
                <w:sz w:val="24"/>
                <w:szCs w:val="24"/>
              </w:rPr>
              <w:t>R</w:t>
            </w:r>
          </w:p>
        </w:tc>
        <w:tc>
          <w:tcPr>
            <w:tcW w:w="6519" w:type="dxa"/>
            <w:gridSpan w:val="3"/>
          </w:tcPr>
          <w:p w14:paraId="5A1A47F7" w14:textId="77777777" w:rsidR="00BA22C6" w:rsidRPr="0071365A" w:rsidRDefault="00BA22C6" w:rsidP="001173A4">
            <w:pPr>
              <w:pStyle w:val="DPCtabletext"/>
              <w:keepNext/>
              <w:rPr>
                <w:b/>
                <w:color w:val="0072CE"/>
                <w:sz w:val="24"/>
                <w:szCs w:val="24"/>
              </w:rPr>
            </w:pPr>
          </w:p>
        </w:tc>
      </w:tr>
      <w:tr w:rsidR="00BA22C6" w:rsidRPr="00F335F6" w14:paraId="4356DDC1" w14:textId="77777777" w:rsidTr="00E052AD">
        <w:trPr>
          <w:gridAfter w:val="1"/>
          <w:wAfter w:w="335" w:type="dxa"/>
          <w:cantSplit/>
        </w:trPr>
        <w:tc>
          <w:tcPr>
            <w:tcW w:w="1843" w:type="dxa"/>
          </w:tcPr>
          <w:p w14:paraId="0182360F" w14:textId="77777777" w:rsidR="00BA22C6" w:rsidRPr="00F335F6" w:rsidRDefault="00BA22C6" w:rsidP="00F335F6">
            <w:pPr>
              <w:pStyle w:val="DPCbody"/>
              <w:rPr>
                <w:sz w:val="20"/>
                <w:szCs w:val="20"/>
              </w:rPr>
            </w:pPr>
            <w:r w:rsidRPr="00F335F6">
              <w:rPr>
                <w:sz w:val="20"/>
                <w:szCs w:val="20"/>
              </w:rPr>
              <w:t>Recommender</w:t>
            </w:r>
          </w:p>
        </w:tc>
        <w:tc>
          <w:tcPr>
            <w:tcW w:w="6519" w:type="dxa"/>
            <w:gridSpan w:val="3"/>
          </w:tcPr>
          <w:p w14:paraId="7B609591" w14:textId="77777777" w:rsidR="00BA22C6" w:rsidRPr="00F335F6" w:rsidRDefault="00BA22C6" w:rsidP="00F335F6">
            <w:pPr>
              <w:pStyle w:val="DPCbody"/>
              <w:rPr>
                <w:sz w:val="20"/>
                <w:szCs w:val="20"/>
              </w:rPr>
            </w:pPr>
            <w:r w:rsidRPr="00F335F6">
              <w:rPr>
                <w:sz w:val="20"/>
                <w:szCs w:val="20"/>
              </w:rPr>
              <w:t>The person who formally provides the advice or ‘Recommends’ the action (i.e. Approve; Not approve or Note) to the Decision Maker.</w:t>
            </w:r>
          </w:p>
        </w:tc>
      </w:tr>
      <w:tr w:rsidR="00BA22C6" w:rsidRPr="00F335F6" w14:paraId="71E9D739" w14:textId="77777777" w:rsidTr="00E052AD">
        <w:trPr>
          <w:gridAfter w:val="1"/>
          <w:wAfter w:w="335" w:type="dxa"/>
          <w:cantSplit/>
        </w:trPr>
        <w:tc>
          <w:tcPr>
            <w:tcW w:w="1843" w:type="dxa"/>
          </w:tcPr>
          <w:p w14:paraId="768600B7" w14:textId="77777777" w:rsidR="00BA22C6" w:rsidRPr="00F335F6" w:rsidRDefault="00BA22C6" w:rsidP="00F335F6">
            <w:pPr>
              <w:pStyle w:val="DPCbody"/>
              <w:rPr>
                <w:sz w:val="20"/>
                <w:szCs w:val="20"/>
              </w:rPr>
            </w:pPr>
            <w:r w:rsidRPr="00F335F6">
              <w:rPr>
                <w:sz w:val="20"/>
                <w:szCs w:val="20"/>
              </w:rPr>
              <w:t>Registration and Allocation</w:t>
            </w:r>
          </w:p>
        </w:tc>
        <w:tc>
          <w:tcPr>
            <w:tcW w:w="6519" w:type="dxa"/>
            <w:gridSpan w:val="3"/>
          </w:tcPr>
          <w:p w14:paraId="0DD650E3" w14:textId="77777777" w:rsidR="00BA22C6" w:rsidRPr="00F335F6" w:rsidRDefault="00BA22C6" w:rsidP="00F335F6">
            <w:pPr>
              <w:pStyle w:val="DPCbody"/>
              <w:rPr>
                <w:sz w:val="20"/>
                <w:szCs w:val="20"/>
              </w:rPr>
            </w:pPr>
            <w:r w:rsidRPr="00F335F6">
              <w:rPr>
                <w:sz w:val="20"/>
                <w:szCs w:val="20"/>
              </w:rPr>
              <w:t>The person who ‘registers’ the document and allocates accountability for completion of the document to the Accountable Officer (i.e. selects the AO).</w:t>
            </w:r>
          </w:p>
        </w:tc>
      </w:tr>
      <w:tr w:rsidR="00BA22C6" w:rsidRPr="00F335F6" w14:paraId="6C6B1469" w14:textId="77777777" w:rsidTr="00E052AD">
        <w:trPr>
          <w:gridAfter w:val="1"/>
          <w:wAfter w:w="335" w:type="dxa"/>
          <w:cantSplit/>
        </w:trPr>
        <w:tc>
          <w:tcPr>
            <w:tcW w:w="1843" w:type="dxa"/>
          </w:tcPr>
          <w:p w14:paraId="32F29FD7" w14:textId="77777777" w:rsidR="00BA22C6" w:rsidRPr="00F335F6" w:rsidRDefault="00BA22C6" w:rsidP="00F335F6">
            <w:pPr>
              <w:pStyle w:val="DPCbody"/>
              <w:rPr>
                <w:sz w:val="20"/>
                <w:szCs w:val="20"/>
              </w:rPr>
            </w:pPr>
            <w:r w:rsidRPr="00F335F6">
              <w:rPr>
                <w:sz w:val="20"/>
                <w:szCs w:val="20"/>
              </w:rPr>
              <w:t>Reviewers and Contributors</w:t>
            </w:r>
          </w:p>
        </w:tc>
        <w:tc>
          <w:tcPr>
            <w:tcW w:w="6519" w:type="dxa"/>
            <w:gridSpan w:val="3"/>
          </w:tcPr>
          <w:p w14:paraId="20EAD7F2" w14:textId="77777777" w:rsidR="00BA22C6" w:rsidRPr="00F335F6" w:rsidRDefault="00BA22C6" w:rsidP="00F335F6">
            <w:pPr>
              <w:pStyle w:val="DPCbody"/>
              <w:rPr>
                <w:sz w:val="20"/>
                <w:szCs w:val="20"/>
              </w:rPr>
            </w:pPr>
            <w:r w:rsidRPr="00F335F6">
              <w:rPr>
                <w:sz w:val="20"/>
                <w:szCs w:val="20"/>
              </w:rPr>
              <w:t>Includes all those with content to contribute and those who are to review content against any criteria.</w:t>
            </w:r>
          </w:p>
        </w:tc>
      </w:tr>
      <w:tr w:rsidR="00BA22C6" w:rsidRPr="0071365A" w14:paraId="4C1E0CE6" w14:textId="77777777" w:rsidTr="00E052AD">
        <w:trPr>
          <w:gridAfter w:val="1"/>
          <w:wAfter w:w="335" w:type="dxa"/>
          <w:cantSplit/>
        </w:trPr>
        <w:tc>
          <w:tcPr>
            <w:tcW w:w="1843" w:type="dxa"/>
          </w:tcPr>
          <w:p w14:paraId="62FAF482" w14:textId="77777777" w:rsidR="00BA22C6" w:rsidRPr="0071365A" w:rsidRDefault="00BA22C6" w:rsidP="00E7073C">
            <w:pPr>
              <w:pStyle w:val="DPCtabletext"/>
              <w:keepNext/>
              <w:rPr>
                <w:b/>
                <w:color w:val="0072CE"/>
                <w:sz w:val="24"/>
                <w:szCs w:val="24"/>
              </w:rPr>
            </w:pPr>
            <w:r w:rsidRPr="0071365A">
              <w:rPr>
                <w:b/>
                <w:color w:val="0072CE"/>
                <w:sz w:val="24"/>
                <w:szCs w:val="24"/>
              </w:rPr>
              <w:lastRenderedPageBreak/>
              <w:t>S</w:t>
            </w:r>
          </w:p>
        </w:tc>
        <w:tc>
          <w:tcPr>
            <w:tcW w:w="6519" w:type="dxa"/>
            <w:gridSpan w:val="3"/>
          </w:tcPr>
          <w:p w14:paraId="5082FC83" w14:textId="77777777" w:rsidR="00BA22C6" w:rsidRPr="0071365A" w:rsidRDefault="00BA22C6" w:rsidP="00E7073C">
            <w:pPr>
              <w:pStyle w:val="DPCtabletext"/>
              <w:keepNext/>
              <w:rPr>
                <w:b/>
                <w:color w:val="0072CE"/>
                <w:sz w:val="24"/>
                <w:szCs w:val="24"/>
              </w:rPr>
            </w:pPr>
          </w:p>
        </w:tc>
      </w:tr>
      <w:tr w:rsidR="00BA22C6" w:rsidRPr="0071365A" w14:paraId="06CD2384" w14:textId="77777777" w:rsidTr="00E052AD">
        <w:trPr>
          <w:gridAfter w:val="1"/>
          <w:wAfter w:w="335" w:type="dxa"/>
          <w:cantSplit/>
        </w:trPr>
        <w:tc>
          <w:tcPr>
            <w:tcW w:w="1843" w:type="dxa"/>
          </w:tcPr>
          <w:p w14:paraId="37E1AF31" w14:textId="33073FE4" w:rsidR="00BA22C6" w:rsidRPr="00F335F6" w:rsidRDefault="00BA22C6" w:rsidP="00F335F6">
            <w:pPr>
              <w:pStyle w:val="DPCbody"/>
              <w:rPr>
                <w:sz w:val="20"/>
                <w:szCs w:val="20"/>
              </w:rPr>
            </w:pPr>
            <w:r w:rsidRPr="00F335F6">
              <w:rPr>
                <w:sz w:val="20"/>
                <w:szCs w:val="20"/>
              </w:rPr>
              <w:t>SOD</w:t>
            </w:r>
            <w:r w:rsidR="00F335F6">
              <w:rPr>
                <w:sz w:val="20"/>
                <w:szCs w:val="20"/>
              </w:rPr>
              <w:t xml:space="preserve"> </w:t>
            </w:r>
            <w:r w:rsidRPr="00F335F6">
              <w:rPr>
                <w:sz w:val="20"/>
                <w:szCs w:val="20"/>
              </w:rPr>
              <w:t>(Statement of direction)</w:t>
            </w:r>
          </w:p>
        </w:tc>
        <w:tc>
          <w:tcPr>
            <w:tcW w:w="6519" w:type="dxa"/>
            <w:gridSpan w:val="3"/>
          </w:tcPr>
          <w:p w14:paraId="680ACA42" w14:textId="77777777" w:rsidR="00BA22C6" w:rsidRPr="00F335F6" w:rsidRDefault="00BA22C6" w:rsidP="00F335F6">
            <w:pPr>
              <w:pStyle w:val="DPCbody"/>
              <w:rPr>
                <w:sz w:val="20"/>
                <w:szCs w:val="20"/>
              </w:rPr>
            </w:pPr>
            <w:r w:rsidRPr="00F335F6">
              <w:rPr>
                <w:sz w:val="20"/>
                <w:szCs w:val="20"/>
              </w:rPr>
              <w:t>A statement of direction is a:</w:t>
            </w:r>
          </w:p>
          <w:p w14:paraId="00FE2F8E" w14:textId="77777777" w:rsidR="00BA22C6" w:rsidRPr="00F335F6" w:rsidRDefault="00BA22C6" w:rsidP="00F335F6">
            <w:pPr>
              <w:pStyle w:val="DPCbody"/>
              <w:rPr>
                <w:sz w:val="20"/>
                <w:szCs w:val="20"/>
              </w:rPr>
            </w:pPr>
            <w:r w:rsidRPr="00F335F6">
              <w:rPr>
                <w:sz w:val="20"/>
                <w:szCs w:val="20"/>
              </w:rPr>
              <w:t>Description of ‘what’ the government requires</w:t>
            </w:r>
          </w:p>
          <w:p w14:paraId="32730B71" w14:textId="77777777" w:rsidR="00BA22C6" w:rsidRPr="00F335F6" w:rsidRDefault="00BA22C6" w:rsidP="00F335F6">
            <w:pPr>
              <w:pStyle w:val="DPCbody"/>
              <w:rPr>
                <w:sz w:val="20"/>
                <w:szCs w:val="20"/>
              </w:rPr>
            </w:pPr>
            <w:r w:rsidRPr="00F335F6">
              <w:rPr>
                <w:sz w:val="20"/>
                <w:szCs w:val="20"/>
              </w:rPr>
              <w:t>Strategic view of where the government wants to be in 5-10 years times</w:t>
            </w:r>
          </w:p>
          <w:p w14:paraId="028AB204" w14:textId="77777777" w:rsidR="00BA22C6" w:rsidRPr="00F335F6" w:rsidRDefault="00BA22C6" w:rsidP="00F335F6">
            <w:pPr>
              <w:pStyle w:val="DPCbody"/>
              <w:rPr>
                <w:sz w:val="20"/>
                <w:szCs w:val="20"/>
              </w:rPr>
            </w:pPr>
            <w:r w:rsidRPr="00F335F6">
              <w:rPr>
                <w:sz w:val="20"/>
                <w:szCs w:val="20"/>
              </w:rPr>
              <w:t>A statement of direction is not a:</w:t>
            </w:r>
          </w:p>
          <w:p w14:paraId="1DDBF8C4" w14:textId="77777777" w:rsidR="00BA22C6" w:rsidRPr="00F335F6" w:rsidRDefault="00BA22C6" w:rsidP="00F335F6">
            <w:pPr>
              <w:pStyle w:val="DPCbody"/>
              <w:rPr>
                <w:sz w:val="20"/>
                <w:szCs w:val="20"/>
              </w:rPr>
            </w:pPr>
            <w:r w:rsidRPr="00F335F6">
              <w:rPr>
                <w:sz w:val="20"/>
                <w:szCs w:val="20"/>
              </w:rPr>
              <w:t>Business case or the initiation of a project</w:t>
            </w:r>
          </w:p>
          <w:p w14:paraId="1AE346F8" w14:textId="77777777" w:rsidR="00BA22C6" w:rsidRPr="00F335F6" w:rsidRDefault="00BA22C6" w:rsidP="00F335F6">
            <w:pPr>
              <w:pStyle w:val="DPCbody"/>
              <w:rPr>
                <w:sz w:val="20"/>
                <w:szCs w:val="20"/>
              </w:rPr>
            </w:pPr>
            <w:r w:rsidRPr="00F335F6">
              <w:rPr>
                <w:sz w:val="20"/>
                <w:szCs w:val="20"/>
              </w:rPr>
              <w:t>Detailed description of how, when, or who undertakes subsequent work</w:t>
            </w:r>
          </w:p>
          <w:p w14:paraId="1C265D11" w14:textId="77777777" w:rsidR="00BA22C6" w:rsidRPr="00F335F6" w:rsidRDefault="00BA22C6" w:rsidP="00F335F6">
            <w:pPr>
              <w:pStyle w:val="DPCbody"/>
              <w:rPr>
                <w:sz w:val="20"/>
                <w:szCs w:val="20"/>
              </w:rPr>
            </w:pPr>
            <w:r w:rsidRPr="00F335F6">
              <w:rPr>
                <w:sz w:val="20"/>
                <w:szCs w:val="20"/>
              </w:rPr>
              <w:t>Detailed business or functional requirements</w:t>
            </w:r>
          </w:p>
        </w:tc>
      </w:tr>
      <w:tr w:rsidR="00BA22C6" w:rsidRPr="00F335F6" w14:paraId="04D129D4" w14:textId="77777777" w:rsidTr="00E052AD">
        <w:trPr>
          <w:gridAfter w:val="1"/>
          <w:wAfter w:w="335" w:type="dxa"/>
          <w:cantSplit/>
        </w:trPr>
        <w:tc>
          <w:tcPr>
            <w:tcW w:w="1843" w:type="dxa"/>
          </w:tcPr>
          <w:p w14:paraId="06D841FB" w14:textId="77777777" w:rsidR="00BA22C6" w:rsidRPr="00F335F6" w:rsidRDefault="00BA22C6" w:rsidP="00F335F6">
            <w:pPr>
              <w:pStyle w:val="DPCbody"/>
              <w:rPr>
                <w:sz w:val="20"/>
                <w:szCs w:val="20"/>
              </w:rPr>
            </w:pPr>
            <w:r w:rsidRPr="00F335F6">
              <w:rPr>
                <w:sz w:val="20"/>
                <w:szCs w:val="20"/>
              </w:rPr>
              <w:t>Supersede</w:t>
            </w:r>
          </w:p>
        </w:tc>
        <w:tc>
          <w:tcPr>
            <w:tcW w:w="6519" w:type="dxa"/>
            <w:gridSpan w:val="3"/>
          </w:tcPr>
          <w:p w14:paraId="3167ECCD" w14:textId="260FC213" w:rsidR="00BA22C6" w:rsidRPr="00F335F6" w:rsidRDefault="00BA22C6" w:rsidP="00F335F6">
            <w:pPr>
              <w:pStyle w:val="DPCbody"/>
              <w:rPr>
                <w:sz w:val="20"/>
                <w:szCs w:val="20"/>
              </w:rPr>
            </w:pPr>
            <w:r w:rsidRPr="00F335F6">
              <w:rPr>
                <w:sz w:val="20"/>
                <w:szCs w:val="20"/>
              </w:rPr>
              <w:t>In some cases, there may be considerable delay between the Recommendation being sent to the Decision Maker and the point of decision making, particularly for a Ministerial brief. If circumstances change in the period of time after the Recommendation has been sent to the Decision Maker, there needs to be a capability for the Recommender to formally re-assess the Recommendation.</w:t>
            </w:r>
          </w:p>
          <w:p w14:paraId="7AF42F8D" w14:textId="77777777" w:rsidR="00BA22C6" w:rsidRPr="00F335F6" w:rsidRDefault="00BA22C6" w:rsidP="00F335F6">
            <w:pPr>
              <w:pStyle w:val="DPCbody"/>
              <w:rPr>
                <w:sz w:val="20"/>
                <w:szCs w:val="20"/>
              </w:rPr>
            </w:pPr>
            <w:r w:rsidRPr="00F335F6">
              <w:rPr>
                <w:sz w:val="20"/>
                <w:szCs w:val="20"/>
              </w:rPr>
              <w:t>Thus, in the circumstance where the brief is to be revised / updated - the Recommender would need to ‘Supersede’ the original recommendation with either a revised version of the same Recommendation, or an entirely new Recommendation. Typically, the decision to supersede would be done first, and eventually a revised recommendation would replace the original. The ICT system would note that the old recommendation has been replaced by the revised or completely new recommendation.</w:t>
            </w:r>
          </w:p>
        </w:tc>
      </w:tr>
      <w:tr w:rsidR="00BA22C6" w:rsidRPr="0071365A" w14:paraId="558449FB" w14:textId="77777777" w:rsidTr="00E052AD">
        <w:trPr>
          <w:gridAfter w:val="1"/>
          <w:wAfter w:w="335" w:type="dxa"/>
          <w:cantSplit/>
        </w:trPr>
        <w:tc>
          <w:tcPr>
            <w:tcW w:w="1843" w:type="dxa"/>
          </w:tcPr>
          <w:p w14:paraId="673E4D9B" w14:textId="4435EB12" w:rsidR="00BA22C6" w:rsidRPr="0071365A" w:rsidRDefault="00BA22C6" w:rsidP="00336D68">
            <w:pPr>
              <w:pStyle w:val="DPCtabletext"/>
              <w:keepNext/>
              <w:rPr>
                <w:b/>
                <w:color w:val="0072CE"/>
                <w:sz w:val="24"/>
                <w:szCs w:val="24"/>
              </w:rPr>
            </w:pPr>
            <w:bookmarkStart w:id="3" w:name="V"/>
            <w:r w:rsidRPr="0071365A">
              <w:rPr>
                <w:b/>
                <w:color w:val="0072CE"/>
                <w:sz w:val="24"/>
                <w:szCs w:val="24"/>
              </w:rPr>
              <w:t>V</w:t>
            </w:r>
            <w:bookmarkEnd w:id="3"/>
          </w:p>
        </w:tc>
        <w:tc>
          <w:tcPr>
            <w:tcW w:w="6519" w:type="dxa"/>
            <w:gridSpan w:val="3"/>
          </w:tcPr>
          <w:p w14:paraId="5C3417DC" w14:textId="77777777" w:rsidR="00BA22C6" w:rsidRPr="0071365A" w:rsidRDefault="00BA22C6" w:rsidP="00336D68">
            <w:pPr>
              <w:pStyle w:val="DPCtabletext"/>
              <w:keepNext/>
              <w:rPr>
                <w:b/>
                <w:color w:val="0072CE"/>
                <w:sz w:val="24"/>
                <w:szCs w:val="24"/>
              </w:rPr>
            </w:pPr>
          </w:p>
        </w:tc>
      </w:tr>
      <w:tr w:rsidR="00BA22C6" w:rsidRPr="00F335F6" w14:paraId="7A2768CD" w14:textId="77777777" w:rsidTr="00E052AD">
        <w:trPr>
          <w:gridAfter w:val="1"/>
          <w:wAfter w:w="335" w:type="dxa"/>
          <w:cantSplit/>
        </w:trPr>
        <w:tc>
          <w:tcPr>
            <w:tcW w:w="1843" w:type="dxa"/>
          </w:tcPr>
          <w:p w14:paraId="4369FA57" w14:textId="4C0D0C8A" w:rsidR="00BA22C6" w:rsidRPr="00F335F6" w:rsidRDefault="00BA22C6" w:rsidP="00F335F6">
            <w:pPr>
              <w:pStyle w:val="DPCbody"/>
              <w:rPr>
                <w:sz w:val="20"/>
                <w:szCs w:val="20"/>
              </w:rPr>
            </w:pPr>
            <w:r w:rsidRPr="00F335F6">
              <w:rPr>
                <w:sz w:val="20"/>
                <w:szCs w:val="20"/>
              </w:rPr>
              <w:t>VSB</w:t>
            </w:r>
            <w:r w:rsidR="00F335F6" w:rsidRPr="00F335F6">
              <w:rPr>
                <w:sz w:val="20"/>
                <w:szCs w:val="20"/>
              </w:rPr>
              <w:t xml:space="preserve"> </w:t>
            </w:r>
            <w:r w:rsidRPr="00F335F6">
              <w:rPr>
                <w:sz w:val="20"/>
                <w:szCs w:val="20"/>
              </w:rPr>
              <w:t>(Victorian Secretaries Board)</w:t>
            </w:r>
          </w:p>
        </w:tc>
        <w:tc>
          <w:tcPr>
            <w:tcW w:w="6519" w:type="dxa"/>
            <w:gridSpan w:val="3"/>
          </w:tcPr>
          <w:p w14:paraId="53B5A27D" w14:textId="77777777" w:rsidR="00BA22C6" w:rsidRPr="00F335F6" w:rsidRDefault="00BA22C6" w:rsidP="00761073">
            <w:pPr>
              <w:pStyle w:val="DPCbody"/>
              <w:rPr>
                <w:sz w:val="20"/>
                <w:szCs w:val="20"/>
              </w:rPr>
            </w:pPr>
            <w:r w:rsidRPr="00F335F6">
              <w:rPr>
                <w:sz w:val="20"/>
                <w:szCs w:val="20"/>
              </w:rPr>
              <w:t>VSB comprises the Secretaries of each department, the Chief Commissioner of Police and the Victorian Public Sector Commissioner. The board is chaired by the Secretary of the Department of Premier and Cabinet.</w:t>
            </w:r>
          </w:p>
        </w:tc>
      </w:tr>
      <w:tr w:rsidR="00BA22C6" w:rsidRPr="00F335F6" w14:paraId="1DF9766A" w14:textId="77777777" w:rsidTr="00E052AD">
        <w:trPr>
          <w:gridAfter w:val="1"/>
          <w:wAfter w:w="335" w:type="dxa"/>
          <w:cantSplit/>
        </w:trPr>
        <w:tc>
          <w:tcPr>
            <w:tcW w:w="1843" w:type="dxa"/>
          </w:tcPr>
          <w:p w14:paraId="54EC870B" w14:textId="77777777" w:rsidR="00BA22C6" w:rsidRPr="00F335F6" w:rsidRDefault="00BA22C6" w:rsidP="00F335F6">
            <w:pPr>
              <w:pStyle w:val="DPCbody"/>
              <w:rPr>
                <w:sz w:val="20"/>
                <w:szCs w:val="20"/>
              </w:rPr>
            </w:pPr>
            <w:r w:rsidRPr="00F335F6">
              <w:rPr>
                <w:sz w:val="20"/>
                <w:szCs w:val="20"/>
              </w:rPr>
              <w:t>VSB Integrity and Corporate Reform Subcommittee</w:t>
            </w:r>
          </w:p>
        </w:tc>
        <w:tc>
          <w:tcPr>
            <w:tcW w:w="6519" w:type="dxa"/>
            <w:gridSpan w:val="3"/>
          </w:tcPr>
          <w:p w14:paraId="11059388" w14:textId="77777777" w:rsidR="00BA22C6" w:rsidRPr="00F335F6" w:rsidRDefault="00BA22C6" w:rsidP="00F335F6">
            <w:pPr>
              <w:pStyle w:val="DPCbody"/>
              <w:rPr>
                <w:sz w:val="20"/>
                <w:szCs w:val="20"/>
              </w:rPr>
            </w:pPr>
            <w:r w:rsidRPr="00F335F6">
              <w:rPr>
                <w:sz w:val="20"/>
                <w:szCs w:val="20"/>
              </w:rPr>
              <w:t>See ICRS</w:t>
            </w:r>
          </w:p>
        </w:tc>
      </w:tr>
      <w:tr w:rsidR="00BA22C6" w:rsidRPr="0071365A" w14:paraId="17585837" w14:textId="77777777" w:rsidTr="00E052AD">
        <w:trPr>
          <w:gridAfter w:val="1"/>
          <w:wAfter w:w="335" w:type="dxa"/>
          <w:cantSplit/>
        </w:trPr>
        <w:tc>
          <w:tcPr>
            <w:tcW w:w="1843" w:type="dxa"/>
          </w:tcPr>
          <w:p w14:paraId="06408838" w14:textId="77777777" w:rsidR="00BA22C6" w:rsidRPr="0071365A" w:rsidRDefault="00BA22C6" w:rsidP="001173A4">
            <w:pPr>
              <w:pStyle w:val="DPCtabletext"/>
              <w:keepNext/>
              <w:rPr>
                <w:b/>
                <w:color w:val="0072CE"/>
                <w:sz w:val="24"/>
                <w:szCs w:val="24"/>
              </w:rPr>
            </w:pPr>
            <w:r w:rsidRPr="0071365A">
              <w:rPr>
                <w:b/>
                <w:color w:val="0072CE"/>
                <w:sz w:val="24"/>
                <w:szCs w:val="24"/>
              </w:rPr>
              <w:lastRenderedPageBreak/>
              <w:t>W</w:t>
            </w:r>
          </w:p>
        </w:tc>
        <w:tc>
          <w:tcPr>
            <w:tcW w:w="6519" w:type="dxa"/>
            <w:gridSpan w:val="3"/>
          </w:tcPr>
          <w:p w14:paraId="74B6794C" w14:textId="77777777" w:rsidR="00BA22C6" w:rsidRPr="0071365A" w:rsidRDefault="00BA22C6" w:rsidP="001173A4">
            <w:pPr>
              <w:pStyle w:val="DPCtabletext"/>
              <w:keepNext/>
              <w:rPr>
                <w:b/>
                <w:color w:val="0072CE"/>
                <w:sz w:val="24"/>
                <w:szCs w:val="24"/>
              </w:rPr>
            </w:pPr>
          </w:p>
        </w:tc>
      </w:tr>
      <w:tr w:rsidR="00BA22C6" w:rsidRPr="0071365A" w14:paraId="0B7615C4" w14:textId="77777777" w:rsidTr="00E052AD">
        <w:trPr>
          <w:gridAfter w:val="1"/>
          <w:wAfter w:w="335" w:type="dxa"/>
          <w:cantSplit/>
        </w:trPr>
        <w:tc>
          <w:tcPr>
            <w:tcW w:w="1843" w:type="dxa"/>
          </w:tcPr>
          <w:p w14:paraId="333CF658" w14:textId="77777777" w:rsidR="00BA22C6" w:rsidRPr="00E052AD" w:rsidRDefault="00BA22C6" w:rsidP="00E052AD">
            <w:pPr>
              <w:pStyle w:val="DPCbody"/>
              <w:rPr>
                <w:sz w:val="20"/>
                <w:szCs w:val="20"/>
              </w:rPr>
            </w:pPr>
            <w:r w:rsidRPr="00E052AD">
              <w:rPr>
                <w:sz w:val="20"/>
                <w:szCs w:val="20"/>
              </w:rPr>
              <w:t>Withdraw</w:t>
            </w:r>
          </w:p>
        </w:tc>
        <w:tc>
          <w:tcPr>
            <w:tcW w:w="6519" w:type="dxa"/>
            <w:gridSpan w:val="3"/>
          </w:tcPr>
          <w:p w14:paraId="44C368EF" w14:textId="34032F70" w:rsidR="00BA22C6" w:rsidRPr="00E052AD" w:rsidRDefault="00BA22C6" w:rsidP="00E052AD">
            <w:pPr>
              <w:pStyle w:val="DPCbody"/>
              <w:rPr>
                <w:sz w:val="20"/>
                <w:szCs w:val="20"/>
              </w:rPr>
            </w:pPr>
            <w:r w:rsidRPr="00E052AD">
              <w:rPr>
                <w:sz w:val="20"/>
                <w:szCs w:val="20"/>
              </w:rPr>
              <w:t>In some cases, there may be considerable delay between the Recommendation being sent to the Decision Maker and the point of decision making, particularly for a Ministerial brief. If circumstances change in the period of time after the Recommendation has been sent to the Decision Maker, there needs to be a capability for the Recommender to formally re-assess the Recommendation.</w:t>
            </w:r>
          </w:p>
          <w:p w14:paraId="179D5FEF" w14:textId="77777777" w:rsidR="00BA22C6" w:rsidRPr="00E052AD" w:rsidRDefault="00BA22C6" w:rsidP="00E052AD">
            <w:pPr>
              <w:pStyle w:val="DPCbody"/>
              <w:rPr>
                <w:sz w:val="20"/>
                <w:szCs w:val="20"/>
              </w:rPr>
            </w:pPr>
            <w:r w:rsidRPr="00E052AD">
              <w:rPr>
                <w:sz w:val="20"/>
                <w:szCs w:val="20"/>
              </w:rPr>
              <w:t>Thus, in the circumstance where the brief is to be withdrawn and not replaced with another brief (e.g. where some activity trigger or point in time have passed), the Recommender would need to ‘Withdraw’ the original recommendation.</w:t>
            </w:r>
          </w:p>
        </w:tc>
      </w:tr>
      <w:tr w:rsidR="00BA22C6" w:rsidRPr="00E052AD" w14:paraId="4930E7E2" w14:textId="77777777" w:rsidTr="00E052AD">
        <w:trPr>
          <w:gridAfter w:val="2"/>
          <w:wAfter w:w="736" w:type="dxa"/>
        </w:trPr>
        <w:tc>
          <w:tcPr>
            <w:tcW w:w="1985" w:type="dxa"/>
            <w:gridSpan w:val="2"/>
          </w:tcPr>
          <w:p w14:paraId="4C2DADAF" w14:textId="77777777" w:rsidR="00BA22C6" w:rsidRPr="00E052AD" w:rsidRDefault="00BA22C6" w:rsidP="00FB4458">
            <w:pPr>
              <w:pStyle w:val="DPCbody"/>
              <w:rPr>
                <w:sz w:val="20"/>
                <w:szCs w:val="20"/>
              </w:rPr>
            </w:pPr>
            <w:r w:rsidRPr="00E052AD">
              <w:rPr>
                <w:sz w:val="20"/>
                <w:szCs w:val="20"/>
              </w:rPr>
              <w:t>Working document</w:t>
            </w:r>
          </w:p>
        </w:tc>
        <w:tc>
          <w:tcPr>
            <w:tcW w:w="5976" w:type="dxa"/>
          </w:tcPr>
          <w:p w14:paraId="0F6CF63B" w14:textId="524E174D" w:rsidR="00BA22C6" w:rsidRPr="00E052AD" w:rsidRDefault="00BA22C6" w:rsidP="00FB4458">
            <w:pPr>
              <w:pStyle w:val="DPCbody"/>
              <w:rPr>
                <w:sz w:val="20"/>
                <w:szCs w:val="20"/>
              </w:rPr>
            </w:pPr>
            <w:r w:rsidRPr="00E052AD">
              <w:rPr>
                <w:sz w:val="20"/>
                <w:szCs w:val="20"/>
              </w:rPr>
              <w:t>Is a printed version of a digital record and is considered to have no administrative, operational, financial, legal or historic value. For example, a paper copy printed out:</w:t>
            </w:r>
          </w:p>
          <w:p w14:paraId="622EFF3C" w14:textId="77777777" w:rsidR="00BA22C6" w:rsidRPr="00E052AD" w:rsidRDefault="00BA22C6" w:rsidP="00E052AD">
            <w:pPr>
              <w:pStyle w:val="DPCbody"/>
              <w:rPr>
                <w:sz w:val="20"/>
                <w:szCs w:val="20"/>
              </w:rPr>
            </w:pPr>
            <w:r w:rsidRPr="00E052AD">
              <w:rPr>
                <w:sz w:val="20"/>
                <w:szCs w:val="20"/>
              </w:rPr>
              <w:t>for reading or mobility purposes</w:t>
            </w:r>
          </w:p>
          <w:p w14:paraId="40029DC7" w14:textId="77777777" w:rsidR="00BA22C6" w:rsidRPr="00E052AD" w:rsidRDefault="00BA22C6" w:rsidP="00E052AD">
            <w:pPr>
              <w:pStyle w:val="DPCbody"/>
              <w:rPr>
                <w:sz w:val="20"/>
                <w:szCs w:val="20"/>
              </w:rPr>
            </w:pPr>
            <w:r w:rsidRPr="00E052AD">
              <w:rPr>
                <w:sz w:val="20"/>
                <w:szCs w:val="20"/>
              </w:rPr>
              <w:t>to be physically signed (a wet signature) and scanned back into the system as a digital record</w:t>
            </w:r>
          </w:p>
          <w:p w14:paraId="3F6BB43C" w14:textId="011082B9" w:rsidR="00BA22C6" w:rsidRPr="00E052AD" w:rsidRDefault="00BA22C6" w:rsidP="00E052AD">
            <w:pPr>
              <w:pStyle w:val="DPCbody"/>
              <w:rPr>
                <w:sz w:val="20"/>
                <w:szCs w:val="20"/>
              </w:rPr>
            </w:pPr>
            <w:r w:rsidRPr="00E052AD">
              <w:rPr>
                <w:sz w:val="20"/>
                <w:szCs w:val="20"/>
              </w:rPr>
              <w:t>to be sent as a letter to the recipient.</w:t>
            </w:r>
          </w:p>
          <w:p w14:paraId="21EE2C94" w14:textId="5299B108" w:rsidR="00BA22C6" w:rsidRPr="00E052AD" w:rsidRDefault="00BA22C6" w:rsidP="00FB4458">
            <w:pPr>
              <w:pStyle w:val="DPCbody"/>
              <w:rPr>
                <w:sz w:val="20"/>
                <w:szCs w:val="20"/>
              </w:rPr>
            </w:pPr>
            <w:r w:rsidRPr="00E052AD">
              <w:rPr>
                <w:sz w:val="20"/>
                <w:szCs w:val="20"/>
              </w:rPr>
              <w:t xml:space="preserve">A working document should be securely managed and disposed of according to the protective marking of the digital record it is a copy of, the department’s digitisation plan/s and the department’s </w:t>
            </w:r>
            <w:hyperlink r:id="rId17" w:history="1">
              <w:r w:rsidR="00E052AD" w:rsidRPr="00E052AD">
                <w:rPr>
                  <w:rStyle w:val="Hyperlink"/>
                  <w:sz w:val="20"/>
                  <w:szCs w:val="20"/>
                </w:rPr>
                <w:t>Normal Administrative Practice</w:t>
              </w:r>
            </w:hyperlink>
            <w:r w:rsidR="00E052AD" w:rsidRPr="00E052AD">
              <w:rPr>
                <w:sz w:val="20"/>
                <w:szCs w:val="20"/>
              </w:rPr>
              <w:t xml:space="preserve"> disposal policy.</w:t>
            </w:r>
          </w:p>
        </w:tc>
      </w:tr>
      <w:tr w:rsidR="00BA22C6" w:rsidRPr="00E052AD" w14:paraId="4E373695" w14:textId="77777777" w:rsidTr="00E052AD">
        <w:trPr>
          <w:gridAfter w:val="1"/>
          <w:wAfter w:w="335" w:type="dxa"/>
          <w:cantSplit/>
        </w:trPr>
        <w:tc>
          <w:tcPr>
            <w:tcW w:w="1843" w:type="dxa"/>
          </w:tcPr>
          <w:p w14:paraId="743C92D4" w14:textId="77777777" w:rsidR="00BA22C6" w:rsidRPr="00E052AD" w:rsidRDefault="00BA22C6" w:rsidP="00E052AD">
            <w:pPr>
              <w:pStyle w:val="DPCbody"/>
              <w:rPr>
                <w:sz w:val="20"/>
                <w:szCs w:val="20"/>
              </w:rPr>
            </w:pPr>
            <w:r w:rsidRPr="00E052AD">
              <w:rPr>
                <w:sz w:val="20"/>
                <w:szCs w:val="20"/>
              </w:rPr>
              <w:t>WOVG ABC Group</w:t>
            </w:r>
          </w:p>
        </w:tc>
        <w:tc>
          <w:tcPr>
            <w:tcW w:w="6519" w:type="dxa"/>
            <w:gridSpan w:val="3"/>
          </w:tcPr>
          <w:p w14:paraId="52D9C507" w14:textId="77777777" w:rsidR="00BA22C6" w:rsidRPr="00E052AD" w:rsidRDefault="00BA22C6" w:rsidP="00E052AD">
            <w:pPr>
              <w:pStyle w:val="DPCbody"/>
              <w:rPr>
                <w:sz w:val="20"/>
                <w:szCs w:val="20"/>
              </w:rPr>
            </w:pPr>
            <w:r w:rsidRPr="00E052AD">
              <w:rPr>
                <w:sz w:val="20"/>
                <w:szCs w:val="20"/>
              </w:rPr>
              <w:t>Senior Officers, probably subject matter experts (SMEs) in the operation of briefs and correspondence drawn from all departments in scope of the ABC.</w:t>
            </w:r>
          </w:p>
          <w:p w14:paraId="07687AAF" w14:textId="77777777" w:rsidR="00BA22C6" w:rsidRPr="00E052AD" w:rsidRDefault="00BA22C6" w:rsidP="00E052AD">
            <w:pPr>
              <w:pStyle w:val="DPCbody"/>
              <w:rPr>
                <w:sz w:val="20"/>
                <w:szCs w:val="20"/>
              </w:rPr>
            </w:pPr>
            <w:r w:rsidRPr="00E052AD">
              <w:rPr>
                <w:sz w:val="20"/>
                <w:szCs w:val="20"/>
              </w:rPr>
              <w:t>The WOVG ABC Group identifies and develops recommendations regarding the governance and operation of the ABC governance model and the implementation of the Automated Briefing and Correspondence Statement of Direction.</w:t>
            </w:r>
          </w:p>
        </w:tc>
      </w:tr>
      <w:tr w:rsidR="00BA22C6" w:rsidRPr="00E052AD" w14:paraId="258B37F2" w14:textId="77777777" w:rsidTr="00E052AD">
        <w:trPr>
          <w:gridAfter w:val="1"/>
          <w:wAfter w:w="335" w:type="dxa"/>
          <w:cantSplit/>
        </w:trPr>
        <w:tc>
          <w:tcPr>
            <w:tcW w:w="1843" w:type="dxa"/>
          </w:tcPr>
          <w:p w14:paraId="3735D602" w14:textId="77777777" w:rsidR="00BA22C6" w:rsidRPr="00E052AD" w:rsidRDefault="00BA22C6" w:rsidP="00E052AD">
            <w:pPr>
              <w:pStyle w:val="DPCbody"/>
              <w:rPr>
                <w:sz w:val="20"/>
                <w:szCs w:val="20"/>
              </w:rPr>
            </w:pPr>
            <w:r w:rsidRPr="00E052AD">
              <w:rPr>
                <w:sz w:val="20"/>
                <w:szCs w:val="20"/>
              </w:rPr>
              <w:t>WOVG ABC Leader</w:t>
            </w:r>
          </w:p>
        </w:tc>
        <w:tc>
          <w:tcPr>
            <w:tcW w:w="6519" w:type="dxa"/>
            <w:gridSpan w:val="3"/>
          </w:tcPr>
          <w:p w14:paraId="275FE970" w14:textId="717395BF" w:rsidR="00BA22C6" w:rsidRPr="00E052AD" w:rsidRDefault="00BA22C6" w:rsidP="00E052AD">
            <w:pPr>
              <w:pStyle w:val="DPCbody"/>
              <w:rPr>
                <w:sz w:val="20"/>
                <w:szCs w:val="20"/>
              </w:rPr>
            </w:pPr>
            <w:r w:rsidRPr="00E052AD">
              <w:rPr>
                <w:sz w:val="20"/>
                <w:szCs w:val="20"/>
              </w:rPr>
              <w:t>The individual with day-to-day / line management of WOVG ABC governance. This role provides WOVG coordination of the ABC, as well as administrative support for the WOVG ABC Group.</w:t>
            </w:r>
          </w:p>
        </w:tc>
      </w:tr>
    </w:tbl>
    <w:p w14:paraId="44E4339E" w14:textId="77777777" w:rsidR="0046522F" w:rsidRPr="0071365A" w:rsidRDefault="0046522F" w:rsidP="00A14D21">
      <w:pPr>
        <w:pStyle w:val="Heading1"/>
        <w:pageBreakBefore/>
      </w:pPr>
      <w:r w:rsidRPr="0071365A">
        <w:lastRenderedPageBreak/>
        <w:t>Further information</w:t>
      </w:r>
    </w:p>
    <w:p w14:paraId="019D14E9" w14:textId="7F4F9ABF" w:rsidR="001B24EF" w:rsidRPr="0071365A" w:rsidRDefault="0046522F" w:rsidP="0046522F">
      <w:pPr>
        <w:pStyle w:val="DPCbody"/>
      </w:pPr>
      <w:r w:rsidRPr="0071365A">
        <w:t xml:space="preserve">For further information regarding this </w:t>
      </w:r>
      <w:r w:rsidR="00A649B7">
        <w:t>glossary</w:t>
      </w:r>
      <w:bookmarkStart w:id="4" w:name="_GoBack"/>
      <w:bookmarkEnd w:id="4"/>
      <w:r w:rsidRPr="0071365A">
        <w:t xml:space="preserve">, please contact </w:t>
      </w:r>
      <w:r w:rsidR="00FF191D">
        <w:t>Digital Strategy and Transformation</w:t>
      </w:r>
      <w:r w:rsidRPr="0071365A">
        <w:t xml:space="preserve">, Department of Premier and Cabinet, at: </w:t>
      </w:r>
      <w:hyperlink r:id="rId18" w:history="1">
        <w:r w:rsidR="00FF191D" w:rsidRPr="004509D6">
          <w:rPr>
            <w:rStyle w:val="Hyperlink"/>
          </w:rPr>
          <w:t>digital.transformation@dpc.vic.gov.au</w:t>
        </w:r>
      </w:hyperlink>
      <w:r w:rsidRPr="0071365A">
        <w:t>.</w:t>
      </w:r>
    </w:p>
    <w:p w14:paraId="34A5940A" w14:textId="77777777" w:rsidR="0046522F" w:rsidRPr="0071365A" w:rsidRDefault="0046522F" w:rsidP="0046522F">
      <w:pPr>
        <w:pStyle w:val="Heading1"/>
      </w:pPr>
      <w:r w:rsidRPr="0071365A">
        <w:t>Document Control</w:t>
      </w:r>
    </w:p>
    <w:p w14:paraId="4F2D1856" w14:textId="77777777" w:rsidR="0046522F" w:rsidRPr="0071365A" w:rsidRDefault="0046522F" w:rsidP="0046522F">
      <w:pPr>
        <w:pStyle w:val="Heading2"/>
      </w:pPr>
      <w:r w:rsidRPr="0071365A">
        <w:t>Approval</w:t>
      </w:r>
    </w:p>
    <w:p w14:paraId="100B7E7D" w14:textId="0F0F9ED0" w:rsidR="0046522F" w:rsidRPr="0071365A" w:rsidRDefault="00A73826" w:rsidP="0046522F">
      <w:pPr>
        <w:pStyle w:val="DPCbody"/>
      </w:pPr>
      <w:r>
        <w:t>This document is yet to be formally approved and is published as guidance only. It is expected that when delivery of the common platform commences, under the requirements of VSB approved ABC SOD, the ABC Governance Model and associated standards and templates will be formally reviewed and approved</w:t>
      </w:r>
      <w:r w:rsidR="0046522F" w:rsidRPr="0071365A">
        <w:t>.</w:t>
      </w:r>
    </w:p>
    <w:p w14:paraId="2400381C" w14:textId="77777777" w:rsidR="0046522F" w:rsidRPr="0071365A" w:rsidRDefault="0046522F" w:rsidP="0046522F">
      <w:pPr>
        <w:pStyle w:val="Heading2"/>
      </w:pPr>
      <w:r w:rsidRPr="0071365A">
        <w:t>Version history</w:t>
      </w:r>
    </w:p>
    <w:tbl>
      <w:tblPr>
        <w:tblStyle w:val="TableGrid"/>
        <w:tblW w:w="5000" w:type="pct"/>
        <w:tblLook w:val="04A0" w:firstRow="1" w:lastRow="0" w:firstColumn="1" w:lastColumn="0" w:noHBand="0" w:noVBand="1"/>
      </w:tblPr>
      <w:tblGrid>
        <w:gridCol w:w="1339"/>
        <w:gridCol w:w="2027"/>
        <w:gridCol w:w="6771"/>
      </w:tblGrid>
      <w:tr w:rsidR="0046522F" w:rsidRPr="0071365A" w14:paraId="0CAAFDE4" w14:textId="77777777" w:rsidTr="006E2ECF">
        <w:tc>
          <w:tcPr>
            <w:tcW w:w="1339" w:type="dxa"/>
            <w:vAlign w:val="center"/>
          </w:tcPr>
          <w:p w14:paraId="37755494" w14:textId="77777777" w:rsidR="0046522F" w:rsidRPr="0071365A" w:rsidRDefault="0046522F" w:rsidP="0046522F">
            <w:pPr>
              <w:pStyle w:val="DPCtablecolhead"/>
              <w:spacing w:before="120" w:after="120"/>
            </w:pPr>
            <w:r w:rsidRPr="0071365A">
              <w:t>Version</w:t>
            </w:r>
          </w:p>
        </w:tc>
        <w:tc>
          <w:tcPr>
            <w:tcW w:w="2027" w:type="dxa"/>
            <w:vAlign w:val="center"/>
          </w:tcPr>
          <w:p w14:paraId="2B3A7368" w14:textId="77777777" w:rsidR="0046522F" w:rsidRPr="0071365A" w:rsidRDefault="0046522F" w:rsidP="0046522F">
            <w:pPr>
              <w:pStyle w:val="DPCtablecolhead"/>
              <w:spacing w:before="120" w:after="120"/>
            </w:pPr>
            <w:r w:rsidRPr="0071365A">
              <w:t>Date</w:t>
            </w:r>
          </w:p>
        </w:tc>
        <w:tc>
          <w:tcPr>
            <w:tcW w:w="6771" w:type="dxa"/>
            <w:vAlign w:val="center"/>
          </w:tcPr>
          <w:p w14:paraId="7C6A14C0" w14:textId="77777777" w:rsidR="0046522F" w:rsidRPr="0071365A" w:rsidRDefault="0046522F" w:rsidP="0046522F">
            <w:pPr>
              <w:pStyle w:val="DPCtablecolhead"/>
              <w:spacing w:before="120" w:after="120"/>
            </w:pPr>
            <w:r w:rsidRPr="0071365A">
              <w:t>Comments</w:t>
            </w:r>
          </w:p>
        </w:tc>
      </w:tr>
      <w:tr w:rsidR="0046522F" w:rsidRPr="0071365A" w14:paraId="3CE9C8E6" w14:textId="77777777" w:rsidTr="006E2ECF">
        <w:tc>
          <w:tcPr>
            <w:tcW w:w="1339" w:type="dxa"/>
            <w:vAlign w:val="center"/>
          </w:tcPr>
          <w:p w14:paraId="16DADC49" w14:textId="4853576C" w:rsidR="0046522F" w:rsidRPr="0071365A" w:rsidRDefault="0002601F" w:rsidP="0046522F">
            <w:pPr>
              <w:pStyle w:val="DPCtabletext"/>
              <w:spacing w:before="120" w:after="120"/>
            </w:pPr>
            <w:r w:rsidRPr="0071365A">
              <w:t>0.1</w:t>
            </w:r>
          </w:p>
        </w:tc>
        <w:tc>
          <w:tcPr>
            <w:tcW w:w="2027" w:type="dxa"/>
            <w:vAlign w:val="center"/>
          </w:tcPr>
          <w:p w14:paraId="6541A8CB" w14:textId="26866E93" w:rsidR="0046522F" w:rsidRPr="0071365A" w:rsidRDefault="00B56ABE" w:rsidP="0046522F">
            <w:pPr>
              <w:pStyle w:val="DPCtabletext"/>
              <w:spacing w:before="120" w:after="120"/>
            </w:pPr>
            <w:r w:rsidRPr="0071365A">
              <w:t>27</w:t>
            </w:r>
            <w:r w:rsidR="0002601F" w:rsidRPr="0071365A">
              <w:t>/04</w:t>
            </w:r>
            <w:r w:rsidR="00CF4A60" w:rsidRPr="0071365A">
              <w:t>/2018</w:t>
            </w:r>
          </w:p>
        </w:tc>
        <w:tc>
          <w:tcPr>
            <w:tcW w:w="6771" w:type="dxa"/>
            <w:vAlign w:val="center"/>
          </w:tcPr>
          <w:p w14:paraId="22F57081" w14:textId="2694D007" w:rsidR="0046522F" w:rsidRPr="0071365A" w:rsidRDefault="0002601F" w:rsidP="0046522F">
            <w:pPr>
              <w:pStyle w:val="DPCtabletext"/>
              <w:spacing w:before="120" w:after="120"/>
            </w:pPr>
            <w:r w:rsidRPr="0071365A">
              <w:t>Initial draft</w:t>
            </w:r>
          </w:p>
        </w:tc>
      </w:tr>
      <w:tr w:rsidR="00761073" w:rsidRPr="0071365A" w14:paraId="0C57322D" w14:textId="77777777" w:rsidTr="006E2ECF">
        <w:tc>
          <w:tcPr>
            <w:tcW w:w="1339" w:type="dxa"/>
            <w:vAlign w:val="center"/>
          </w:tcPr>
          <w:p w14:paraId="5B91B2CA" w14:textId="082C8FC4" w:rsidR="00761073" w:rsidRPr="0071365A" w:rsidRDefault="00761073" w:rsidP="0046522F">
            <w:pPr>
              <w:pStyle w:val="DPCtabletext"/>
              <w:spacing w:before="120" w:after="120"/>
            </w:pPr>
            <w:r w:rsidRPr="0071365A">
              <w:t>0.2</w:t>
            </w:r>
          </w:p>
        </w:tc>
        <w:tc>
          <w:tcPr>
            <w:tcW w:w="2027" w:type="dxa"/>
            <w:vAlign w:val="center"/>
          </w:tcPr>
          <w:p w14:paraId="7F84E025" w14:textId="3093F426" w:rsidR="00761073" w:rsidRPr="0071365A" w:rsidRDefault="00761073" w:rsidP="0046522F">
            <w:pPr>
              <w:pStyle w:val="DPCtabletext"/>
              <w:spacing w:before="120" w:after="120"/>
            </w:pPr>
            <w:r w:rsidRPr="0071365A">
              <w:t>07/05/2018</w:t>
            </w:r>
          </w:p>
        </w:tc>
        <w:tc>
          <w:tcPr>
            <w:tcW w:w="6771" w:type="dxa"/>
            <w:vAlign w:val="center"/>
          </w:tcPr>
          <w:p w14:paraId="2797F9CF" w14:textId="370A1425" w:rsidR="00761073" w:rsidRPr="0071365A" w:rsidRDefault="00761073" w:rsidP="0046522F">
            <w:pPr>
              <w:pStyle w:val="DPCtabletext"/>
              <w:spacing w:before="120" w:after="120"/>
            </w:pPr>
            <w:r w:rsidRPr="0071365A">
              <w:t>First formal draft</w:t>
            </w:r>
          </w:p>
        </w:tc>
      </w:tr>
      <w:tr w:rsidR="00761073" w:rsidRPr="00CF4A60" w14:paraId="26811A2A" w14:textId="77777777" w:rsidTr="006E2ECF">
        <w:tc>
          <w:tcPr>
            <w:tcW w:w="1339" w:type="dxa"/>
            <w:vAlign w:val="center"/>
          </w:tcPr>
          <w:p w14:paraId="675BD6FB" w14:textId="41D58364" w:rsidR="00761073" w:rsidRPr="0071365A" w:rsidRDefault="00761073" w:rsidP="0046522F">
            <w:pPr>
              <w:pStyle w:val="DPCtabletext"/>
              <w:spacing w:before="120" w:after="120"/>
            </w:pPr>
            <w:r w:rsidRPr="0071365A">
              <w:t>0.3</w:t>
            </w:r>
          </w:p>
        </w:tc>
        <w:tc>
          <w:tcPr>
            <w:tcW w:w="2027" w:type="dxa"/>
            <w:vAlign w:val="center"/>
          </w:tcPr>
          <w:p w14:paraId="49535218" w14:textId="371E6DC4" w:rsidR="00761073" w:rsidRPr="0071365A" w:rsidRDefault="00761073" w:rsidP="0046522F">
            <w:pPr>
              <w:pStyle w:val="DPCtabletext"/>
              <w:spacing w:before="120" w:after="120"/>
            </w:pPr>
            <w:r w:rsidRPr="0071365A">
              <w:t>30/05/2018</w:t>
            </w:r>
          </w:p>
        </w:tc>
        <w:tc>
          <w:tcPr>
            <w:tcW w:w="6771" w:type="dxa"/>
            <w:vAlign w:val="center"/>
          </w:tcPr>
          <w:p w14:paraId="1C8146AD" w14:textId="2565DB43" w:rsidR="00761073" w:rsidRDefault="00761073" w:rsidP="0046522F">
            <w:pPr>
              <w:pStyle w:val="DPCtabletext"/>
              <w:spacing w:before="120" w:after="120"/>
            </w:pPr>
            <w:r w:rsidRPr="0071365A">
              <w:t>Second formal draft</w:t>
            </w:r>
          </w:p>
        </w:tc>
      </w:tr>
      <w:tr w:rsidR="00A85E76" w:rsidRPr="00CF4A60" w14:paraId="76B60ED7" w14:textId="77777777" w:rsidTr="006E2ECF">
        <w:tc>
          <w:tcPr>
            <w:tcW w:w="1339" w:type="dxa"/>
            <w:vAlign w:val="center"/>
          </w:tcPr>
          <w:p w14:paraId="0AC39E29" w14:textId="6ED31446" w:rsidR="00A85E76" w:rsidRPr="0071365A" w:rsidRDefault="00ED78CC" w:rsidP="0046522F">
            <w:pPr>
              <w:pStyle w:val="DPCtabletext"/>
              <w:spacing w:before="120" w:after="120"/>
            </w:pPr>
            <w:r>
              <w:t>0.4</w:t>
            </w:r>
          </w:p>
        </w:tc>
        <w:tc>
          <w:tcPr>
            <w:tcW w:w="2027" w:type="dxa"/>
            <w:vAlign w:val="center"/>
          </w:tcPr>
          <w:p w14:paraId="0D9744F8" w14:textId="3D935BAD" w:rsidR="00A85E76" w:rsidRPr="0071365A" w:rsidRDefault="00A85E76" w:rsidP="0046522F">
            <w:pPr>
              <w:pStyle w:val="DPCtabletext"/>
              <w:spacing w:before="120" w:after="120"/>
            </w:pPr>
            <w:r>
              <w:t>01/08/2018</w:t>
            </w:r>
          </w:p>
        </w:tc>
        <w:tc>
          <w:tcPr>
            <w:tcW w:w="6771" w:type="dxa"/>
            <w:vAlign w:val="center"/>
          </w:tcPr>
          <w:p w14:paraId="7F3D88CD" w14:textId="08E68644" w:rsidR="00A85E76" w:rsidRPr="0071365A" w:rsidRDefault="00ED78CC" w:rsidP="0046522F">
            <w:pPr>
              <w:pStyle w:val="DPCtabletext"/>
              <w:spacing w:before="120" w:after="120"/>
            </w:pPr>
            <w:r>
              <w:t>Updated to reflect feedback</w:t>
            </w:r>
          </w:p>
        </w:tc>
      </w:tr>
      <w:tr w:rsidR="00ED78CC" w:rsidRPr="00CF4A60" w14:paraId="08E45E82" w14:textId="77777777" w:rsidTr="006E2ECF">
        <w:tc>
          <w:tcPr>
            <w:tcW w:w="1339" w:type="dxa"/>
            <w:vAlign w:val="center"/>
          </w:tcPr>
          <w:p w14:paraId="09513BFF" w14:textId="0E61EACC" w:rsidR="00ED78CC" w:rsidRDefault="00845ACC" w:rsidP="0046522F">
            <w:pPr>
              <w:pStyle w:val="DPCtabletext"/>
              <w:spacing w:before="120" w:after="120"/>
            </w:pPr>
            <w:r>
              <w:t>1.0</w:t>
            </w:r>
          </w:p>
        </w:tc>
        <w:tc>
          <w:tcPr>
            <w:tcW w:w="2027" w:type="dxa"/>
            <w:vAlign w:val="center"/>
          </w:tcPr>
          <w:p w14:paraId="0C775CA3" w14:textId="61CBB44F" w:rsidR="00ED78CC" w:rsidRDefault="00034A58" w:rsidP="0046522F">
            <w:pPr>
              <w:pStyle w:val="DPCtabletext"/>
              <w:spacing w:before="120" w:after="120"/>
            </w:pPr>
            <w:r>
              <w:t>0</w:t>
            </w:r>
            <w:r w:rsidR="00845ACC">
              <w:t>3</w:t>
            </w:r>
            <w:r w:rsidR="00ED78CC">
              <w:t>/0</w:t>
            </w:r>
            <w:r w:rsidR="00845ACC">
              <w:t>9</w:t>
            </w:r>
            <w:r w:rsidR="00ED78CC">
              <w:t>/2019</w:t>
            </w:r>
          </w:p>
        </w:tc>
        <w:tc>
          <w:tcPr>
            <w:tcW w:w="6771" w:type="dxa"/>
            <w:vAlign w:val="center"/>
          </w:tcPr>
          <w:p w14:paraId="5A299921" w14:textId="686E81BC" w:rsidR="00ED78CC" w:rsidRDefault="00ED78CC" w:rsidP="0046522F">
            <w:pPr>
              <w:pStyle w:val="DPCtabletext"/>
              <w:spacing w:before="120" w:after="120"/>
            </w:pPr>
            <w:r>
              <w:t xml:space="preserve">Final </w:t>
            </w:r>
            <w:r w:rsidR="00845ACC">
              <w:t>version</w:t>
            </w:r>
          </w:p>
        </w:tc>
      </w:tr>
    </w:tbl>
    <w:p w14:paraId="6FCCF6B2" w14:textId="6D296A14" w:rsidR="0046522F" w:rsidRPr="008C748D" w:rsidRDefault="0046522F" w:rsidP="009C09C5">
      <w:pPr>
        <w:pStyle w:val="DPCbodyaftertablefigure"/>
      </w:pPr>
    </w:p>
    <w:sectPr w:rsidR="0046522F" w:rsidRPr="008C748D" w:rsidSect="001B5CC1">
      <w:headerReference w:type="default" r:id="rId19"/>
      <w:footerReference w:type="default" r:id="rId20"/>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A61B" w14:textId="77777777" w:rsidR="005D611E" w:rsidRDefault="005D611E">
      <w:r>
        <w:separator/>
      </w:r>
    </w:p>
  </w:endnote>
  <w:endnote w:type="continuationSeparator" w:id="0">
    <w:p w14:paraId="50DB6499" w14:textId="77777777" w:rsidR="005D611E" w:rsidRDefault="005D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FB3D" w14:textId="5F011E69" w:rsidR="00ED1622" w:rsidRDefault="00A85E76" w:rsidP="00A85E76">
    <w:pPr>
      <w:pStyle w:val="Footer"/>
      <w:rPr>
        <w:rFonts w:ascii="Arial" w:hAnsi="Arial"/>
        <w:b/>
        <w:color w:val="3F3F3F"/>
      </w:rPr>
    </w:pPr>
    <w:bookmarkStart w:id="0" w:name="aliashNonProtectiveMarki1FooterEvenPages"/>
    <w:r>
      <w:rPr>
        <w:rFonts w:ascii="Arial" w:hAnsi="Arial"/>
        <w:b/>
        <w:color w:val="3F3F3F"/>
      </w:rPr>
      <w:t>For Official Use Only</w:t>
    </w:r>
  </w:p>
  <w:bookmarkEnd w:id="0"/>
  <w:p w14:paraId="75845E73" w14:textId="77777777" w:rsidR="00ED1622" w:rsidRDefault="00ED1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C1A9" w14:textId="05D1F9D5" w:rsidR="00ED1622" w:rsidRDefault="00014A76" w:rsidP="00A85E76">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9264" behindDoc="0" locked="0" layoutInCell="0" allowOverlap="1" wp14:anchorId="636A0D8F" wp14:editId="0CD14AF2">
              <wp:simplePos x="0" y="0"/>
              <wp:positionH relativeFrom="page">
                <wp:posOffset>0</wp:posOffset>
              </wp:positionH>
              <wp:positionV relativeFrom="page">
                <wp:posOffset>10234930</wp:posOffset>
              </wp:positionV>
              <wp:extent cx="7560310" cy="266700"/>
              <wp:effectExtent l="0" t="0" r="0" b="0"/>
              <wp:wrapNone/>
              <wp:docPr id="2" name="MSIPCM65ac4b72ab512f05ef8f651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7D65E" w14:textId="7AC85C0A" w:rsidR="00014A76" w:rsidRPr="00014A76" w:rsidRDefault="00014A76" w:rsidP="00014A76">
                          <w:pPr>
                            <w:rPr>
                              <w:rFonts w:ascii="Calibri" w:hAnsi="Calibri" w:cs="Calibri"/>
                              <w:color w:val="000000"/>
                              <w:sz w:val="22"/>
                            </w:rPr>
                          </w:pPr>
                          <w:r w:rsidRPr="00014A7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6A0D8F" id="_x0000_t202" coordsize="21600,21600" o:spt="202" path="m,l,21600r21600,l21600,xe">
              <v:stroke joinstyle="miter"/>
              <v:path gradientshapeok="t" o:connecttype="rect"/>
            </v:shapetype>
            <v:shape id="MSIPCM65ac4b72ab512f05ef8f6518"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RA974R8DAAA4BgAADgAAAAAA&#10;AAAAAAAAAAAuAgAAZHJzL2Uyb0RvYy54bWxQSwECLQAUAAYACAAAACEAYBHGJt4AAAALAQAADwAA&#10;AAAAAAAAAAAAAAB5BQAAZHJzL2Rvd25yZXYueG1sUEsFBgAAAAAEAAQA8wAAAIQGAAAAAA==&#10;" o:allowincell="f" filled="f" stroked="f" strokeweight=".5pt">
              <v:textbox inset="20pt,0,,0">
                <w:txbxContent>
                  <w:p w14:paraId="3C07D65E" w14:textId="7AC85C0A" w:rsidR="00014A76" w:rsidRPr="00014A76" w:rsidRDefault="00014A76" w:rsidP="00014A76">
                    <w:pPr>
                      <w:rPr>
                        <w:rFonts w:ascii="Calibri" w:hAnsi="Calibri" w:cs="Calibri"/>
                        <w:color w:val="000000"/>
                        <w:sz w:val="22"/>
                      </w:rPr>
                    </w:pPr>
                    <w:r w:rsidRPr="00014A76">
                      <w:rPr>
                        <w:rFonts w:ascii="Calibri" w:hAnsi="Calibri" w:cs="Calibri"/>
                        <w:color w:val="000000"/>
                        <w:sz w:val="22"/>
                      </w:rPr>
                      <w:t>OFFICIAL</w:t>
                    </w:r>
                  </w:p>
                </w:txbxContent>
              </v:textbox>
              <w10:wrap anchorx="page" anchory="page"/>
            </v:shape>
          </w:pict>
        </mc:Fallback>
      </mc:AlternateContent>
    </w:r>
    <w:r w:rsidR="00A85E76">
      <w:rPr>
        <w:rFonts w:ascii="Arial" w:hAnsi="Arial"/>
        <w:b/>
        <w:color w:val="3F3F3F"/>
      </w:rPr>
      <w:t>For Official Use Only</w:t>
    </w:r>
  </w:p>
  <w:bookmarkEnd w:id="1"/>
  <w:p w14:paraId="6AF22C43" w14:textId="77777777" w:rsidR="00ED1622" w:rsidRDefault="00ED1622">
    <w:pPr>
      <w:pStyle w:val="Footer"/>
    </w:pPr>
    <w:r>
      <w:rPr>
        <w:noProof/>
        <w:lang w:eastAsia="en-AU"/>
      </w:rPr>
      <w:drawing>
        <wp:anchor distT="0" distB="0" distL="114300" distR="114300" simplePos="0" relativeHeight="251656192" behindDoc="0" locked="1" layoutInCell="0" allowOverlap="1" wp14:anchorId="30E10998" wp14:editId="4439DE44">
          <wp:simplePos x="0" y="0"/>
          <wp:positionH relativeFrom="page">
            <wp:posOffset>635</wp:posOffset>
          </wp:positionH>
          <wp:positionV relativeFrom="page">
            <wp:posOffset>9939655</wp:posOffset>
          </wp:positionV>
          <wp:extent cx="7559640" cy="502918"/>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5E03" w14:textId="604953DA" w:rsidR="00ED1622" w:rsidRDefault="00A85E76" w:rsidP="00A85E76">
    <w:pPr>
      <w:pStyle w:val="Footer"/>
      <w:rPr>
        <w:rFonts w:ascii="Arial" w:hAnsi="Arial"/>
        <w:b/>
        <w:color w:val="3F3F3F"/>
      </w:rPr>
    </w:pPr>
    <w:bookmarkStart w:id="2" w:name="aliashNonProtectiveMarki1FooterFirstPage"/>
    <w:r>
      <w:rPr>
        <w:rFonts w:ascii="Arial" w:hAnsi="Arial"/>
        <w:b/>
        <w:color w:val="3F3F3F"/>
      </w:rPr>
      <w:t>For Official Use Only</w:t>
    </w:r>
  </w:p>
  <w:bookmarkEnd w:id="2"/>
  <w:p w14:paraId="65CC941F" w14:textId="77777777" w:rsidR="00ED1622" w:rsidRDefault="00ED16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F5B1" w14:textId="5D3DD278" w:rsidR="00ED1622" w:rsidRDefault="00014A76" w:rsidP="00A85E76">
    <w:pPr>
      <w:pStyle w:val="DPCfooter"/>
      <w:rPr>
        <w:rFonts w:ascii="Arial" w:hAnsi="Arial" w:cs="Arial"/>
        <w:b/>
        <w:color w:val="3F3F3F"/>
        <w:sz w:val="20"/>
      </w:rPr>
    </w:pPr>
    <w:bookmarkStart w:id="5" w:name="aliashNonProtectiveMarking2FooterPrimary"/>
    <w:r>
      <w:rPr>
        <w:rFonts w:ascii="Arial" w:hAnsi="Arial" w:cs="Arial"/>
        <w:b/>
        <w:noProof/>
        <w:color w:val="3F3F3F"/>
        <w:sz w:val="20"/>
      </w:rPr>
      <mc:AlternateContent>
        <mc:Choice Requires="wps">
          <w:drawing>
            <wp:anchor distT="0" distB="0" distL="114300" distR="114300" simplePos="0" relativeHeight="251661312" behindDoc="0" locked="0" layoutInCell="0" allowOverlap="1" wp14:anchorId="3558C71E" wp14:editId="0CC88B98">
              <wp:simplePos x="0" y="0"/>
              <wp:positionH relativeFrom="page">
                <wp:posOffset>0</wp:posOffset>
              </wp:positionH>
              <wp:positionV relativeFrom="page">
                <wp:posOffset>10234930</wp:posOffset>
              </wp:positionV>
              <wp:extent cx="7560310" cy="266700"/>
              <wp:effectExtent l="0" t="0" r="0" b="0"/>
              <wp:wrapNone/>
              <wp:docPr id="5" name="MSIPCM6944440b8370cc48d1d8df75"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C8A9E7" w14:textId="208B5CF8" w:rsidR="00014A76" w:rsidRPr="00014A76" w:rsidRDefault="00014A76" w:rsidP="00014A76">
                          <w:pPr>
                            <w:rPr>
                              <w:rFonts w:ascii="Calibri" w:hAnsi="Calibri" w:cs="Calibri"/>
                              <w:color w:val="000000"/>
                              <w:sz w:val="22"/>
                            </w:rPr>
                          </w:pPr>
                          <w:r w:rsidRPr="00014A7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58C71E" id="_x0000_t202" coordsize="21600,21600" o:spt="202" path="m,l,21600r21600,l21600,xe">
              <v:stroke joinstyle="miter"/>
              <v:path gradientshapeok="t" o:connecttype="rect"/>
            </v:shapetype>
            <v:shape id="MSIPCM6944440b8370cc48d1d8df75"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CDZHJ0IQMAAD8GAAAOAAAA&#10;AAAAAAAAAAAAAC4CAABkcnMvZTJvRG9jLnhtbFBLAQItABQABgAIAAAAIQBgEcYm3gAAAAsBAAAP&#10;AAAAAAAAAAAAAAAAAHsFAABkcnMvZG93bnJldi54bWxQSwUGAAAAAAQABADzAAAAhgYAAAAA&#10;" o:allowincell="f" filled="f" stroked="f" strokeweight=".5pt">
              <v:textbox inset="20pt,0,,0">
                <w:txbxContent>
                  <w:p w14:paraId="02C8A9E7" w14:textId="208B5CF8" w:rsidR="00014A76" w:rsidRPr="00014A76" w:rsidRDefault="00014A76" w:rsidP="00014A76">
                    <w:pPr>
                      <w:rPr>
                        <w:rFonts w:ascii="Calibri" w:hAnsi="Calibri" w:cs="Calibri"/>
                        <w:color w:val="000000"/>
                        <w:sz w:val="22"/>
                      </w:rPr>
                    </w:pPr>
                    <w:r w:rsidRPr="00014A76">
                      <w:rPr>
                        <w:rFonts w:ascii="Calibri" w:hAnsi="Calibri" w:cs="Calibri"/>
                        <w:color w:val="000000"/>
                        <w:sz w:val="22"/>
                      </w:rPr>
                      <w:t>OFFICIAL</w:t>
                    </w:r>
                  </w:p>
                </w:txbxContent>
              </v:textbox>
              <w10:wrap anchorx="page" anchory="page"/>
            </v:shape>
          </w:pict>
        </mc:Fallback>
      </mc:AlternateContent>
    </w:r>
  </w:p>
  <w:bookmarkEnd w:id="5"/>
  <w:p w14:paraId="7E944D48" w14:textId="1629E15D" w:rsidR="00ED1622" w:rsidRPr="00A95E3B" w:rsidRDefault="00E052AD" w:rsidP="00B01E7E">
    <w:pPr>
      <w:pStyle w:val="DPCfooter"/>
    </w:pPr>
    <w:r>
      <w:t>Glossary</w:t>
    </w:r>
    <w:r w:rsidR="00ED1622" w:rsidRPr="00A95E3B">
      <w:tab/>
    </w:r>
    <w:r w:rsidR="00ED1622" w:rsidRPr="00A95E3B">
      <w:fldChar w:fldCharType="begin"/>
    </w:r>
    <w:r w:rsidR="00ED1622" w:rsidRPr="00A95E3B">
      <w:instrText xml:space="preserve"> PAGE   \* MERGEFORMAT </w:instrText>
    </w:r>
    <w:r w:rsidR="00ED1622" w:rsidRPr="00A95E3B">
      <w:fldChar w:fldCharType="separate"/>
    </w:r>
    <w:r w:rsidR="00A85E76">
      <w:rPr>
        <w:noProof/>
      </w:rPr>
      <w:t>6</w:t>
    </w:r>
    <w:r w:rsidR="00ED1622"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B9398" w14:textId="77777777" w:rsidR="005D611E" w:rsidRDefault="005D611E" w:rsidP="002862F1">
      <w:pPr>
        <w:spacing w:before="120"/>
      </w:pPr>
      <w:r>
        <w:separator/>
      </w:r>
    </w:p>
  </w:footnote>
  <w:footnote w:type="continuationSeparator" w:id="0">
    <w:p w14:paraId="4855C387" w14:textId="77777777" w:rsidR="005D611E" w:rsidRDefault="005D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7D0B" w14:textId="77777777" w:rsidR="00ED1622" w:rsidRDefault="00ED1622">
    <w:pPr>
      <w:pStyle w:val="Header"/>
    </w:pPr>
    <w:r>
      <w:rPr>
        <w:noProof/>
        <w:lang w:eastAsia="en-AU"/>
      </w:rPr>
      <w:drawing>
        <wp:anchor distT="0" distB="0" distL="114300" distR="114300" simplePos="0" relativeHeight="251657728" behindDoc="0" locked="1" layoutInCell="0" allowOverlap="1" wp14:anchorId="7B10AC91" wp14:editId="49B93D06">
          <wp:simplePos x="0" y="0"/>
          <wp:positionH relativeFrom="page">
            <wp:posOffset>-69215</wp:posOffset>
          </wp:positionH>
          <wp:positionV relativeFrom="page">
            <wp:posOffset>340360</wp:posOffset>
          </wp:positionV>
          <wp:extent cx="7700645" cy="51054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DD52996"/>
    <w:multiLevelType w:val="hybridMultilevel"/>
    <w:tmpl w:val="208853F6"/>
    <w:lvl w:ilvl="0" w:tplc="54629FC8">
      <w:start w:val="1"/>
      <w:numFmt w:val="bullet"/>
      <w:lvlText w:val="•"/>
      <w:lvlJc w:val="left"/>
      <w:pPr>
        <w:tabs>
          <w:tab w:val="num" w:pos="720"/>
        </w:tabs>
        <w:ind w:left="720" w:hanging="360"/>
      </w:pPr>
      <w:rPr>
        <w:rFonts w:ascii="Arial" w:hAnsi="Arial" w:hint="default"/>
      </w:rPr>
    </w:lvl>
    <w:lvl w:ilvl="1" w:tplc="233AD0D4" w:tentative="1">
      <w:start w:val="1"/>
      <w:numFmt w:val="bullet"/>
      <w:lvlText w:val="•"/>
      <w:lvlJc w:val="left"/>
      <w:pPr>
        <w:tabs>
          <w:tab w:val="num" w:pos="1440"/>
        </w:tabs>
        <w:ind w:left="1440" w:hanging="360"/>
      </w:pPr>
      <w:rPr>
        <w:rFonts w:ascii="Arial" w:hAnsi="Arial" w:hint="default"/>
      </w:rPr>
    </w:lvl>
    <w:lvl w:ilvl="2" w:tplc="058C3BE2" w:tentative="1">
      <w:start w:val="1"/>
      <w:numFmt w:val="bullet"/>
      <w:lvlText w:val="•"/>
      <w:lvlJc w:val="left"/>
      <w:pPr>
        <w:tabs>
          <w:tab w:val="num" w:pos="2160"/>
        </w:tabs>
        <w:ind w:left="2160" w:hanging="360"/>
      </w:pPr>
      <w:rPr>
        <w:rFonts w:ascii="Arial" w:hAnsi="Arial" w:hint="default"/>
      </w:rPr>
    </w:lvl>
    <w:lvl w:ilvl="3" w:tplc="D8861C18" w:tentative="1">
      <w:start w:val="1"/>
      <w:numFmt w:val="bullet"/>
      <w:lvlText w:val="•"/>
      <w:lvlJc w:val="left"/>
      <w:pPr>
        <w:tabs>
          <w:tab w:val="num" w:pos="2880"/>
        </w:tabs>
        <w:ind w:left="2880" w:hanging="360"/>
      </w:pPr>
      <w:rPr>
        <w:rFonts w:ascii="Arial" w:hAnsi="Arial" w:hint="default"/>
      </w:rPr>
    </w:lvl>
    <w:lvl w:ilvl="4" w:tplc="32569C5E" w:tentative="1">
      <w:start w:val="1"/>
      <w:numFmt w:val="bullet"/>
      <w:lvlText w:val="•"/>
      <w:lvlJc w:val="left"/>
      <w:pPr>
        <w:tabs>
          <w:tab w:val="num" w:pos="3600"/>
        </w:tabs>
        <w:ind w:left="3600" w:hanging="360"/>
      </w:pPr>
      <w:rPr>
        <w:rFonts w:ascii="Arial" w:hAnsi="Arial" w:hint="default"/>
      </w:rPr>
    </w:lvl>
    <w:lvl w:ilvl="5" w:tplc="5358D7A2" w:tentative="1">
      <w:start w:val="1"/>
      <w:numFmt w:val="bullet"/>
      <w:lvlText w:val="•"/>
      <w:lvlJc w:val="left"/>
      <w:pPr>
        <w:tabs>
          <w:tab w:val="num" w:pos="4320"/>
        </w:tabs>
        <w:ind w:left="4320" w:hanging="360"/>
      </w:pPr>
      <w:rPr>
        <w:rFonts w:ascii="Arial" w:hAnsi="Arial" w:hint="default"/>
      </w:rPr>
    </w:lvl>
    <w:lvl w:ilvl="6" w:tplc="EACE9B3E" w:tentative="1">
      <w:start w:val="1"/>
      <w:numFmt w:val="bullet"/>
      <w:lvlText w:val="•"/>
      <w:lvlJc w:val="left"/>
      <w:pPr>
        <w:tabs>
          <w:tab w:val="num" w:pos="5040"/>
        </w:tabs>
        <w:ind w:left="5040" w:hanging="360"/>
      </w:pPr>
      <w:rPr>
        <w:rFonts w:ascii="Arial" w:hAnsi="Arial" w:hint="default"/>
      </w:rPr>
    </w:lvl>
    <w:lvl w:ilvl="7" w:tplc="3F5C252E" w:tentative="1">
      <w:start w:val="1"/>
      <w:numFmt w:val="bullet"/>
      <w:lvlText w:val="•"/>
      <w:lvlJc w:val="left"/>
      <w:pPr>
        <w:tabs>
          <w:tab w:val="num" w:pos="5760"/>
        </w:tabs>
        <w:ind w:left="5760" w:hanging="360"/>
      </w:pPr>
      <w:rPr>
        <w:rFonts w:ascii="Arial" w:hAnsi="Arial" w:hint="default"/>
      </w:rPr>
    </w:lvl>
    <w:lvl w:ilvl="8" w:tplc="D30632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7A798B"/>
    <w:multiLevelType w:val="hybridMultilevel"/>
    <w:tmpl w:val="19F898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B755343"/>
    <w:multiLevelType w:val="hybridMultilevel"/>
    <w:tmpl w:val="149AD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D96D77"/>
    <w:multiLevelType w:val="hybridMultilevel"/>
    <w:tmpl w:val="8CEC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F6285"/>
    <w:multiLevelType w:val="hybridMultilevel"/>
    <w:tmpl w:val="91E6A310"/>
    <w:lvl w:ilvl="0" w:tplc="40DA46E6">
      <w:start w:val="1"/>
      <w:numFmt w:val="bullet"/>
      <w:lvlText w:val="•"/>
      <w:lvlJc w:val="left"/>
      <w:pPr>
        <w:tabs>
          <w:tab w:val="num" w:pos="720"/>
        </w:tabs>
        <w:ind w:left="720" w:hanging="360"/>
      </w:pPr>
      <w:rPr>
        <w:rFonts w:ascii="Arial" w:hAnsi="Arial" w:hint="default"/>
      </w:rPr>
    </w:lvl>
    <w:lvl w:ilvl="1" w:tplc="46AE0836" w:tentative="1">
      <w:start w:val="1"/>
      <w:numFmt w:val="bullet"/>
      <w:lvlText w:val="•"/>
      <w:lvlJc w:val="left"/>
      <w:pPr>
        <w:tabs>
          <w:tab w:val="num" w:pos="1440"/>
        </w:tabs>
        <w:ind w:left="1440" w:hanging="360"/>
      </w:pPr>
      <w:rPr>
        <w:rFonts w:ascii="Arial" w:hAnsi="Arial" w:hint="default"/>
      </w:rPr>
    </w:lvl>
    <w:lvl w:ilvl="2" w:tplc="5B10CEAE" w:tentative="1">
      <w:start w:val="1"/>
      <w:numFmt w:val="bullet"/>
      <w:lvlText w:val="•"/>
      <w:lvlJc w:val="left"/>
      <w:pPr>
        <w:tabs>
          <w:tab w:val="num" w:pos="2160"/>
        </w:tabs>
        <w:ind w:left="2160" w:hanging="360"/>
      </w:pPr>
      <w:rPr>
        <w:rFonts w:ascii="Arial" w:hAnsi="Arial" w:hint="default"/>
      </w:rPr>
    </w:lvl>
    <w:lvl w:ilvl="3" w:tplc="6FE8B282" w:tentative="1">
      <w:start w:val="1"/>
      <w:numFmt w:val="bullet"/>
      <w:lvlText w:val="•"/>
      <w:lvlJc w:val="left"/>
      <w:pPr>
        <w:tabs>
          <w:tab w:val="num" w:pos="2880"/>
        </w:tabs>
        <w:ind w:left="2880" w:hanging="360"/>
      </w:pPr>
      <w:rPr>
        <w:rFonts w:ascii="Arial" w:hAnsi="Arial" w:hint="default"/>
      </w:rPr>
    </w:lvl>
    <w:lvl w:ilvl="4" w:tplc="B8F05992" w:tentative="1">
      <w:start w:val="1"/>
      <w:numFmt w:val="bullet"/>
      <w:lvlText w:val="•"/>
      <w:lvlJc w:val="left"/>
      <w:pPr>
        <w:tabs>
          <w:tab w:val="num" w:pos="3600"/>
        </w:tabs>
        <w:ind w:left="3600" w:hanging="360"/>
      </w:pPr>
      <w:rPr>
        <w:rFonts w:ascii="Arial" w:hAnsi="Arial" w:hint="default"/>
      </w:rPr>
    </w:lvl>
    <w:lvl w:ilvl="5" w:tplc="ACA81898" w:tentative="1">
      <w:start w:val="1"/>
      <w:numFmt w:val="bullet"/>
      <w:lvlText w:val="•"/>
      <w:lvlJc w:val="left"/>
      <w:pPr>
        <w:tabs>
          <w:tab w:val="num" w:pos="4320"/>
        </w:tabs>
        <w:ind w:left="4320" w:hanging="360"/>
      </w:pPr>
      <w:rPr>
        <w:rFonts w:ascii="Arial" w:hAnsi="Arial" w:hint="default"/>
      </w:rPr>
    </w:lvl>
    <w:lvl w:ilvl="6" w:tplc="F2C07866" w:tentative="1">
      <w:start w:val="1"/>
      <w:numFmt w:val="bullet"/>
      <w:lvlText w:val="•"/>
      <w:lvlJc w:val="left"/>
      <w:pPr>
        <w:tabs>
          <w:tab w:val="num" w:pos="5040"/>
        </w:tabs>
        <w:ind w:left="5040" w:hanging="360"/>
      </w:pPr>
      <w:rPr>
        <w:rFonts w:ascii="Arial" w:hAnsi="Arial" w:hint="default"/>
      </w:rPr>
    </w:lvl>
    <w:lvl w:ilvl="7" w:tplc="7C08D4C6" w:tentative="1">
      <w:start w:val="1"/>
      <w:numFmt w:val="bullet"/>
      <w:lvlText w:val="•"/>
      <w:lvlJc w:val="left"/>
      <w:pPr>
        <w:tabs>
          <w:tab w:val="num" w:pos="5760"/>
        </w:tabs>
        <w:ind w:left="5760" w:hanging="360"/>
      </w:pPr>
      <w:rPr>
        <w:rFonts w:ascii="Arial" w:hAnsi="Arial" w:hint="default"/>
      </w:rPr>
    </w:lvl>
    <w:lvl w:ilvl="8" w:tplc="6524B5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754C08"/>
    <w:multiLevelType w:val="hybridMultilevel"/>
    <w:tmpl w:val="A476E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C2478D2"/>
    <w:multiLevelType w:val="multilevel"/>
    <w:tmpl w:val="D34C9BAE"/>
    <w:styleLink w:val="ZZBullets"/>
    <w:lvl w:ilvl="0">
      <w:start w:val="1"/>
      <w:numFmt w:val="bullet"/>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DE83A38"/>
    <w:multiLevelType w:val="hybridMultilevel"/>
    <w:tmpl w:val="733C5A2C"/>
    <w:lvl w:ilvl="0" w:tplc="7700B5F8">
      <w:start w:val="1"/>
      <w:numFmt w:val="bullet"/>
      <w:pStyle w:val="DPCbulle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40757B"/>
    <w:multiLevelType w:val="multilevel"/>
    <w:tmpl w:val="D34C9BAE"/>
    <w:lvl w:ilvl="0">
      <w:start w:val="1"/>
      <w:numFmt w:val="bullet"/>
      <w:pStyle w:val="DPCbullet1"/>
      <w:lvlText w:val="▪"/>
      <w:lvlJc w:val="left"/>
      <w:pPr>
        <w:ind w:left="284" w:hanging="284"/>
      </w:pPr>
      <w:rPr>
        <w:rFonts w:hint="default"/>
        <w:color w:val="auto"/>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8CA024F"/>
    <w:multiLevelType w:val="hybridMultilevel"/>
    <w:tmpl w:val="8FFE89B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4" w15:restartNumberingAfterBreak="0">
    <w:nsid w:val="5A0F4552"/>
    <w:multiLevelType w:val="multilevel"/>
    <w:tmpl w:val="68C26290"/>
    <w:styleLink w:val="ZZNumberslowerroman"/>
    <w:lvl w:ilvl="0">
      <w:start w:val="1"/>
      <w:numFmt w:val="lowerLetter"/>
      <w:pStyle w:val="DPCnumberlowerroman"/>
      <w:lvlText w:val="%1)"/>
      <w:lvlJc w:val="left"/>
      <w:pPr>
        <w:tabs>
          <w:tab w:val="num" w:pos="794"/>
        </w:tabs>
        <w:ind w:left="794" w:hanging="397"/>
      </w:pPr>
      <w:rPr>
        <w:rFonts w:hint="default"/>
      </w:rPr>
    </w:lvl>
    <w:lvl w:ilvl="1">
      <w:start w:val="1"/>
      <w:numFmt w:val="lowerRoman"/>
      <w:pStyle w:val="DPCnumberlowerromanindent"/>
      <w:lvlText w:val="(%2)"/>
      <w:lvlJc w:val="left"/>
      <w:pPr>
        <w:tabs>
          <w:tab w:val="num" w:pos="1191"/>
        </w:tabs>
        <w:ind w:left="1191" w:hanging="397"/>
      </w:pPr>
      <w:rPr>
        <w:rFonts w:hint="default"/>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15" w15:restartNumberingAfterBreak="0">
    <w:nsid w:val="5A6C32BF"/>
    <w:multiLevelType w:val="hybridMultilevel"/>
    <w:tmpl w:val="F48EA2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390BC7"/>
    <w:multiLevelType w:val="hybridMultilevel"/>
    <w:tmpl w:val="E7D44DE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C194CF5"/>
    <w:multiLevelType w:val="hybridMultilevel"/>
    <w:tmpl w:val="D536338A"/>
    <w:lvl w:ilvl="0" w:tplc="04090001">
      <w:start w:val="1"/>
      <w:numFmt w:val="bullet"/>
      <w:lvlText w:val=""/>
      <w:lvlJc w:val="left"/>
      <w:pPr>
        <w:ind w:left="1080" w:hanging="360"/>
      </w:pPr>
      <w:rPr>
        <w:rFonts w:ascii="Symbol" w:hAnsi="Symbol" w:hint="default"/>
      </w:rPr>
    </w:lvl>
    <w:lvl w:ilvl="1" w:tplc="890874AC">
      <w:start w:val="1"/>
      <w:numFmt w:val="bullet"/>
      <w:pStyle w:val="DPCbulletafternumbers3"/>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9423DA"/>
    <w:multiLevelType w:val="multilevel"/>
    <w:tmpl w:val="65D2B344"/>
    <w:styleLink w:val="ZZNumbersdigit"/>
    <w:lvl w:ilvl="0">
      <w:start w:val="1"/>
      <w:numFmt w:val="decimal"/>
      <w:pStyle w:val="DPCnumberdigit"/>
      <w:lvlText w:val="%1."/>
      <w:lvlJc w:val="left"/>
      <w:pPr>
        <w:tabs>
          <w:tab w:val="num" w:pos="397"/>
        </w:tabs>
        <w:ind w:left="397" w:hanging="397"/>
      </w:pPr>
      <w:rPr>
        <w:rFonts w:hint="default"/>
      </w:rPr>
    </w:lvl>
    <w:lvl w:ilvl="1">
      <w:start w:val="1"/>
      <w:numFmt w:val="lowerLetter"/>
      <w:pStyle w:val="DPCnumberdigitindent"/>
      <w:lvlText w:val="%2)"/>
      <w:lvlJc w:val="left"/>
      <w:pPr>
        <w:ind w:left="757" w:hanging="360"/>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7DC1056"/>
    <w:multiLevelType w:val="hybridMultilevel"/>
    <w:tmpl w:val="DCF2CE0C"/>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0" w15:restartNumberingAfterBreak="0">
    <w:nsid w:val="7B082354"/>
    <w:multiLevelType w:val="hybridMultilevel"/>
    <w:tmpl w:val="1D1C2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
  </w:num>
  <w:num w:numId="3">
    <w:abstractNumId w:val="14"/>
  </w:num>
  <w:num w:numId="4">
    <w:abstractNumId w:val="3"/>
  </w:num>
  <w:num w:numId="5">
    <w:abstractNumId w:val="1"/>
  </w:num>
  <w:num w:numId="6">
    <w:abstractNumId w:val="10"/>
  </w:num>
  <w:num w:numId="7">
    <w:abstractNumId w:val="11"/>
  </w:num>
  <w:num w:numId="8">
    <w:abstractNumId w:val="2"/>
  </w:num>
  <w:num w:numId="9">
    <w:abstractNumId w:val="12"/>
  </w:num>
  <w:num w:numId="10">
    <w:abstractNumId w:val="17"/>
  </w:num>
  <w:num w:numId="11">
    <w:abstractNumId w:val="16"/>
  </w:num>
  <w:num w:numId="12">
    <w:abstractNumId w:val="15"/>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20"/>
  </w:num>
  <w:num w:numId="20">
    <w:abstractNumId w:val="7"/>
  </w:num>
  <w:num w:numId="21">
    <w:abstractNumId w:val="18"/>
  </w:num>
  <w:num w:numId="22">
    <w:abstractNumId w:val="18"/>
    <w:lvlOverride w:ilvl="1">
      <w:lvl w:ilvl="1">
        <w:start w:val="1"/>
        <w:numFmt w:val="decimal"/>
        <w:pStyle w:val="DPCnumberdigitindent"/>
        <w:lvlText w:val="%2."/>
        <w:lvlJc w:val="left"/>
        <w:pPr>
          <w:tabs>
            <w:tab w:val="num" w:pos="794"/>
          </w:tabs>
          <w:ind w:left="794" w:hanging="397"/>
        </w:pPr>
        <w:rPr>
          <w:rFonts w:hint="default"/>
        </w:rPr>
      </w:lvl>
    </w:lvlOverride>
  </w:num>
  <w:num w:numId="23">
    <w:abstractNumId w:val="5"/>
  </w:num>
  <w:num w:numId="24">
    <w:abstractNumId w:val="13"/>
  </w:num>
  <w:num w:numId="25">
    <w:abstractNumId w:val="18"/>
  </w:num>
  <w:num w:numId="26">
    <w:abstractNumId w:val="1"/>
  </w:num>
  <w:num w:numId="27">
    <w:abstractNumId w:val="1"/>
  </w:num>
  <w:num w:numId="28">
    <w:abstractNumId w:val="8"/>
  </w:num>
  <w:num w:numId="29">
    <w:abstractNumId w:val="4"/>
  </w:num>
  <w:num w:numId="30">
    <w:abstractNumId w:val="6"/>
  </w:num>
  <w:num w:numId="31">
    <w:abstractNumId w:val="0"/>
  </w:num>
  <w:num w:numId="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CF6"/>
    <w:rsid w:val="000005AF"/>
    <w:rsid w:val="000072B6"/>
    <w:rsid w:val="0001021B"/>
    <w:rsid w:val="00011D89"/>
    <w:rsid w:val="000137AB"/>
    <w:rsid w:val="00014A76"/>
    <w:rsid w:val="0002322A"/>
    <w:rsid w:val="00024D89"/>
    <w:rsid w:val="0002578B"/>
    <w:rsid w:val="00025E00"/>
    <w:rsid w:val="0002601F"/>
    <w:rsid w:val="000264E0"/>
    <w:rsid w:val="00030663"/>
    <w:rsid w:val="00033D81"/>
    <w:rsid w:val="00034A58"/>
    <w:rsid w:val="00037D82"/>
    <w:rsid w:val="00041BF0"/>
    <w:rsid w:val="0004536B"/>
    <w:rsid w:val="00046B68"/>
    <w:rsid w:val="000527DD"/>
    <w:rsid w:val="00055BC0"/>
    <w:rsid w:val="000578B2"/>
    <w:rsid w:val="00060959"/>
    <w:rsid w:val="000705CF"/>
    <w:rsid w:val="00074219"/>
    <w:rsid w:val="00074ED5"/>
    <w:rsid w:val="000815CF"/>
    <w:rsid w:val="000820DE"/>
    <w:rsid w:val="00086D06"/>
    <w:rsid w:val="00090171"/>
    <w:rsid w:val="0009080D"/>
    <w:rsid w:val="00096CD1"/>
    <w:rsid w:val="00097EBE"/>
    <w:rsid w:val="000A012C"/>
    <w:rsid w:val="000A0EB9"/>
    <w:rsid w:val="000A186C"/>
    <w:rsid w:val="000B0648"/>
    <w:rsid w:val="000B21ED"/>
    <w:rsid w:val="000B231B"/>
    <w:rsid w:val="000B3B7B"/>
    <w:rsid w:val="000B543D"/>
    <w:rsid w:val="000B5BF7"/>
    <w:rsid w:val="000B6BC8"/>
    <w:rsid w:val="000C1139"/>
    <w:rsid w:val="000C42EA"/>
    <w:rsid w:val="000C4546"/>
    <w:rsid w:val="000C4E3A"/>
    <w:rsid w:val="000C6A60"/>
    <w:rsid w:val="000D1242"/>
    <w:rsid w:val="000D7DEE"/>
    <w:rsid w:val="000E0B13"/>
    <w:rsid w:val="000E3CC7"/>
    <w:rsid w:val="000E6BD4"/>
    <w:rsid w:val="000E6F6A"/>
    <w:rsid w:val="000E74AB"/>
    <w:rsid w:val="000F1F1E"/>
    <w:rsid w:val="000F2259"/>
    <w:rsid w:val="000F3256"/>
    <w:rsid w:val="000F6B9F"/>
    <w:rsid w:val="0010342F"/>
    <w:rsid w:val="0010362F"/>
    <w:rsid w:val="0010392D"/>
    <w:rsid w:val="00103E86"/>
    <w:rsid w:val="00104FE3"/>
    <w:rsid w:val="00113577"/>
    <w:rsid w:val="001173A4"/>
    <w:rsid w:val="00120BD3"/>
    <w:rsid w:val="00121BD1"/>
    <w:rsid w:val="00122FEA"/>
    <w:rsid w:val="001232BD"/>
    <w:rsid w:val="001238F6"/>
    <w:rsid w:val="00124ED5"/>
    <w:rsid w:val="00133098"/>
    <w:rsid w:val="0013678B"/>
    <w:rsid w:val="0014324C"/>
    <w:rsid w:val="00144063"/>
    <w:rsid w:val="001447B3"/>
    <w:rsid w:val="00154A42"/>
    <w:rsid w:val="001573C7"/>
    <w:rsid w:val="00157FAD"/>
    <w:rsid w:val="00160078"/>
    <w:rsid w:val="00161939"/>
    <w:rsid w:val="00161AA0"/>
    <w:rsid w:val="00162093"/>
    <w:rsid w:val="00162627"/>
    <w:rsid w:val="00164CF0"/>
    <w:rsid w:val="001763AE"/>
    <w:rsid w:val="001771DD"/>
    <w:rsid w:val="00177995"/>
    <w:rsid w:val="00177A8C"/>
    <w:rsid w:val="001828F5"/>
    <w:rsid w:val="00186B33"/>
    <w:rsid w:val="00192F9D"/>
    <w:rsid w:val="00196593"/>
    <w:rsid w:val="00196EB8"/>
    <w:rsid w:val="001979FF"/>
    <w:rsid w:val="00197B17"/>
    <w:rsid w:val="001A3ACE"/>
    <w:rsid w:val="001B0A6A"/>
    <w:rsid w:val="001B24EF"/>
    <w:rsid w:val="001B5720"/>
    <w:rsid w:val="001B5CC1"/>
    <w:rsid w:val="001C16DA"/>
    <w:rsid w:val="001C1999"/>
    <w:rsid w:val="001C2A72"/>
    <w:rsid w:val="001D0490"/>
    <w:rsid w:val="001D0B75"/>
    <w:rsid w:val="001D3C09"/>
    <w:rsid w:val="001D44E8"/>
    <w:rsid w:val="001D4AC4"/>
    <w:rsid w:val="001D59CB"/>
    <w:rsid w:val="001D60EC"/>
    <w:rsid w:val="001E1BAD"/>
    <w:rsid w:val="001E44DF"/>
    <w:rsid w:val="001E5EDC"/>
    <w:rsid w:val="001E68A5"/>
    <w:rsid w:val="001F0CCA"/>
    <w:rsid w:val="001F5E08"/>
    <w:rsid w:val="001F61D2"/>
    <w:rsid w:val="001F6E46"/>
    <w:rsid w:val="001F747D"/>
    <w:rsid w:val="001F7C91"/>
    <w:rsid w:val="00200735"/>
    <w:rsid w:val="002009F5"/>
    <w:rsid w:val="002017A7"/>
    <w:rsid w:val="00202850"/>
    <w:rsid w:val="00206463"/>
    <w:rsid w:val="00206F2F"/>
    <w:rsid w:val="0020761D"/>
    <w:rsid w:val="0021053D"/>
    <w:rsid w:val="00210A92"/>
    <w:rsid w:val="00211869"/>
    <w:rsid w:val="00213318"/>
    <w:rsid w:val="00214D82"/>
    <w:rsid w:val="00216C03"/>
    <w:rsid w:val="00217A98"/>
    <w:rsid w:val="00220C04"/>
    <w:rsid w:val="00230344"/>
    <w:rsid w:val="002333F5"/>
    <w:rsid w:val="00235D6F"/>
    <w:rsid w:val="002366BF"/>
    <w:rsid w:val="00237C67"/>
    <w:rsid w:val="00245D1D"/>
    <w:rsid w:val="00246C5E"/>
    <w:rsid w:val="00251343"/>
    <w:rsid w:val="00253641"/>
    <w:rsid w:val="00253A3D"/>
    <w:rsid w:val="002546E6"/>
    <w:rsid w:val="00254F7A"/>
    <w:rsid w:val="002620BC"/>
    <w:rsid w:val="00263417"/>
    <w:rsid w:val="00263A90"/>
    <w:rsid w:val="0026408B"/>
    <w:rsid w:val="00264472"/>
    <w:rsid w:val="00267C3E"/>
    <w:rsid w:val="002709BB"/>
    <w:rsid w:val="002802E3"/>
    <w:rsid w:val="0028213D"/>
    <w:rsid w:val="002862F1"/>
    <w:rsid w:val="00290A59"/>
    <w:rsid w:val="00290F7E"/>
    <w:rsid w:val="00291373"/>
    <w:rsid w:val="0029597D"/>
    <w:rsid w:val="00295F99"/>
    <w:rsid w:val="002962C3"/>
    <w:rsid w:val="00296B6B"/>
    <w:rsid w:val="002A00DC"/>
    <w:rsid w:val="002A483C"/>
    <w:rsid w:val="002B0E88"/>
    <w:rsid w:val="002B1729"/>
    <w:rsid w:val="002B313F"/>
    <w:rsid w:val="002B4DD4"/>
    <w:rsid w:val="002B5277"/>
    <w:rsid w:val="002B580A"/>
    <w:rsid w:val="002B6808"/>
    <w:rsid w:val="002B77C1"/>
    <w:rsid w:val="002C2728"/>
    <w:rsid w:val="002C748E"/>
    <w:rsid w:val="002E01D0"/>
    <w:rsid w:val="002E161D"/>
    <w:rsid w:val="002E6A54"/>
    <w:rsid w:val="002E6C95"/>
    <w:rsid w:val="002E7C36"/>
    <w:rsid w:val="002F2276"/>
    <w:rsid w:val="002F32D0"/>
    <w:rsid w:val="002F5F31"/>
    <w:rsid w:val="00302216"/>
    <w:rsid w:val="00302EBD"/>
    <w:rsid w:val="00303E53"/>
    <w:rsid w:val="00306E5F"/>
    <w:rsid w:val="00307E14"/>
    <w:rsid w:val="00314054"/>
    <w:rsid w:val="0031510A"/>
    <w:rsid w:val="00316F27"/>
    <w:rsid w:val="00326A66"/>
    <w:rsid w:val="00327870"/>
    <w:rsid w:val="0033259D"/>
    <w:rsid w:val="00336814"/>
    <w:rsid w:val="00337894"/>
    <w:rsid w:val="00337A40"/>
    <w:rsid w:val="003406C6"/>
    <w:rsid w:val="003418CC"/>
    <w:rsid w:val="003452D9"/>
    <w:rsid w:val="003459BD"/>
    <w:rsid w:val="00350D38"/>
    <w:rsid w:val="00353AFB"/>
    <w:rsid w:val="00354C5B"/>
    <w:rsid w:val="003744CF"/>
    <w:rsid w:val="00374717"/>
    <w:rsid w:val="0037676C"/>
    <w:rsid w:val="0038123C"/>
    <w:rsid w:val="00381450"/>
    <w:rsid w:val="003829E5"/>
    <w:rsid w:val="00382DEA"/>
    <w:rsid w:val="00384EED"/>
    <w:rsid w:val="00387E2C"/>
    <w:rsid w:val="00390409"/>
    <w:rsid w:val="0039114E"/>
    <w:rsid w:val="0039185F"/>
    <w:rsid w:val="0039430D"/>
    <w:rsid w:val="003956CC"/>
    <w:rsid w:val="00395C9A"/>
    <w:rsid w:val="003969FA"/>
    <w:rsid w:val="003A47E4"/>
    <w:rsid w:val="003A5639"/>
    <w:rsid w:val="003A6B67"/>
    <w:rsid w:val="003B15E6"/>
    <w:rsid w:val="003B6ECA"/>
    <w:rsid w:val="003C2045"/>
    <w:rsid w:val="003C2E6A"/>
    <w:rsid w:val="003C43A1"/>
    <w:rsid w:val="003C55F4"/>
    <w:rsid w:val="003C7A3F"/>
    <w:rsid w:val="003D3E8F"/>
    <w:rsid w:val="003D6475"/>
    <w:rsid w:val="003E0BC7"/>
    <w:rsid w:val="003E28AD"/>
    <w:rsid w:val="003E375C"/>
    <w:rsid w:val="003E42AA"/>
    <w:rsid w:val="003E6E5D"/>
    <w:rsid w:val="003E6FA6"/>
    <w:rsid w:val="003F0445"/>
    <w:rsid w:val="003F0CF0"/>
    <w:rsid w:val="003F3289"/>
    <w:rsid w:val="00401FCF"/>
    <w:rsid w:val="00412295"/>
    <w:rsid w:val="0041281E"/>
    <w:rsid w:val="004148F9"/>
    <w:rsid w:val="00415305"/>
    <w:rsid w:val="0041548F"/>
    <w:rsid w:val="0042084E"/>
    <w:rsid w:val="004230BB"/>
    <w:rsid w:val="00423942"/>
    <w:rsid w:val="00424D65"/>
    <w:rsid w:val="00427B7A"/>
    <w:rsid w:val="00435D7D"/>
    <w:rsid w:val="0043681A"/>
    <w:rsid w:val="00436F62"/>
    <w:rsid w:val="00442438"/>
    <w:rsid w:val="00442C6C"/>
    <w:rsid w:val="00443CBE"/>
    <w:rsid w:val="004441BC"/>
    <w:rsid w:val="004450DF"/>
    <w:rsid w:val="00451575"/>
    <w:rsid w:val="0045230A"/>
    <w:rsid w:val="00454616"/>
    <w:rsid w:val="00454B16"/>
    <w:rsid w:val="00457337"/>
    <w:rsid w:val="0046021C"/>
    <w:rsid w:val="0046522F"/>
    <w:rsid w:val="0046658A"/>
    <w:rsid w:val="004704D3"/>
    <w:rsid w:val="00470AC8"/>
    <w:rsid w:val="0047156E"/>
    <w:rsid w:val="0047372D"/>
    <w:rsid w:val="004743DD"/>
    <w:rsid w:val="00474CEA"/>
    <w:rsid w:val="00476824"/>
    <w:rsid w:val="00483968"/>
    <w:rsid w:val="00484F86"/>
    <w:rsid w:val="00490746"/>
    <w:rsid w:val="00490852"/>
    <w:rsid w:val="004909D3"/>
    <w:rsid w:val="004946F4"/>
    <w:rsid w:val="0049487E"/>
    <w:rsid w:val="00496F98"/>
    <w:rsid w:val="004A18A7"/>
    <w:rsid w:val="004A3E81"/>
    <w:rsid w:val="004A4284"/>
    <w:rsid w:val="004A5C62"/>
    <w:rsid w:val="004A707D"/>
    <w:rsid w:val="004C1BAB"/>
    <w:rsid w:val="004C1E68"/>
    <w:rsid w:val="004C6EEE"/>
    <w:rsid w:val="004C702B"/>
    <w:rsid w:val="004D016B"/>
    <w:rsid w:val="004D1B22"/>
    <w:rsid w:val="004D2163"/>
    <w:rsid w:val="004D36F2"/>
    <w:rsid w:val="004E4649"/>
    <w:rsid w:val="004E51AF"/>
    <w:rsid w:val="004E5C2B"/>
    <w:rsid w:val="004E6DC0"/>
    <w:rsid w:val="004F00DD"/>
    <w:rsid w:val="004F1800"/>
    <w:rsid w:val="004F2133"/>
    <w:rsid w:val="004F55F1"/>
    <w:rsid w:val="004F5A1A"/>
    <w:rsid w:val="004F6936"/>
    <w:rsid w:val="00501351"/>
    <w:rsid w:val="00503DC6"/>
    <w:rsid w:val="005061AB"/>
    <w:rsid w:val="00506F5D"/>
    <w:rsid w:val="00510D89"/>
    <w:rsid w:val="005126D0"/>
    <w:rsid w:val="00520AB8"/>
    <w:rsid w:val="00521598"/>
    <w:rsid w:val="00526865"/>
    <w:rsid w:val="00527D6B"/>
    <w:rsid w:val="00530218"/>
    <w:rsid w:val="00530545"/>
    <w:rsid w:val="00531093"/>
    <w:rsid w:val="00536499"/>
    <w:rsid w:val="00543903"/>
    <w:rsid w:val="00546E29"/>
    <w:rsid w:val="00546E7C"/>
    <w:rsid w:val="00547A95"/>
    <w:rsid w:val="005514C5"/>
    <w:rsid w:val="00555B7E"/>
    <w:rsid w:val="0055605B"/>
    <w:rsid w:val="00561166"/>
    <w:rsid w:val="00561A2F"/>
    <w:rsid w:val="00570093"/>
    <w:rsid w:val="00572031"/>
    <w:rsid w:val="00572853"/>
    <w:rsid w:val="00576E84"/>
    <w:rsid w:val="00581CF6"/>
    <w:rsid w:val="0058207B"/>
    <w:rsid w:val="00582360"/>
    <w:rsid w:val="0058757E"/>
    <w:rsid w:val="00590D0E"/>
    <w:rsid w:val="00596A4B"/>
    <w:rsid w:val="00597507"/>
    <w:rsid w:val="005A0781"/>
    <w:rsid w:val="005A23BD"/>
    <w:rsid w:val="005A31F5"/>
    <w:rsid w:val="005A7647"/>
    <w:rsid w:val="005B1401"/>
    <w:rsid w:val="005B21B6"/>
    <w:rsid w:val="005B3278"/>
    <w:rsid w:val="005B7A63"/>
    <w:rsid w:val="005C0779"/>
    <w:rsid w:val="005C19A4"/>
    <w:rsid w:val="005C42BA"/>
    <w:rsid w:val="005C49DA"/>
    <w:rsid w:val="005C50F3"/>
    <w:rsid w:val="005C5D91"/>
    <w:rsid w:val="005D07B8"/>
    <w:rsid w:val="005D2C74"/>
    <w:rsid w:val="005D2EAE"/>
    <w:rsid w:val="005D3E1A"/>
    <w:rsid w:val="005D611E"/>
    <w:rsid w:val="005D6597"/>
    <w:rsid w:val="005E0E4D"/>
    <w:rsid w:val="005E14E0"/>
    <w:rsid w:val="005E14E7"/>
    <w:rsid w:val="005E164B"/>
    <w:rsid w:val="005E1B3C"/>
    <w:rsid w:val="005E4097"/>
    <w:rsid w:val="005E447E"/>
    <w:rsid w:val="005F0775"/>
    <w:rsid w:val="005F0CF5"/>
    <w:rsid w:val="005F21EB"/>
    <w:rsid w:val="005F5CA3"/>
    <w:rsid w:val="00603529"/>
    <w:rsid w:val="00605908"/>
    <w:rsid w:val="00610D7C"/>
    <w:rsid w:val="006126D4"/>
    <w:rsid w:val="00613414"/>
    <w:rsid w:val="00622C47"/>
    <w:rsid w:val="0062408D"/>
    <w:rsid w:val="00626267"/>
    <w:rsid w:val="00627DA7"/>
    <w:rsid w:val="00630335"/>
    <w:rsid w:val="006358B4"/>
    <w:rsid w:val="006371A6"/>
    <w:rsid w:val="00637677"/>
    <w:rsid w:val="006419AA"/>
    <w:rsid w:val="00644B1D"/>
    <w:rsid w:val="00644B7E"/>
    <w:rsid w:val="00646A68"/>
    <w:rsid w:val="0065092E"/>
    <w:rsid w:val="00653821"/>
    <w:rsid w:val="006557A7"/>
    <w:rsid w:val="00656290"/>
    <w:rsid w:val="00657303"/>
    <w:rsid w:val="006621D7"/>
    <w:rsid w:val="0066302A"/>
    <w:rsid w:val="0066599C"/>
    <w:rsid w:val="00665DDC"/>
    <w:rsid w:val="00667BEB"/>
    <w:rsid w:val="00670597"/>
    <w:rsid w:val="006706BB"/>
    <w:rsid w:val="00670C99"/>
    <w:rsid w:val="00673388"/>
    <w:rsid w:val="00673A34"/>
    <w:rsid w:val="006765CD"/>
    <w:rsid w:val="006768DF"/>
    <w:rsid w:val="00677574"/>
    <w:rsid w:val="0068092F"/>
    <w:rsid w:val="0068421E"/>
    <w:rsid w:val="0068454C"/>
    <w:rsid w:val="00691B62"/>
    <w:rsid w:val="006A18C2"/>
    <w:rsid w:val="006A2472"/>
    <w:rsid w:val="006A72D8"/>
    <w:rsid w:val="006B077C"/>
    <w:rsid w:val="006B1C5B"/>
    <w:rsid w:val="006D27E0"/>
    <w:rsid w:val="006D2A3F"/>
    <w:rsid w:val="006D2F61"/>
    <w:rsid w:val="006E138B"/>
    <w:rsid w:val="006E2ECF"/>
    <w:rsid w:val="006F1FDC"/>
    <w:rsid w:val="006F36B5"/>
    <w:rsid w:val="006F4EB0"/>
    <w:rsid w:val="006F7198"/>
    <w:rsid w:val="007013EF"/>
    <w:rsid w:val="007023E0"/>
    <w:rsid w:val="00702B10"/>
    <w:rsid w:val="007047F6"/>
    <w:rsid w:val="00710446"/>
    <w:rsid w:val="0071365A"/>
    <w:rsid w:val="007216AA"/>
    <w:rsid w:val="00721AB5"/>
    <w:rsid w:val="00721DEF"/>
    <w:rsid w:val="00722719"/>
    <w:rsid w:val="00724A43"/>
    <w:rsid w:val="00724F50"/>
    <w:rsid w:val="0072699A"/>
    <w:rsid w:val="00730BD1"/>
    <w:rsid w:val="00732395"/>
    <w:rsid w:val="007346E4"/>
    <w:rsid w:val="00735D59"/>
    <w:rsid w:val="00740F22"/>
    <w:rsid w:val="00741F1A"/>
    <w:rsid w:val="00741FE7"/>
    <w:rsid w:val="007450F8"/>
    <w:rsid w:val="0074696E"/>
    <w:rsid w:val="00750135"/>
    <w:rsid w:val="0075285D"/>
    <w:rsid w:val="00754E36"/>
    <w:rsid w:val="00761073"/>
    <w:rsid w:val="00763139"/>
    <w:rsid w:val="007654CE"/>
    <w:rsid w:val="0076737C"/>
    <w:rsid w:val="00772D5E"/>
    <w:rsid w:val="00776928"/>
    <w:rsid w:val="00782F2C"/>
    <w:rsid w:val="00786F16"/>
    <w:rsid w:val="00796E20"/>
    <w:rsid w:val="00797C32"/>
    <w:rsid w:val="00797FA8"/>
    <w:rsid w:val="007A142C"/>
    <w:rsid w:val="007A57F6"/>
    <w:rsid w:val="007B0914"/>
    <w:rsid w:val="007B1374"/>
    <w:rsid w:val="007B3E85"/>
    <w:rsid w:val="007B589F"/>
    <w:rsid w:val="007B6186"/>
    <w:rsid w:val="007C5DE2"/>
    <w:rsid w:val="007C7301"/>
    <w:rsid w:val="007C7859"/>
    <w:rsid w:val="007D05C1"/>
    <w:rsid w:val="007D0A10"/>
    <w:rsid w:val="007D2BDE"/>
    <w:rsid w:val="007D2FB6"/>
    <w:rsid w:val="007D314C"/>
    <w:rsid w:val="007D3EA2"/>
    <w:rsid w:val="007D4D5A"/>
    <w:rsid w:val="007E0DE2"/>
    <w:rsid w:val="007E1AF4"/>
    <w:rsid w:val="007E5373"/>
    <w:rsid w:val="007F2335"/>
    <w:rsid w:val="007F31B6"/>
    <w:rsid w:val="007F546C"/>
    <w:rsid w:val="007F665E"/>
    <w:rsid w:val="00800412"/>
    <w:rsid w:val="00801EEF"/>
    <w:rsid w:val="00804EAD"/>
    <w:rsid w:val="0080587B"/>
    <w:rsid w:val="00806468"/>
    <w:rsid w:val="00811562"/>
    <w:rsid w:val="00812C49"/>
    <w:rsid w:val="00816735"/>
    <w:rsid w:val="00820141"/>
    <w:rsid w:val="00820209"/>
    <w:rsid w:val="00820E0C"/>
    <w:rsid w:val="008213C1"/>
    <w:rsid w:val="008215C2"/>
    <w:rsid w:val="008247E7"/>
    <w:rsid w:val="008260DA"/>
    <w:rsid w:val="00832545"/>
    <w:rsid w:val="00834C67"/>
    <w:rsid w:val="0083607E"/>
    <w:rsid w:val="00845ACC"/>
    <w:rsid w:val="0085153E"/>
    <w:rsid w:val="008516F2"/>
    <w:rsid w:val="00852EE6"/>
    <w:rsid w:val="00853CF6"/>
    <w:rsid w:val="00853EE4"/>
    <w:rsid w:val="00855535"/>
    <w:rsid w:val="00860662"/>
    <w:rsid w:val="008633F0"/>
    <w:rsid w:val="00867D9D"/>
    <w:rsid w:val="00872E0A"/>
    <w:rsid w:val="00875285"/>
    <w:rsid w:val="008770B0"/>
    <w:rsid w:val="00883D08"/>
    <w:rsid w:val="00884B62"/>
    <w:rsid w:val="0088529C"/>
    <w:rsid w:val="00892553"/>
    <w:rsid w:val="0089270A"/>
    <w:rsid w:val="00892D88"/>
    <w:rsid w:val="00893AF6"/>
    <w:rsid w:val="00894BC4"/>
    <w:rsid w:val="0089510D"/>
    <w:rsid w:val="008979DF"/>
    <w:rsid w:val="008A07A8"/>
    <w:rsid w:val="008A2068"/>
    <w:rsid w:val="008A6BAC"/>
    <w:rsid w:val="008B11A8"/>
    <w:rsid w:val="008B1647"/>
    <w:rsid w:val="008B2EE4"/>
    <w:rsid w:val="008B4D3D"/>
    <w:rsid w:val="008B57C7"/>
    <w:rsid w:val="008B6C96"/>
    <w:rsid w:val="008C2D2D"/>
    <w:rsid w:val="008C2F92"/>
    <w:rsid w:val="008C748D"/>
    <w:rsid w:val="008D4236"/>
    <w:rsid w:val="008D462F"/>
    <w:rsid w:val="008D6E40"/>
    <w:rsid w:val="008E28FC"/>
    <w:rsid w:val="008E4376"/>
    <w:rsid w:val="008F14C1"/>
    <w:rsid w:val="008F765E"/>
    <w:rsid w:val="00900719"/>
    <w:rsid w:val="00900AC0"/>
    <w:rsid w:val="00906490"/>
    <w:rsid w:val="009073A6"/>
    <w:rsid w:val="009111B2"/>
    <w:rsid w:val="00916F67"/>
    <w:rsid w:val="00920279"/>
    <w:rsid w:val="00923171"/>
    <w:rsid w:val="00923339"/>
    <w:rsid w:val="00924AE1"/>
    <w:rsid w:val="009269B1"/>
    <w:rsid w:val="00937BB7"/>
    <w:rsid w:val="00937BD9"/>
    <w:rsid w:val="00937D98"/>
    <w:rsid w:val="009459DA"/>
    <w:rsid w:val="009500F3"/>
    <w:rsid w:val="009503F5"/>
    <w:rsid w:val="00950E2C"/>
    <w:rsid w:val="00951D50"/>
    <w:rsid w:val="009525EB"/>
    <w:rsid w:val="0096029D"/>
    <w:rsid w:val="00961400"/>
    <w:rsid w:val="00963646"/>
    <w:rsid w:val="0096492A"/>
    <w:rsid w:val="00966AF5"/>
    <w:rsid w:val="009673F4"/>
    <w:rsid w:val="0097122E"/>
    <w:rsid w:val="00973EC3"/>
    <w:rsid w:val="00975A55"/>
    <w:rsid w:val="00976ABA"/>
    <w:rsid w:val="009817CA"/>
    <w:rsid w:val="00981975"/>
    <w:rsid w:val="009853E1"/>
    <w:rsid w:val="00986E6B"/>
    <w:rsid w:val="0099137C"/>
    <w:rsid w:val="00991769"/>
    <w:rsid w:val="00994386"/>
    <w:rsid w:val="00996541"/>
    <w:rsid w:val="009A279E"/>
    <w:rsid w:val="009B0A6F"/>
    <w:rsid w:val="009B4852"/>
    <w:rsid w:val="009B59E9"/>
    <w:rsid w:val="009C09C5"/>
    <w:rsid w:val="009C7A7E"/>
    <w:rsid w:val="009D02E8"/>
    <w:rsid w:val="009D2A4F"/>
    <w:rsid w:val="009D51D0"/>
    <w:rsid w:val="009D70A4"/>
    <w:rsid w:val="009E08D1"/>
    <w:rsid w:val="009E0F5E"/>
    <w:rsid w:val="009E1B95"/>
    <w:rsid w:val="009E2195"/>
    <w:rsid w:val="009E496F"/>
    <w:rsid w:val="009E4B0D"/>
    <w:rsid w:val="009E59F7"/>
    <w:rsid w:val="009E6FE6"/>
    <w:rsid w:val="009E7916"/>
    <w:rsid w:val="009E7F92"/>
    <w:rsid w:val="009F02A3"/>
    <w:rsid w:val="009F2F27"/>
    <w:rsid w:val="009F6BCB"/>
    <w:rsid w:val="009F738B"/>
    <w:rsid w:val="009F7B78"/>
    <w:rsid w:val="00A0057A"/>
    <w:rsid w:val="00A0335A"/>
    <w:rsid w:val="00A079D8"/>
    <w:rsid w:val="00A113E3"/>
    <w:rsid w:val="00A11421"/>
    <w:rsid w:val="00A14D21"/>
    <w:rsid w:val="00A157B1"/>
    <w:rsid w:val="00A22072"/>
    <w:rsid w:val="00A22229"/>
    <w:rsid w:val="00A32999"/>
    <w:rsid w:val="00A335F8"/>
    <w:rsid w:val="00A34DFE"/>
    <w:rsid w:val="00A44882"/>
    <w:rsid w:val="00A455A0"/>
    <w:rsid w:val="00A54715"/>
    <w:rsid w:val="00A6061C"/>
    <w:rsid w:val="00A6282A"/>
    <w:rsid w:val="00A62D44"/>
    <w:rsid w:val="00A64384"/>
    <w:rsid w:val="00A649B7"/>
    <w:rsid w:val="00A65FEE"/>
    <w:rsid w:val="00A661AA"/>
    <w:rsid w:val="00A66373"/>
    <w:rsid w:val="00A7161C"/>
    <w:rsid w:val="00A73826"/>
    <w:rsid w:val="00A77AA3"/>
    <w:rsid w:val="00A8002A"/>
    <w:rsid w:val="00A859A7"/>
    <w:rsid w:val="00A85E76"/>
    <w:rsid w:val="00A8729D"/>
    <w:rsid w:val="00A872E5"/>
    <w:rsid w:val="00A91279"/>
    <w:rsid w:val="00A941F5"/>
    <w:rsid w:val="00A95E3B"/>
    <w:rsid w:val="00A96067"/>
    <w:rsid w:val="00A96E65"/>
    <w:rsid w:val="00A97C72"/>
    <w:rsid w:val="00AA5BFB"/>
    <w:rsid w:val="00AA63D4"/>
    <w:rsid w:val="00AB02AD"/>
    <w:rsid w:val="00AB06E8"/>
    <w:rsid w:val="00AB1CD3"/>
    <w:rsid w:val="00AB352F"/>
    <w:rsid w:val="00AB5739"/>
    <w:rsid w:val="00AB5A00"/>
    <w:rsid w:val="00AC274B"/>
    <w:rsid w:val="00AC2A37"/>
    <w:rsid w:val="00AC6D36"/>
    <w:rsid w:val="00AD0CBA"/>
    <w:rsid w:val="00AD20BF"/>
    <w:rsid w:val="00AD26E2"/>
    <w:rsid w:val="00AD2ED9"/>
    <w:rsid w:val="00AD525E"/>
    <w:rsid w:val="00AD6D6E"/>
    <w:rsid w:val="00AE126A"/>
    <w:rsid w:val="00AE3005"/>
    <w:rsid w:val="00AE3B0A"/>
    <w:rsid w:val="00AE3BAA"/>
    <w:rsid w:val="00AE51EF"/>
    <w:rsid w:val="00AE59A0"/>
    <w:rsid w:val="00AF0C57"/>
    <w:rsid w:val="00AF26F3"/>
    <w:rsid w:val="00AF48A8"/>
    <w:rsid w:val="00AF6433"/>
    <w:rsid w:val="00AF6CCD"/>
    <w:rsid w:val="00B00672"/>
    <w:rsid w:val="00B01B4D"/>
    <w:rsid w:val="00B01E7E"/>
    <w:rsid w:val="00B04610"/>
    <w:rsid w:val="00B058CF"/>
    <w:rsid w:val="00B06571"/>
    <w:rsid w:val="00B068BA"/>
    <w:rsid w:val="00B1343D"/>
    <w:rsid w:val="00B13851"/>
    <w:rsid w:val="00B13B1C"/>
    <w:rsid w:val="00B1672F"/>
    <w:rsid w:val="00B21F8E"/>
    <w:rsid w:val="00B22291"/>
    <w:rsid w:val="00B2417B"/>
    <w:rsid w:val="00B24E6F"/>
    <w:rsid w:val="00B26362"/>
    <w:rsid w:val="00B26CB5"/>
    <w:rsid w:val="00B27256"/>
    <w:rsid w:val="00B2752E"/>
    <w:rsid w:val="00B27FA1"/>
    <w:rsid w:val="00B307CC"/>
    <w:rsid w:val="00B30DA8"/>
    <w:rsid w:val="00B34C1F"/>
    <w:rsid w:val="00B42483"/>
    <w:rsid w:val="00B44A60"/>
    <w:rsid w:val="00B45141"/>
    <w:rsid w:val="00B5273A"/>
    <w:rsid w:val="00B54248"/>
    <w:rsid w:val="00B56ABE"/>
    <w:rsid w:val="00B573C5"/>
    <w:rsid w:val="00B62B50"/>
    <w:rsid w:val="00B635B7"/>
    <w:rsid w:val="00B6432B"/>
    <w:rsid w:val="00B65950"/>
    <w:rsid w:val="00B672C0"/>
    <w:rsid w:val="00B722A0"/>
    <w:rsid w:val="00B722EE"/>
    <w:rsid w:val="00B731E0"/>
    <w:rsid w:val="00B75646"/>
    <w:rsid w:val="00B76B1C"/>
    <w:rsid w:val="00B76C97"/>
    <w:rsid w:val="00B822E9"/>
    <w:rsid w:val="00B9028D"/>
    <w:rsid w:val="00B90729"/>
    <w:rsid w:val="00B907DA"/>
    <w:rsid w:val="00B92656"/>
    <w:rsid w:val="00B94CA4"/>
    <w:rsid w:val="00B950BC"/>
    <w:rsid w:val="00B95325"/>
    <w:rsid w:val="00B9714C"/>
    <w:rsid w:val="00BA22C6"/>
    <w:rsid w:val="00BA2615"/>
    <w:rsid w:val="00BA31B6"/>
    <w:rsid w:val="00BA718C"/>
    <w:rsid w:val="00BB269A"/>
    <w:rsid w:val="00BB2A17"/>
    <w:rsid w:val="00BB5CF9"/>
    <w:rsid w:val="00BB754C"/>
    <w:rsid w:val="00BB7A10"/>
    <w:rsid w:val="00BC366E"/>
    <w:rsid w:val="00BC3AB9"/>
    <w:rsid w:val="00BC7D4F"/>
    <w:rsid w:val="00BC7ED7"/>
    <w:rsid w:val="00BD2850"/>
    <w:rsid w:val="00BE28D2"/>
    <w:rsid w:val="00BE32B3"/>
    <w:rsid w:val="00BE4B99"/>
    <w:rsid w:val="00BF3C99"/>
    <w:rsid w:val="00BF7F58"/>
    <w:rsid w:val="00C00C7D"/>
    <w:rsid w:val="00C00C90"/>
    <w:rsid w:val="00C01381"/>
    <w:rsid w:val="00C021AC"/>
    <w:rsid w:val="00C0527D"/>
    <w:rsid w:val="00C079B8"/>
    <w:rsid w:val="00C07B16"/>
    <w:rsid w:val="00C123EA"/>
    <w:rsid w:val="00C12A49"/>
    <w:rsid w:val="00C133EE"/>
    <w:rsid w:val="00C160A6"/>
    <w:rsid w:val="00C177D8"/>
    <w:rsid w:val="00C17885"/>
    <w:rsid w:val="00C25F13"/>
    <w:rsid w:val="00C2730D"/>
    <w:rsid w:val="00C27DE9"/>
    <w:rsid w:val="00C33388"/>
    <w:rsid w:val="00C37731"/>
    <w:rsid w:val="00C37AB9"/>
    <w:rsid w:val="00C415CC"/>
    <w:rsid w:val="00C4173A"/>
    <w:rsid w:val="00C507FB"/>
    <w:rsid w:val="00C50872"/>
    <w:rsid w:val="00C559DC"/>
    <w:rsid w:val="00C602FF"/>
    <w:rsid w:val="00C61174"/>
    <w:rsid w:val="00C6148F"/>
    <w:rsid w:val="00C62289"/>
    <w:rsid w:val="00C62F7A"/>
    <w:rsid w:val="00C63B9C"/>
    <w:rsid w:val="00C650C4"/>
    <w:rsid w:val="00C6682F"/>
    <w:rsid w:val="00C676CE"/>
    <w:rsid w:val="00C67970"/>
    <w:rsid w:val="00C7275E"/>
    <w:rsid w:val="00C74C5D"/>
    <w:rsid w:val="00C75F39"/>
    <w:rsid w:val="00C76E88"/>
    <w:rsid w:val="00C77DC5"/>
    <w:rsid w:val="00C80248"/>
    <w:rsid w:val="00C855EB"/>
    <w:rsid w:val="00C863C4"/>
    <w:rsid w:val="00C93C3E"/>
    <w:rsid w:val="00C95074"/>
    <w:rsid w:val="00C952A3"/>
    <w:rsid w:val="00CA12E3"/>
    <w:rsid w:val="00CA1DA8"/>
    <w:rsid w:val="00CA6611"/>
    <w:rsid w:val="00CB02C4"/>
    <w:rsid w:val="00CB177C"/>
    <w:rsid w:val="00CB447E"/>
    <w:rsid w:val="00CB5B6B"/>
    <w:rsid w:val="00CC2BFD"/>
    <w:rsid w:val="00CD26B2"/>
    <w:rsid w:val="00CD3476"/>
    <w:rsid w:val="00CD64DF"/>
    <w:rsid w:val="00CE61C2"/>
    <w:rsid w:val="00CE6452"/>
    <w:rsid w:val="00CE750D"/>
    <w:rsid w:val="00CF10EA"/>
    <w:rsid w:val="00CF2F50"/>
    <w:rsid w:val="00CF3C87"/>
    <w:rsid w:val="00CF4A60"/>
    <w:rsid w:val="00D02919"/>
    <w:rsid w:val="00D02A12"/>
    <w:rsid w:val="00D04C61"/>
    <w:rsid w:val="00D04D8E"/>
    <w:rsid w:val="00D052C4"/>
    <w:rsid w:val="00D05B8D"/>
    <w:rsid w:val="00D07EC0"/>
    <w:rsid w:val="00D07F00"/>
    <w:rsid w:val="00D102B5"/>
    <w:rsid w:val="00D208B9"/>
    <w:rsid w:val="00D21873"/>
    <w:rsid w:val="00D26946"/>
    <w:rsid w:val="00D33E72"/>
    <w:rsid w:val="00D35BD6"/>
    <w:rsid w:val="00D361B5"/>
    <w:rsid w:val="00D411A2"/>
    <w:rsid w:val="00D4403C"/>
    <w:rsid w:val="00D46A20"/>
    <w:rsid w:val="00D50AF6"/>
    <w:rsid w:val="00D50B9C"/>
    <w:rsid w:val="00D5187B"/>
    <w:rsid w:val="00D51F3B"/>
    <w:rsid w:val="00D52D73"/>
    <w:rsid w:val="00D52E58"/>
    <w:rsid w:val="00D56C68"/>
    <w:rsid w:val="00D63B42"/>
    <w:rsid w:val="00D714CC"/>
    <w:rsid w:val="00D7350F"/>
    <w:rsid w:val="00D75EA7"/>
    <w:rsid w:val="00D809EE"/>
    <w:rsid w:val="00D814B0"/>
    <w:rsid w:val="00D81F21"/>
    <w:rsid w:val="00D95470"/>
    <w:rsid w:val="00D97CC0"/>
    <w:rsid w:val="00DA2619"/>
    <w:rsid w:val="00DA4239"/>
    <w:rsid w:val="00DB0B61"/>
    <w:rsid w:val="00DB314A"/>
    <w:rsid w:val="00DB38CA"/>
    <w:rsid w:val="00DB6419"/>
    <w:rsid w:val="00DB64FE"/>
    <w:rsid w:val="00DC090B"/>
    <w:rsid w:val="00DC18CA"/>
    <w:rsid w:val="00DC2CF1"/>
    <w:rsid w:val="00DC4FCF"/>
    <w:rsid w:val="00DC50E0"/>
    <w:rsid w:val="00DC6386"/>
    <w:rsid w:val="00DD1130"/>
    <w:rsid w:val="00DD1951"/>
    <w:rsid w:val="00DD24AB"/>
    <w:rsid w:val="00DD2576"/>
    <w:rsid w:val="00DD3E6F"/>
    <w:rsid w:val="00DD6628"/>
    <w:rsid w:val="00DD6ADC"/>
    <w:rsid w:val="00DE006F"/>
    <w:rsid w:val="00DE3250"/>
    <w:rsid w:val="00DE56BC"/>
    <w:rsid w:val="00DE6028"/>
    <w:rsid w:val="00DE78A3"/>
    <w:rsid w:val="00DF1A71"/>
    <w:rsid w:val="00DF1D77"/>
    <w:rsid w:val="00DF4115"/>
    <w:rsid w:val="00DF68C7"/>
    <w:rsid w:val="00E01976"/>
    <w:rsid w:val="00E0332B"/>
    <w:rsid w:val="00E052AD"/>
    <w:rsid w:val="00E170DC"/>
    <w:rsid w:val="00E26818"/>
    <w:rsid w:val="00E27281"/>
    <w:rsid w:val="00E27FFC"/>
    <w:rsid w:val="00E30B15"/>
    <w:rsid w:val="00E40181"/>
    <w:rsid w:val="00E46998"/>
    <w:rsid w:val="00E476B2"/>
    <w:rsid w:val="00E5090F"/>
    <w:rsid w:val="00E518CC"/>
    <w:rsid w:val="00E5229A"/>
    <w:rsid w:val="00E55066"/>
    <w:rsid w:val="00E55734"/>
    <w:rsid w:val="00E604DA"/>
    <w:rsid w:val="00E61DDE"/>
    <w:rsid w:val="00E629A1"/>
    <w:rsid w:val="00E63343"/>
    <w:rsid w:val="00E7073C"/>
    <w:rsid w:val="00E723DD"/>
    <w:rsid w:val="00E7578A"/>
    <w:rsid w:val="00E767FD"/>
    <w:rsid w:val="00E82C55"/>
    <w:rsid w:val="00E84EFA"/>
    <w:rsid w:val="00E851B1"/>
    <w:rsid w:val="00E86A00"/>
    <w:rsid w:val="00E87E47"/>
    <w:rsid w:val="00E92AC3"/>
    <w:rsid w:val="00E95C2E"/>
    <w:rsid w:val="00E96F1F"/>
    <w:rsid w:val="00EA41F1"/>
    <w:rsid w:val="00EB00E0"/>
    <w:rsid w:val="00EB5286"/>
    <w:rsid w:val="00EC059F"/>
    <w:rsid w:val="00EC1F24"/>
    <w:rsid w:val="00EC4D82"/>
    <w:rsid w:val="00EC63BA"/>
    <w:rsid w:val="00EC7982"/>
    <w:rsid w:val="00ED1622"/>
    <w:rsid w:val="00ED2EEE"/>
    <w:rsid w:val="00ED5967"/>
    <w:rsid w:val="00ED5B9B"/>
    <w:rsid w:val="00ED6BAD"/>
    <w:rsid w:val="00ED7447"/>
    <w:rsid w:val="00ED78CC"/>
    <w:rsid w:val="00ED7F6E"/>
    <w:rsid w:val="00EE1488"/>
    <w:rsid w:val="00EE3166"/>
    <w:rsid w:val="00EE4D5D"/>
    <w:rsid w:val="00EE62E6"/>
    <w:rsid w:val="00EE7A6A"/>
    <w:rsid w:val="00EF050F"/>
    <w:rsid w:val="00EF109B"/>
    <w:rsid w:val="00EF362A"/>
    <w:rsid w:val="00EF36AF"/>
    <w:rsid w:val="00EF4EA1"/>
    <w:rsid w:val="00EF7F0F"/>
    <w:rsid w:val="00F00F9C"/>
    <w:rsid w:val="00F02ABA"/>
    <w:rsid w:val="00F0437A"/>
    <w:rsid w:val="00F0463D"/>
    <w:rsid w:val="00F05081"/>
    <w:rsid w:val="00F07666"/>
    <w:rsid w:val="00F11037"/>
    <w:rsid w:val="00F21E82"/>
    <w:rsid w:val="00F22EF4"/>
    <w:rsid w:val="00F24C8D"/>
    <w:rsid w:val="00F24F64"/>
    <w:rsid w:val="00F250A9"/>
    <w:rsid w:val="00F30561"/>
    <w:rsid w:val="00F30FF4"/>
    <w:rsid w:val="00F314F1"/>
    <w:rsid w:val="00F331AD"/>
    <w:rsid w:val="00F335F6"/>
    <w:rsid w:val="00F3487D"/>
    <w:rsid w:val="00F3550E"/>
    <w:rsid w:val="00F41004"/>
    <w:rsid w:val="00F43A37"/>
    <w:rsid w:val="00F4641B"/>
    <w:rsid w:val="00F46EB8"/>
    <w:rsid w:val="00F47277"/>
    <w:rsid w:val="00F47826"/>
    <w:rsid w:val="00F511E4"/>
    <w:rsid w:val="00F521E5"/>
    <w:rsid w:val="00F52D09"/>
    <w:rsid w:val="00F52E08"/>
    <w:rsid w:val="00F53D0B"/>
    <w:rsid w:val="00F55B21"/>
    <w:rsid w:val="00F56EF6"/>
    <w:rsid w:val="00F64696"/>
    <w:rsid w:val="00F65AA9"/>
    <w:rsid w:val="00F6768F"/>
    <w:rsid w:val="00F72C2C"/>
    <w:rsid w:val="00F73838"/>
    <w:rsid w:val="00F75524"/>
    <w:rsid w:val="00F76CAB"/>
    <w:rsid w:val="00F772C6"/>
    <w:rsid w:val="00F85195"/>
    <w:rsid w:val="00F938BA"/>
    <w:rsid w:val="00F94A4E"/>
    <w:rsid w:val="00F9697E"/>
    <w:rsid w:val="00FA2C46"/>
    <w:rsid w:val="00FB4CDA"/>
    <w:rsid w:val="00FB6533"/>
    <w:rsid w:val="00FC0F81"/>
    <w:rsid w:val="00FC2283"/>
    <w:rsid w:val="00FC395C"/>
    <w:rsid w:val="00FD02D4"/>
    <w:rsid w:val="00FD2FEB"/>
    <w:rsid w:val="00FD3766"/>
    <w:rsid w:val="00FD47C4"/>
    <w:rsid w:val="00FE19A5"/>
    <w:rsid w:val="00FE2DCF"/>
    <w:rsid w:val="00FE6B6D"/>
    <w:rsid w:val="00FF12A7"/>
    <w:rsid w:val="00FF191D"/>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DDE6845"/>
  <w15:docId w15:val="{38D22B99-1CB7-46BA-9EC4-FC19B0E9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133098"/>
    <w:pPr>
      <w:numPr>
        <w:numId w:val="9"/>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spacing w:after="60"/>
    </w:pPr>
  </w:style>
  <w:style w:type="paragraph" w:customStyle="1" w:styleId="DPCtablebullet">
    <w:name w:val="DPC table bullet"/>
    <w:basedOn w:val="DPCtabletext"/>
    <w:uiPriority w:val="3"/>
    <w:qFormat/>
    <w:rsid w:val="00526865"/>
    <w:pPr>
      <w:numPr>
        <w:numId w:val="5"/>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1"/>
      </w:numPr>
    </w:pPr>
  </w:style>
  <w:style w:type="paragraph" w:customStyle="1" w:styleId="DPCnumberloweralphaindent">
    <w:name w:val="DPC number lower alpha indent"/>
    <w:basedOn w:val="DPCbody"/>
    <w:uiPriority w:val="3"/>
    <w:rsid w:val="00526865"/>
    <w:pPr>
      <w:numPr>
        <w:ilvl w:val="1"/>
        <w:numId w:val="8"/>
      </w:numPr>
    </w:pPr>
    <w:rPr>
      <w:rFonts w:ascii="Arial" w:hAnsi="Arial"/>
    </w:rPr>
  </w:style>
  <w:style w:type="paragraph" w:customStyle="1" w:styleId="DPCnumberdigitindent">
    <w:name w:val="DPC number digit indent"/>
    <w:basedOn w:val="Normal"/>
    <w:uiPriority w:val="4"/>
    <w:qFormat/>
    <w:rsid w:val="00526865"/>
    <w:pPr>
      <w:numPr>
        <w:ilvl w:val="1"/>
        <w:numId w:val="1"/>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8"/>
      </w:numPr>
    </w:pPr>
    <w:rPr>
      <w:rFonts w:ascii="Arial" w:hAnsi="Arial"/>
    </w:rPr>
  </w:style>
  <w:style w:type="paragraph" w:customStyle="1" w:styleId="DPCnumberlowerroman">
    <w:name w:val="DPC number lower roman"/>
    <w:basedOn w:val="DPCbody"/>
    <w:uiPriority w:val="4"/>
    <w:qFormat/>
    <w:rsid w:val="00801EEF"/>
    <w:pPr>
      <w:numPr>
        <w:numId w:val="3"/>
      </w:numPr>
    </w:pPr>
  </w:style>
  <w:style w:type="paragraph" w:customStyle="1" w:styleId="DPCnumberlowerromanindent">
    <w:name w:val="DPC number lower roman indent"/>
    <w:basedOn w:val="DPCbody"/>
    <w:uiPriority w:val="4"/>
    <w:qFormat/>
    <w:rsid w:val="00801EEF"/>
    <w:pPr>
      <w:numPr>
        <w:ilvl w:val="1"/>
        <w:numId w:val="3"/>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1"/>
      </w:numPr>
    </w:pPr>
  </w:style>
  <w:style w:type="paragraph" w:customStyle="1" w:styleId="DPCbulletafternumbers2">
    <w:name w:val="DPC bullet after numbers 2"/>
    <w:basedOn w:val="DPCbody"/>
    <w:rsid w:val="00526865"/>
    <w:pPr>
      <w:numPr>
        <w:ilvl w:val="3"/>
        <w:numId w:val="1"/>
      </w:numPr>
    </w:pPr>
  </w:style>
  <w:style w:type="paragraph" w:customStyle="1" w:styleId="DPCquotebullet">
    <w:name w:val="DPC quote bullet"/>
    <w:basedOn w:val="DPCquote"/>
    <w:rsid w:val="00526865"/>
    <w:pPr>
      <w:numPr>
        <w:numId w:val="4"/>
      </w:numPr>
    </w:pPr>
  </w:style>
  <w:style w:type="numbering" w:customStyle="1" w:styleId="ZZBullets">
    <w:name w:val="ZZ Bullets"/>
    <w:rsid w:val="00526865"/>
    <w:pPr>
      <w:numPr>
        <w:numId w:val="6"/>
      </w:numPr>
    </w:pPr>
  </w:style>
  <w:style w:type="numbering" w:customStyle="1" w:styleId="ZZNumbersdigit">
    <w:name w:val="ZZ Numbers digit"/>
    <w:basedOn w:val="NoList"/>
    <w:uiPriority w:val="99"/>
    <w:rsid w:val="00526865"/>
    <w:pPr>
      <w:numPr>
        <w:numId w:val="1"/>
      </w:numPr>
    </w:pPr>
  </w:style>
  <w:style w:type="numbering" w:customStyle="1" w:styleId="ZZNumbersloweralpha">
    <w:name w:val="ZZ Numbers lower alpha"/>
    <w:basedOn w:val="NoList"/>
    <w:rsid w:val="00526865"/>
    <w:pPr>
      <w:numPr>
        <w:numId w:val="2"/>
      </w:numPr>
    </w:pPr>
  </w:style>
  <w:style w:type="numbering" w:customStyle="1" w:styleId="ZZNumberslowerroman">
    <w:name w:val="ZZ Numbers lower roman"/>
    <w:basedOn w:val="NoList"/>
    <w:uiPriority w:val="99"/>
    <w:rsid w:val="00801EEF"/>
    <w:pPr>
      <w:numPr>
        <w:numId w:val="3"/>
      </w:numPr>
    </w:pPr>
  </w:style>
  <w:style w:type="numbering" w:customStyle="1" w:styleId="ZZQuotebullets">
    <w:name w:val="ZZ Quote bullets"/>
    <w:basedOn w:val="NoList"/>
    <w:uiPriority w:val="99"/>
    <w:rsid w:val="00526865"/>
    <w:pPr>
      <w:numPr>
        <w:numId w:val="4"/>
      </w:numPr>
    </w:pPr>
  </w:style>
  <w:style w:type="numbering" w:customStyle="1" w:styleId="ZZTablebullets">
    <w:name w:val="ZZ Table bullets"/>
    <w:basedOn w:val="ZZBullets"/>
    <w:uiPriority w:val="99"/>
    <w:rsid w:val="00526865"/>
    <w:pPr>
      <w:numPr>
        <w:numId w:val="5"/>
      </w:numPr>
    </w:pPr>
  </w:style>
  <w:style w:type="paragraph" w:customStyle="1" w:styleId="DPCtabletext6pt">
    <w:name w:val="DPC table text + 6pt"/>
    <w:basedOn w:val="DPCtabletext"/>
    <w:uiPriority w:val="11"/>
    <w:rsid w:val="00F9697E"/>
    <w:pPr>
      <w:spacing w:after="120"/>
    </w:pPr>
  </w:style>
  <w:style w:type="paragraph" w:customStyle="1" w:styleId="DPCbullethyperlink">
    <w:name w:val="DPC bullet hyperlink"/>
    <w:basedOn w:val="DPCbullet1"/>
    <w:uiPriority w:val="11"/>
    <w:rsid w:val="00501351"/>
    <w:pPr>
      <w:numPr>
        <w:numId w:val="7"/>
      </w:numPr>
      <w:ind w:left="360"/>
    </w:pPr>
    <w:rPr>
      <w:color w:val="auto"/>
      <w:u w:val="dotted" w:color="0072CE" w:themeColor="accent1"/>
    </w:rPr>
  </w:style>
  <w:style w:type="paragraph" w:styleId="BalloonText">
    <w:name w:val="Balloon Text"/>
    <w:basedOn w:val="Normal"/>
    <w:link w:val="BalloonTextChar"/>
    <w:uiPriority w:val="99"/>
    <w:semiHidden/>
    <w:unhideWhenUsed/>
    <w:rsid w:val="009F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8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E55066"/>
    <w:rPr>
      <w:sz w:val="16"/>
      <w:szCs w:val="16"/>
    </w:rPr>
  </w:style>
  <w:style w:type="paragraph" w:styleId="CommentText">
    <w:name w:val="annotation text"/>
    <w:basedOn w:val="Normal"/>
    <w:link w:val="CommentTextChar"/>
    <w:uiPriority w:val="99"/>
    <w:unhideWhenUsed/>
    <w:rsid w:val="00E55066"/>
  </w:style>
  <w:style w:type="character" w:customStyle="1" w:styleId="CommentTextChar">
    <w:name w:val="Comment Text Char"/>
    <w:basedOn w:val="DefaultParagraphFont"/>
    <w:link w:val="CommentText"/>
    <w:uiPriority w:val="99"/>
    <w:rsid w:val="00E5506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55066"/>
    <w:rPr>
      <w:b/>
      <w:bCs/>
    </w:rPr>
  </w:style>
  <w:style w:type="character" w:customStyle="1" w:styleId="CommentSubjectChar">
    <w:name w:val="Comment Subject Char"/>
    <w:basedOn w:val="CommentTextChar"/>
    <w:link w:val="CommentSubject"/>
    <w:uiPriority w:val="99"/>
    <w:semiHidden/>
    <w:rsid w:val="00E55066"/>
    <w:rPr>
      <w:rFonts w:ascii="Cambria" w:hAnsi="Cambria"/>
      <w:b/>
      <w:bCs/>
      <w:lang w:eastAsia="en-US"/>
    </w:rPr>
  </w:style>
  <w:style w:type="paragraph" w:styleId="ListParagraph">
    <w:name w:val="List Paragraph"/>
    <w:basedOn w:val="Normal"/>
    <w:uiPriority w:val="72"/>
    <w:qFormat/>
    <w:rsid w:val="00030663"/>
    <w:pPr>
      <w:ind w:left="720"/>
      <w:contextualSpacing/>
    </w:pPr>
  </w:style>
  <w:style w:type="paragraph" w:customStyle="1" w:styleId="Default">
    <w:name w:val="Default"/>
    <w:rsid w:val="00196593"/>
    <w:pPr>
      <w:autoSpaceDE w:val="0"/>
      <w:autoSpaceDN w:val="0"/>
      <w:adjustRightInd w:val="0"/>
    </w:pPr>
    <w:rPr>
      <w:rFonts w:ascii="Calibri" w:hAnsi="Calibri" w:cs="Calibri"/>
      <w:color w:val="000000"/>
      <w:sz w:val="24"/>
      <w:szCs w:val="24"/>
    </w:rPr>
  </w:style>
  <w:style w:type="paragraph" w:customStyle="1" w:styleId="DPCbulletafternumbers3">
    <w:name w:val="DPC bullet after numbers 3"/>
    <w:basedOn w:val="DPCnumberdigitindent"/>
    <w:uiPriority w:val="11"/>
    <w:rsid w:val="005E164B"/>
    <w:pPr>
      <w:numPr>
        <w:numId w:val="10"/>
      </w:numPr>
    </w:pPr>
  </w:style>
  <w:style w:type="paragraph" w:styleId="Revision">
    <w:name w:val="Revision"/>
    <w:hidden/>
    <w:uiPriority w:val="71"/>
    <w:rsid w:val="000E0B13"/>
    <w:rPr>
      <w:rFonts w:ascii="Cambria" w:hAnsi="Cambria"/>
      <w:lang w:eastAsia="en-US"/>
    </w:rPr>
  </w:style>
  <w:style w:type="character" w:styleId="UnresolvedMention">
    <w:name w:val="Unresolved Mention"/>
    <w:basedOn w:val="DefaultParagraphFont"/>
    <w:uiPriority w:val="99"/>
    <w:semiHidden/>
    <w:unhideWhenUsed/>
    <w:rsid w:val="00E0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61980">
      <w:bodyDiv w:val="1"/>
      <w:marLeft w:val="0"/>
      <w:marRight w:val="0"/>
      <w:marTop w:val="0"/>
      <w:marBottom w:val="0"/>
      <w:divBdr>
        <w:top w:val="none" w:sz="0" w:space="0" w:color="auto"/>
        <w:left w:val="none" w:sz="0" w:space="0" w:color="auto"/>
        <w:bottom w:val="none" w:sz="0" w:space="0" w:color="auto"/>
        <w:right w:val="none" w:sz="0" w:space="0" w:color="auto"/>
      </w:divBdr>
    </w:div>
    <w:div w:id="1007486698">
      <w:bodyDiv w:val="1"/>
      <w:marLeft w:val="0"/>
      <w:marRight w:val="0"/>
      <w:marTop w:val="0"/>
      <w:marBottom w:val="0"/>
      <w:divBdr>
        <w:top w:val="none" w:sz="0" w:space="0" w:color="auto"/>
        <w:left w:val="none" w:sz="0" w:space="0" w:color="auto"/>
        <w:bottom w:val="none" w:sz="0" w:space="0" w:color="auto"/>
        <w:right w:val="none" w:sz="0" w:space="0" w:color="auto"/>
      </w:divBdr>
    </w:div>
    <w:div w:id="1167787991">
      <w:bodyDiv w:val="1"/>
      <w:marLeft w:val="0"/>
      <w:marRight w:val="0"/>
      <w:marTop w:val="0"/>
      <w:marBottom w:val="0"/>
      <w:divBdr>
        <w:top w:val="none" w:sz="0" w:space="0" w:color="auto"/>
        <w:left w:val="none" w:sz="0" w:space="0" w:color="auto"/>
        <w:bottom w:val="none" w:sz="0" w:space="0" w:color="auto"/>
        <w:right w:val="none" w:sz="0" w:space="0" w:color="auto"/>
      </w:divBdr>
    </w:div>
    <w:div w:id="1367755482">
      <w:bodyDiv w:val="1"/>
      <w:marLeft w:val="0"/>
      <w:marRight w:val="0"/>
      <w:marTop w:val="0"/>
      <w:marBottom w:val="0"/>
      <w:divBdr>
        <w:top w:val="none" w:sz="0" w:space="0" w:color="auto"/>
        <w:left w:val="none" w:sz="0" w:space="0" w:color="auto"/>
        <w:bottom w:val="none" w:sz="0" w:space="0" w:color="auto"/>
        <w:right w:val="none" w:sz="0" w:space="0" w:color="auto"/>
      </w:divBdr>
    </w:div>
    <w:div w:id="1731809659">
      <w:bodyDiv w:val="1"/>
      <w:marLeft w:val="0"/>
      <w:marRight w:val="0"/>
      <w:marTop w:val="0"/>
      <w:marBottom w:val="0"/>
      <w:divBdr>
        <w:top w:val="none" w:sz="0" w:space="0" w:color="auto"/>
        <w:left w:val="none" w:sz="0" w:space="0" w:color="auto"/>
        <w:bottom w:val="none" w:sz="0" w:space="0" w:color="auto"/>
        <w:right w:val="none" w:sz="0" w:space="0" w:color="auto"/>
      </w:divBdr>
    </w:div>
    <w:div w:id="1740594386">
      <w:bodyDiv w:val="1"/>
      <w:marLeft w:val="0"/>
      <w:marRight w:val="0"/>
      <w:marTop w:val="0"/>
      <w:marBottom w:val="0"/>
      <w:divBdr>
        <w:top w:val="none" w:sz="0" w:space="0" w:color="auto"/>
        <w:left w:val="none" w:sz="0" w:space="0" w:color="auto"/>
        <w:bottom w:val="none" w:sz="0" w:space="0" w:color="auto"/>
        <w:right w:val="none" w:sz="0" w:space="0" w:color="auto"/>
      </w:divBdr>
      <w:divsChild>
        <w:div w:id="1941639035">
          <w:marLeft w:val="0"/>
          <w:marRight w:val="0"/>
          <w:marTop w:val="0"/>
          <w:marBottom w:val="0"/>
          <w:divBdr>
            <w:top w:val="none" w:sz="0" w:space="0" w:color="auto"/>
            <w:left w:val="none" w:sz="0" w:space="0" w:color="auto"/>
            <w:bottom w:val="none" w:sz="0" w:space="0" w:color="auto"/>
            <w:right w:val="none" w:sz="0" w:space="0" w:color="auto"/>
          </w:divBdr>
        </w:div>
        <w:div w:id="1849904949">
          <w:marLeft w:val="0"/>
          <w:marRight w:val="0"/>
          <w:marTop w:val="0"/>
          <w:marBottom w:val="0"/>
          <w:divBdr>
            <w:top w:val="none" w:sz="0" w:space="0" w:color="auto"/>
            <w:left w:val="none" w:sz="0" w:space="0" w:color="auto"/>
            <w:bottom w:val="none" w:sz="0" w:space="0" w:color="auto"/>
            <w:right w:val="none" w:sz="0" w:space="0" w:color="auto"/>
          </w:divBdr>
        </w:div>
        <w:div w:id="1444423400">
          <w:marLeft w:val="0"/>
          <w:marRight w:val="0"/>
          <w:marTop w:val="0"/>
          <w:marBottom w:val="0"/>
          <w:divBdr>
            <w:top w:val="none" w:sz="0" w:space="0" w:color="auto"/>
            <w:left w:val="none" w:sz="0" w:space="0" w:color="auto"/>
            <w:bottom w:val="none" w:sz="0" w:space="0" w:color="auto"/>
            <w:right w:val="none" w:sz="0" w:space="0" w:color="auto"/>
          </w:divBdr>
        </w:div>
        <w:div w:id="609629671">
          <w:marLeft w:val="0"/>
          <w:marRight w:val="0"/>
          <w:marTop w:val="0"/>
          <w:marBottom w:val="0"/>
          <w:divBdr>
            <w:top w:val="none" w:sz="0" w:space="0" w:color="auto"/>
            <w:left w:val="none" w:sz="0" w:space="0" w:color="auto"/>
            <w:bottom w:val="none" w:sz="0" w:space="0" w:color="auto"/>
            <w:right w:val="none" w:sz="0" w:space="0" w:color="auto"/>
          </w:divBdr>
        </w:div>
        <w:div w:id="1871184055">
          <w:marLeft w:val="0"/>
          <w:marRight w:val="0"/>
          <w:marTop w:val="0"/>
          <w:marBottom w:val="0"/>
          <w:divBdr>
            <w:top w:val="none" w:sz="0" w:space="0" w:color="auto"/>
            <w:left w:val="none" w:sz="0" w:space="0" w:color="auto"/>
            <w:bottom w:val="none" w:sz="0" w:space="0" w:color="auto"/>
            <w:right w:val="none" w:sz="0" w:space="0" w:color="auto"/>
          </w:divBdr>
        </w:div>
        <w:div w:id="2116899713">
          <w:marLeft w:val="0"/>
          <w:marRight w:val="0"/>
          <w:marTop w:val="0"/>
          <w:marBottom w:val="0"/>
          <w:divBdr>
            <w:top w:val="none" w:sz="0" w:space="0" w:color="auto"/>
            <w:left w:val="none" w:sz="0" w:space="0" w:color="auto"/>
            <w:bottom w:val="none" w:sz="0" w:space="0" w:color="auto"/>
            <w:right w:val="none" w:sz="0" w:space="0" w:color="auto"/>
          </w:divBdr>
        </w:div>
        <w:div w:id="401998041">
          <w:marLeft w:val="0"/>
          <w:marRight w:val="0"/>
          <w:marTop w:val="0"/>
          <w:marBottom w:val="0"/>
          <w:divBdr>
            <w:top w:val="none" w:sz="0" w:space="0" w:color="auto"/>
            <w:left w:val="none" w:sz="0" w:space="0" w:color="auto"/>
            <w:bottom w:val="none" w:sz="0" w:space="0" w:color="auto"/>
            <w:right w:val="none" w:sz="0" w:space="0" w:color="auto"/>
          </w:divBdr>
        </w:div>
        <w:div w:id="214583000">
          <w:marLeft w:val="0"/>
          <w:marRight w:val="0"/>
          <w:marTop w:val="0"/>
          <w:marBottom w:val="0"/>
          <w:divBdr>
            <w:top w:val="none" w:sz="0" w:space="0" w:color="auto"/>
            <w:left w:val="none" w:sz="0" w:space="0" w:color="auto"/>
            <w:bottom w:val="none" w:sz="0" w:space="0" w:color="auto"/>
            <w:right w:val="none" w:sz="0" w:space="0" w:color="auto"/>
          </w:divBdr>
        </w:div>
        <w:div w:id="1775056874">
          <w:marLeft w:val="0"/>
          <w:marRight w:val="0"/>
          <w:marTop w:val="0"/>
          <w:marBottom w:val="0"/>
          <w:divBdr>
            <w:top w:val="none" w:sz="0" w:space="0" w:color="auto"/>
            <w:left w:val="none" w:sz="0" w:space="0" w:color="auto"/>
            <w:bottom w:val="none" w:sz="0" w:space="0" w:color="auto"/>
            <w:right w:val="none" w:sz="0" w:space="0" w:color="auto"/>
          </w:divBdr>
        </w:div>
        <w:div w:id="714624894">
          <w:marLeft w:val="0"/>
          <w:marRight w:val="0"/>
          <w:marTop w:val="0"/>
          <w:marBottom w:val="0"/>
          <w:divBdr>
            <w:top w:val="none" w:sz="0" w:space="0" w:color="auto"/>
            <w:left w:val="none" w:sz="0" w:space="0" w:color="auto"/>
            <w:bottom w:val="none" w:sz="0" w:space="0" w:color="auto"/>
            <w:right w:val="none" w:sz="0" w:space="0" w:color="auto"/>
          </w:divBdr>
        </w:div>
        <w:div w:id="733159837">
          <w:marLeft w:val="0"/>
          <w:marRight w:val="0"/>
          <w:marTop w:val="0"/>
          <w:marBottom w:val="0"/>
          <w:divBdr>
            <w:top w:val="none" w:sz="0" w:space="0" w:color="auto"/>
            <w:left w:val="none" w:sz="0" w:space="0" w:color="auto"/>
            <w:bottom w:val="none" w:sz="0" w:space="0" w:color="auto"/>
            <w:right w:val="none" w:sz="0" w:space="0" w:color="auto"/>
          </w:divBdr>
        </w:div>
        <w:div w:id="96801037">
          <w:marLeft w:val="0"/>
          <w:marRight w:val="0"/>
          <w:marTop w:val="0"/>
          <w:marBottom w:val="0"/>
          <w:divBdr>
            <w:top w:val="none" w:sz="0" w:space="0" w:color="auto"/>
            <w:left w:val="none" w:sz="0" w:space="0" w:color="auto"/>
            <w:bottom w:val="none" w:sz="0" w:space="0" w:color="auto"/>
            <w:right w:val="none" w:sz="0" w:space="0" w:color="auto"/>
          </w:divBdr>
        </w:div>
        <w:div w:id="1066026654">
          <w:marLeft w:val="0"/>
          <w:marRight w:val="0"/>
          <w:marTop w:val="0"/>
          <w:marBottom w:val="0"/>
          <w:divBdr>
            <w:top w:val="none" w:sz="0" w:space="0" w:color="auto"/>
            <w:left w:val="none" w:sz="0" w:space="0" w:color="auto"/>
            <w:bottom w:val="none" w:sz="0" w:space="0" w:color="auto"/>
            <w:right w:val="none" w:sz="0" w:space="0" w:color="auto"/>
          </w:divBdr>
        </w:div>
        <w:div w:id="1048215320">
          <w:marLeft w:val="0"/>
          <w:marRight w:val="0"/>
          <w:marTop w:val="0"/>
          <w:marBottom w:val="0"/>
          <w:divBdr>
            <w:top w:val="none" w:sz="0" w:space="0" w:color="auto"/>
            <w:left w:val="none" w:sz="0" w:space="0" w:color="auto"/>
            <w:bottom w:val="none" w:sz="0" w:space="0" w:color="auto"/>
            <w:right w:val="none" w:sz="0" w:space="0" w:color="auto"/>
          </w:divBdr>
        </w:div>
        <w:div w:id="2076779778">
          <w:marLeft w:val="0"/>
          <w:marRight w:val="0"/>
          <w:marTop w:val="0"/>
          <w:marBottom w:val="0"/>
          <w:divBdr>
            <w:top w:val="none" w:sz="0" w:space="0" w:color="auto"/>
            <w:left w:val="none" w:sz="0" w:space="0" w:color="auto"/>
            <w:bottom w:val="none" w:sz="0" w:space="0" w:color="auto"/>
            <w:right w:val="none" w:sz="0" w:space="0" w:color="auto"/>
          </w:divBdr>
        </w:div>
        <w:div w:id="1093555815">
          <w:marLeft w:val="0"/>
          <w:marRight w:val="0"/>
          <w:marTop w:val="0"/>
          <w:marBottom w:val="0"/>
          <w:divBdr>
            <w:top w:val="none" w:sz="0" w:space="0" w:color="auto"/>
            <w:left w:val="none" w:sz="0" w:space="0" w:color="auto"/>
            <w:bottom w:val="none" w:sz="0" w:space="0" w:color="auto"/>
            <w:right w:val="none" w:sz="0" w:space="0" w:color="auto"/>
          </w:divBdr>
        </w:div>
        <w:div w:id="1059593716">
          <w:marLeft w:val="0"/>
          <w:marRight w:val="0"/>
          <w:marTop w:val="0"/>
          <w:marBottom w:val="0"/>
          <w:divBdr>
            <w:top w:val="none" w:sz="0" w:space="0" w:color="auto"/>
            <w:left w:val="none" w:sz="0" w:space="0" w:color="auto"/>
            <w:bottom w:val="none" w:sz="0" w:space="0" w:color="auto"/>
            <w:right w:val="none" w:sz="0" w:space="0" w:color="auto"/>
          </w:divBdr>
        </w:div>
        <w:div w:id="648704953">
          <w:marLeft w:val="0"/>
          <w:marRight w:val="0"/>
          <w:marTop w:val="0"/>
          <w:marBottom w:val="0"/>
          <w:divBdr>
            <w:top w:val="none" w:sz="0" w:space="0" w:color="auto"/>
            <w:left w:val="none" w:sz="0" w:space="0" w:color="auto"/>
            <w:bottom w:val="none" w:sz="0" w:space="0" w:color="auto"/>
            <w:right w:val="none" w:sz="0" w:space="0" w:color="auto"/>
          </w:divBdr>
        </w:div>
        <w:div w:id="715391815">
          <w:marLeft w:val="0"/>
          <w:marRight w:val="0"/>
          <w:marTop w:val="0"/>
          <w:marBottom w:val="0"/>
          <w:divBdr>
            <w:top w:val="none" w:sz="0" w:space="0" w:color="auto"/>
            <w:left w:val="none" w:sz="0" w:space="0" w:color="auto"/>
            <w:bottom w:val="none" w:sz="0" w:space="0" w:color="auto"/>
            <w:right w:val="none" w:sz="0" w:space="0" w:color="auto"/>
          </w:divBdr>
        </w:div>
        <w:div w:id="831799228">
          <w:marLeft w:val="0"/>
          <w:marRight w:val="0"/>
          <w:marTop w:val="0"/>
          <w:marBottom w:val="0"/>
          <w:divBdr>
            <w:top w:val="none" w:sz="0" w:space="0" w:color="auto"/>
            <w:left w:val="none" w:sz="0" w:space="0" w:color="auto"/>
            <w:bottom w:val="none" w:sz="0" w:space="0" w:color="auto"/>
            <w:right w:val="none" w:sz="0" w:space="0" w:color="auto"/>
          </w:divBdr>
        </w:div>
        <w:div w:id="866453322">
          <w:marLeft w:val="0"/>
          <w:marRight w:val="0"/>
          <w:marTop w:val="0"/>
          <w:marBottom w:val="0"/>
          <w:divBdr>
            <w:top w:val="none" w:sz="0" w:space="0" w:color="auto"/>
            <w:left w:val="none" w:sz="0" w:space="0" w:color="auto"/>
            <w:bottom w:val="none" w:sz="0" w:space="0" w:color="auto"/>
            <w:right w:val="none" w:sz="0" w:space="0" w:color="auto"/>
          </w:divBdr>
        </w:div>
        <w:div w:id="730155151">
          <w:marLeft w:val="0"/>
          <w:marRight w:val="0"/>
          <w:marTop w:val="0"/>
          <w:marBottom w:val="0"/>
          <w:divBdr>
            <w:top w:val="none" w:sz="0" w:space="0" w:color="auto"/>
            <w:left w:val="none" w:sz="0" w:space="0" w:color="auto"/>
            <w:bottom w:val="none" w:sz="0" w:space="0" w:color="auto"/>
            <w:right w:val="none" w:sz="0" w:space="0" w:color="auto"/>
          </w:divBdr>
        </w:div>
        <w:div w:id="919674887">
          <w:marLeft w:val="0"/>
          <w:marRight w:val="0"/>
          <w:marTop w:val="0"/>
          <w:marBottom w:val="0"/>
          <w:divBdr>
            <w:top w:val="none" w:sz="0" w:space="0" w:color="auto"/>
            <w:left w:val="none" w:sz="0" w:space="0" w:color="auto"/>
            <w:bottom w:val="none" w:sz="0" w:space="0" w:color="auto"/>
            <w:right w:val="none" w:sz="0" w:space="0" w:color="auto"/>
          </w:divBdr>
        </w:div>
        <w:div w:id="1142387100">
          <w:marLeft w:val="0"/>
          <w:marRight w:val="0"/>
          <w:marTop w:val="0"/>
          <w:marBottom w:val="0"/>
          <w:divBdr>
            <w:top w:val="none" w:sz="0" w:space="0" w:color="auto"/>
            <w:left w:val="none" w:sz="0" w:space="0" w:color="auto"/>
            <w:bottom w:val="none" w:sz="0" w:space="0" w:color="auto"/>
            <w:right w:val="none" w:sz="0" w:space="0" w:color="auto"/>
          </w:divBdr>
        </w:div>
        <w:div w:id="572348827">
          <w:marLeft w:val="0"/>
          <w:marRight w:val="0"/>
          <w:marTop w:val="0"/>
          <w:marBottom w:val="0"/>
          <w:divBdr>
            <w:top w:val="none" w:sz="0" w:space="0" w:color="auto"/>
            <w:left w:val="none" w:sz="0" w:space="0" w:color="auto"/>
            <w:bottom w:val="none" w:sz="0" w:space="0" w:color="auto"/>
            <w:right w:val="none" w:sz="0" w:space="0" w:color="auto"/>
          </w:divBdr>
        </w:div>
        <w:div w:id="615916627">
          <w:marLeft w:val="0"/>
          <w:marRight w:val="0"/>
          <w:marTop w:val="0"/>
          <w:marBottom w:val="0"/>
          <w:divBdr>
            <w:top w:val="none" w:sz="0" w:space="0" w:color="auto"/>
            <w:left w:val="none" w:sz="0" w:space="0" w:color="auto"/>
            <w:bottom w:val="none" w:sz="0" w:space="0" w:color="auto"/>
            <w:right w:val="none" w:sz="0" w:space="0" w:color="auto"/>
          </w:divBdr>
        </w:div>
        <w:div w:id="623510176">
          <w:marLeft w:val="0"/>
          <w:marRight w:val="0"/>
          <w:marTop w:val="0"/>
          <w:marBottom w:val="0"/>
          <w:divBdr>
            <w:top w:val="none" w:sz="0" w:space="0" w:color="auto"/>
            <w:left w:val="none" w:sz="0" w:space="0" w:color="auto"/>
            <w:bottom w:val="none" w:sz="0" w:space="0" w:color="auto"/>
            <w:right w:val="none" w:sz="0" w:space="0" w:color="auto"/>
          </w:divBdr>
        </w:div>
        <w:div w:id="955212446">
          <w:marLeft w:val="0"/>
          <w:marRight w:val="0"/>
          <w:marTop w:val="0"/>
          <w:marBottom w:val="0"/>
          <w:divBdr>
            <w:top w:val="none" w:sz="0" w:space="0" w:color="auto"/>
            <w:left w:val="none" w:sz="0" w:space="0" w:color="auto"/>
            <w:bottom w:val="none" w:sz="0" w:space="0" w:color="auto"/>
            <w:right w:val="none" w:sz="0" w:space="0" w:color="auto"/>
          </w:divBdr>
        </w:div>
        <w:div w:id="1923224693">
          <w:marLeft w:val="0"/>
          <w:marRight w:val="0"/>
          <w:marTop w:val="0"/>
          <w:marBottom w:val="0"/>
          <w:divBdr>
            <w:top w:val="none" w:sz="0" w:space="0" w:color="auto"/>
            <w:left w:val="none" w:sz="0" w:space="0" w:color="auto"/>
            <w:bottom w:val="none" w:sz="0" w:space="0" w:color="auto"/>
            <w:right w:val="none" w:sz="0" w:space="0" w:color="auto"/>
          </w:divBdr>
        </w:div>
        <w:div w:id="1286817250">
          <w:marLeft w:val="0"/>
          <w:marRight w:val="0"/>
          <w:marTop w:val="0"/>
          <w:marBottom w:val="0"/>
          <w:divBdr>
            <w:top w:val="none" w:sz="0" w:space="0" w:color="auto"/>
            <w:left w:val="none" w:sz="0" w:space="0" w:color="auto"/>
            <w:bottom w:val="none" w:sz="0" w:space="0" w:color="auto"/>
            <w:right w:val="none" w:sz="0" w:space="0" w:color="auto"/>
          </w:divBdr>
        </w:div>
        <w:div w:id="2086102334">
          <w:marLeft w:val="0"/>
          <w:marRight w:val="0"/>
          <w:marTop w:val="0"/>
          <w:marBottom w:val="0"/>
          <w:divBdr>
            <w:top w:val="none" w:sz="0" w:space="0" w:color="auto"/>
            <w:left w:val="none" w:sz="0" w:space="0" w:color="auto"/>
            <w:bottom w:val="none" w:sz="0" w:space="0" w:color="auto"/>
            <w:right w:val="none" w:sz="0" w:space="0" w:color="auto"/>
          </w:divBdr>
        </w:div>
        <w:div w:id="775370823">
          <w:marLeft w:val="0"/>
          <w:marRight w:val="0"/>
          <w:marTop w:val="0"/>
          <w:marBottom w:val="0"/>
          <w:divBdr>
            <w:top w:val="none" w:sz="0" w:space="0" w:color="auto"/>
            <w:left w:val="none" w:sz="0" w:space="0" w:color="auto"/>
            <w:bottom w:val="none" w:sz="0" w:space="0" w:color="auto"/>
            <w:right w:val="none" w:sz="0" w:space="0" w:color="auto"/>
          </w:divBdr>
        </w:div>
        <w:div w:id="404837430">
          <w:marLeft w:val="0"/>
          <w:marRight w:val="0"/>
          <w:marTop w:val="0"/>
          <w:marBottom w:val="0"/>
          <w:divBdr>
            <w:top w:val="none" w:sz="0" w:space="0" w:color="auto"/>
            <w:left w:val="none" w:sz="0" w:space="0" w:color="auto"/>
            <w:bottom w:val="none" w:sz="0" w:space="0" w:color="auto"/>
            <w:right w:val="none" w:sz="0" w:space="0" w:color="auto"/>
          </w:divBdr>
        </w:div>
        <w:div w:id="806356168">
          <w:marLeft w:val="0"/>
          <w:marRight w:val="0"/>
          <w:marTop w:val="0"/>
          <w:marBottom w:val="0"/>
          <w:divBdr>
            <w:top w:val="none" w:sz="0" w:space="0" w:color="auto"/>
            <w:left w:val="none" w:sz="0" w:space="0" w:color="auto"/>
            <w:bottom w:val="none" w:sz="0" w:space="0" w:color="auto"/>
            <w:right w:val="none" w:sz="0" w:space="0" w:color="auto"/>
          </w:divBdr>
        </w:div>
        <w:div w:id="48766288">
          <w:marLeft w:val="0"/>
          <w:marRight w:val="0"/>
          <w:marTop w:val="0"/>
          <w:marBottom w:val="0"/>
          <w:divBdr>
            <w:top w:val="none" w:sz="0" w:space="0" w:color="auto"/>
            <w:left w:val="none" w:sz="0" w:space="0" w:color="auto"/>
            <w:bottom w:val="none" w:sz="0" w:space="0" w:color="auto"/>
            <w:right w:val="none" w:sz="0" w:space="0" w:color="auto"/>
          </w:divBdr>
        </w:div>
        <w:div w:id="511800631">
          <w:marLeft w:val="0"/>
          <w:marRight w:val="0"/>
          <w:marTop w:val="0"/>
          <w:marBottom w:val="0"/>
          <w:divBdr>
            <w:top w:val="none" w:sz="0" w:space="0" w:color="auto"/>
            <w:left w:val="none" w:sz="0" w:space="0" w:color="auto"/>
            <w:bottom w:val="none" w:sz="0" w:space="0" w:color="auto"/>
            <w:right w:val="none" w:sz="0" w:space="0" w:color="auto"/>
          </w:divBdr>
        </w:div>
        <w:div w:id="1677340621">
          <w:marLeft w:val="0"/>
          <w:marRight w:val="0"/>
          <w:marTop w:val="0"/>
          <w:marBottom w:val="0"/>
          <w:divBdr>
            <w:top w:val="none" w:sz="0" w:space="0" w:color="auto"/>
            <w:left w:val="none" w:sz="0" w:space="0" w:color="auto"/>
            <w:bottom w:val="none" w:sz="0" w:space="0" w:color="auto"/>
            <w:right w:val="none" w:sz="0" w:space="0" w:color="auto"/>
          </w:divBdr>
        </w:div>
        <w:div w:id="1946694794">
          <w:marLeft w:val="0"/>
          <w:marRight w:val="0"/>
          <w:marTop w:val="0"/>
          <w:marBottom w:val="0"/>
          <w:divBdr>
            <w:top w:val="none" w:sz="0" w:space="0" w:color="auto"/>
            <w:left w:val="none" w:sz="0" w:space="0" w:color="auto"/>
            <w:bottom w:val="none" w:sz="0" w:space="0" w:color="auto"/>
            <w:right w:val="none" w:sz="0" w:space="0" w:color="auto"/>
          </w:divBdr>
        </w:div>
        <w:div w:id="597450981">
          <w:marLeft w:val="0"/>
          <w:marRight w:val="0"/>
          <w:marTop w:val="0"/>
          <w:marBottom w:val="0"/>
          <w:divBdr>
            <w:top w:val="none" w:sz="0" w:space="0" w:color="auto"/>
            <w:left w:val="none" w:sz="0" w:space="0" w:color="auto"/>
            <w:bottom w:val="none" w:sz="0" w:space="0" w:color="auto"/>
            <w:right w:val="none" w:sz="0" w:space="0" w:color="auto"/>
          </w:divBdr>
        </w:div>
        <w:div w:id="1407874237">
          <w:marLeft w:val="0"/>
          <w:marRight w:val="0"/>
          <w:marTop w:val="0"/>
          <w:marBottom w:val="0"/>
          <w:divBdr>
            <w:top w:val="none" w:sz="0" w:space="0" w:color="auto"/>
            <w:left w:val="none" w:sz="0" w:space="0" w:color="auto"/>
            <w:bottom w:val="none" w:sz="0" w:space="0" w:color="auto"/>
            <w:right w:val="none" w:sz="0" w:space="0" w:color="auto"/>
          </w:divBdr>
        </w:div>
        <w:div w:id="453401408">
          <w:marLeft w:val="0"/>
          <w:marRight w:val="0"/>
          <w:marTop w:val="0"/>
          <w:marBottom w:val="0"/>
          <w:divBdr>
            <w:top w:val="none" w:sz="0" w:space="0" w:color="auto"/>
            <w:left w:val="none" w:sz="0" w:space="0" w:color="auto"/>
            <w:bottom w:val="none" w:sz="0" w:space="0" w:color="auto"/>
            <w:right w:val="none" w:sz="0" w:space="0" w:color="auto"/>
          </w:divBdr>
        </w:div>
        <w:div w:id="1156410555">
          <w:marLeft w:val="0"/>
          <w:marRight w:val="0"/>
          <w:marTop w:val="0"/>
          <w:marBottom w:val="0"/>
          <w:divBdr>
            <w:top w:val="none" w:sz="0" w:space="0" w:color="auto"/>
            <w:left w:val="none" w:sz="0" w:space="0" w:color="auto"/>
            <w:bottom w:val="none" w:sz="0" w:space="0" w:color="auto"/>
            <w:right w:val="none" w:sz="0" w:space="0" w:color="auto"/>
          </w:divBdr>
        </w:div>
        <w:div w:id="1954626229">
          <w:marLeft w:val="0"/>
          <w:marRight w:val="0"/>
          <w:marTop w:val="0"/>
          <w:marBottom w:val="0"/>
          <w:divBdr>
            <w:top w:val="none" w:sz="0" w:space="0" w:color="auto"/>
            <w:left w:val="none" w:sz="0" w:space="0" w:color="auto"/>
            <w:bottom w:val="none" w:sz="0" w:space="0" w:color="auto"/>
            <w:right w:val="none" w:sz="0" w:space="0" w:color="auto"/>
          </w:divBdr>
        </w:div>
        <w:div w:id="1465729972">
          <w:marLeft w:val="0"/>
          <w:marRight w:val="0"/>
          <w:marTop w:val="0"/>
          <w:marBottom w:val="0"/>
          <w:divBdr>
            <w:top w:val="none" w:sz="0" w:space="0" w:color="auto"/>
            <w:left w:val="none" w:sz="0" w:space="0" w:color="auto"/>
            <w:bottom w:val="none" w:sz="0" w:space="0" w:color="auto"/>
            <w:right w:val="none" w:sz="0" w:space="0" w:color="auto"/>
          </w:divBdr>
        </w:div>
      </w:divsChild>
    </w:div>
    <w:div w:id="1766464720">
      <w:bodyDiv w:val="1"/>
      <w:marLeft w:val="0"/>
      <w:marRight w:val="0"/>
      <w:marTop w:val="0"/>
      <w:marBottom w:val="0"/>
      <w:divBdr>
        <w:top w:val="none" w:sz="0" w:space="0" w:color="auto"/>
        <w:left w:val="none" w:sz="0" w:space="0" w:color="auto"/>
        <w:bottom w:val="none" w:sz="0" w:space="0" w:color="auto"/>
        <w:right w:val="none" w:sz="0" w:space="0" w:color="auto"/>
      </w:divBdr>
    </w:div>
    <w:div w:id="1828934906">
      <w:bodyDiv w:val="1"/>
      <w:marLeft w:val="0"/>
      <w:marRight w:val="0"/>
      <w:marTop w:val="0"/>
      <w:marBottom w:val="0"/>
      <w:divBdr>
        <w:top w:val="none" w:sz="0" w:space="0" w:color="auto"/>
        <w:left w:val="none" w:sz="0" w:space="0" w:color="auto"/>
        <w:bottom w:val="none" w:sz="0" w:space="0" w:color="auto"/>
        <w:right w:val="none" w:sz="0" w:space="0" w:color="auto"/>
      </w:divBdr>
    </w:div>
    <w:div w:id="2018578950">
      <w:bodyDiv w:val="1"/>
      <w:marLeft w:val="0"/>
      <w:marRight w:val="0"/>
      <w:marTop w:val="0"/>
      <w:marBottom w:val="0"/>
      <w:divBdr>
        <w:top w:val="none" w:sz="0" w:space="0" w:color="auto"/>
        <w:left w:val="none" w:sz="0" w:space="0" w:color="auto"/>
        <w:bottom w:val="none" w:sz="0" w:space="0" w:color="auto"/>
        <w:right w:val="none" w:sz="0" w:space="0" w:color="auto"/>
      </w:divBdr>
      <w:divsChild>
        <w:div w:id="2146190797">
          <w:marLeft w:val="446"/>
          <w:marRight w:val="0"/>
          <w:marTop w:val="120"/>
          <w:marBottom w:val="120"/>
          <w:divBdr>
            <w:top w:val="none" w:sz="0" w:space="0" w:color="auto"/>
            <w:left w:val="none" w:sz="0" w:space="0" w:color="auto"/>
            <w:bottom w:val="none" w:sz="0" w:space="0" w:color="auto"/>
            <w:right w:val="none" w:sz="0" w:space="0" w:color="auto"/>
          </w:divBdr>
        </w:div>
        <w:div w:id="808405595">
          <w:marLeft w:val="446"/>
          <w:marRight w:val="0"/>
          <w:marTop w:val="120"/>
          <w:marBottom w:val="120"/>
          <w:divBdr>
            <w:top w:val="none" w:sz="0" w:space="0" w:color="auto"/>
            <w:left w:val="none" w:sz="0" w:space="0" w:color="auto"/>
            <w:bottom w:val="none" w:sz="0" w:space="0" w:color="auto"/>
            <w:right w:val="none" w:sz="0" w:space="0" w:color="auto"/>
          </w:divBdr>
        </w:div>
        <w:div w:id="1215240202">
          <w:marLeft w:val="446"/>
          <w:marRight w:val="0"/>
          <w:marTop w:val="120"/>
          <w:marBottom w:val="120"/>
          <w:divBdr>
            <w:top w:val="none" w:sz="0" w:space="0" w:color="auto"/>
            <w:left w:val="none" w:sz="0" w:space="0" w:color="auto"/>
            <w:bottom w:val="none" w:sz="0" w:space="0" w:color="auto"/>
            <w:right w:val="none" w:sz="0" w:space="0" w:color="auto"/>
          </w:divBdr>
        </w:div>
        <w:div w:id="710610176">
          <w:marLeft w:val="446"/>
          <w:marRight w:val="0"/>
          <w:marTop w:val="120"/>
          <w:marBottom w:val="120"/>
          <w:divBdr>
            <w:top w:val="none" w:sz="0" w:space="0" w:color="auto"/>
            <w:left w:val="none" w:sz="0" w:space="0" w:color="auto"/>
            <w:bottom w:val="none" w:sz="0" w:space="0" w:color="auto"/>
            <w:right w:val="none" w:sz="0" w:space="0" w:color="auto"/>
          </w:divBdr>
        </w:div>
        <w:div w:id="1103264930">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c.gov.au/information-management-policies-and-standards" TargetMode="External"/><Relationship Id="rId18" Type="http://schemas.openxmlformats.org/officeDocument/2006/relationships/hyperlink" Target="mailto:digital.transformation@dpc.vic.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prov.vic.gov.au/recordkeeping-government/a-z-topics/normal-administrative-practice-nap" TargetMode="External"/><Relationship Id="rId2" Type="http://schemas.openxmlformats.org/officeDocument/2006/relationships/customXml" Target="../customXml/item2.xml"/><Relationship Id="rId16" Type="http://schemas.openxmlformats.org/officeDocument/2006/relationships/hyperlink" Target="https://www.legislation.vic.gov.au/in-force/acts/public-records-act-1973/04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reativecommons.org/licenses/by/4.0/" TargetMode="Externa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D1F3-8D66-49CA-B9CD-3A653F137BA8}">
  <ds:schemaRefs>
    <ds:schemaRef ds:uri="http://www.w3.org/2001/XMLSchema"/>
  </ds:schemaRefs>
</ds:datastoreItem>
</file>

<file path=customXml/itemProps2.xml><?xml version="1.0" encoding="utf-8"?>
<ds:datastoreItem xmlns:ds="http://schemas.openxmlformats.org/officeDocument/2006/customXml" ds:itemID="{C20A6FBD-4CFF-40B0-8776-BC9438DC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12726</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Steinfort</dc:creator>
  <cp:lastModifiedBy>Carly Lusk (DPC)</cp:lastModifiedBy>
  <cp:revision>24</cp:revision>
  <cp:lastPrinted>2018-04-19T22:30:00Z</cp:lastPrinted>
  <dcterms:created xsi:type="dcterms:W3CDTF">2018-05-30T02:01:00Z</dcterms:created>
  <dcterms:modified xsi:type="dcterms:W3CDTF">2020-07-20T02:09:00Z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912c6e56-90cc-459d-a75a-7a4f4a54796a</vt:lpwstr>
  </property>
  <property fmtid="{D5CDD505-2E9C-101B-9397-08002B2CF9AE}" pid="4" name="PSPFClassification">
    <vt:lpwstr>For Official Use Only</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kate.steinfort@dpc.vic.gov.au</vt:lpwstr>
  </property>
  <property fmtid="{D5CDD505-2E9C-101B-9397-08002B2CF9AE}" pid="8" name="MSIP_Label_7158ebbd-6c5e-441f-bfc9-4eb8c11e3978_SetDate">
    <vt:lpwstr>2019-06-18T00:05:42.5223898Z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