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90" w:rsidRPr="00C34AB7" w:rsidRDefault="00FA6383" w:rsidP="00FE51D3">
      <w:pPr>
        <w:pStyle w:val="DPCbodynospace"/>
      </w:pPr>
      <w:r>
        <w:rPr>
          <w:noProof/>
          <w:lang w:eastAsia="en-AU"/>
        </w:rPr>
        <w:drawing>
          <wp:anchor distT="0" distB="0" distL="114300" distR="114300" simplePos="0" relativeHeight="251658240" behindDoc="1" locked="1" layoutInCell="0" allowOverlap="1" wp14:anchorId="266FC616" wp14:editId="290F072C">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horzAnchor="page" w:tblpX="796" w:tblpY="585"/>
        <w:tblW w:w="6663" w:type="dxa"/>
        <w:tblCellMar>
          <w:left w:w="0" w:type="dxa"/>
          <w:right w:w="0" w:type="dxa"/>
        </w:tblCellMar>
        <w:tblLook w:val="04A0" w:firstRow="1" w:lastRow="0" w:firstColumn="1" w:lastColumn="0" w:noHBand="0" w:noVBand="1"/>
      </w:tblPr>
      <w:tblGrid>
        <w:gridCol w:w="6663"/>
      </w:tblGrid>
      <w:tr w:rsidR="001817CD" w:rsidRPr="00C34AB7" w:rsidTr="000A443F">
        <w:trPr>
          <w:trHeight w:val="6131"/>
        </w:trPr>
        <w:tc>
          <w:tcPr>
            <w:tcW w:w="6663" w:type="dxa"/>
            <w:shd w:val="clear" w:color="auto" w:fill="auto"/>
            <w:vAlign w:val="center"/>
          </w:tcPr>
          <w:p w:rsidR="000A443F" w:rsidRPr="004C4D4A" w:rsidRDefault="000A443F" w:rsidP="000A443F">
            <w:pPr>
              <w:pStyle w:val="DPCreporttitle"/>
            </w:pPr>
            <w:r>
              <w:t>ICT Project</w:t>
            </w:r>
            <w:r w:rsidR="00094979">
              <w:t xml:space="preserve"> Quality</w:t>
            </w:r>
            <w:r>
              <w:t xml:space="preserve"> Assurance</w:t>
            </w:r>
            <w:r w:rsidR="00094979">
              <w:t xml:space="preserve"> </w:t>
            </w:r>
            <w:r>
              <w:t>Framework</w:t>
            </w:r>
          </w:p>
          <w:p w:rsidR="000A443F" w:rsidRDefault="000A443F" w:rsidP="000A443F">
            <w:pPr>
              <w:pStyle w:val="DPCreportsubtitle"/>
            </w:pPr>
            <w:r>
              <w:t xml:space="preserve">For non-High Value High Risk </w:t>
            </w:r>
          </w:p>
          <w:p w:rsidR="00444D82" w:rsidRPr="004C4D4A" w:rsidRDefault="000A443F" w:rsidP="000A443F">
            <w:pPr>
              <w:pStyle w:val="DPCreportsubtitle"/>
            </w:pPr>
            <w:r>
              <w:t>ICT projects</w:t>
            </w:r>
          </w:p>
        </w:tc>
      </w:tr>
    </w:tbl>
    <w:p w:rsidR="0069374A" w:rsidRPr="00C34AB7" w:rsidRDefault="0069374A" w:rsidP="00FE51D3">
      <w:pPr>
        <w:pStyle w:val="DPCbodynospace"/>
      </w:pPr>
    </w:p>
    <w:p w:rsidR="00320FDE" w:rsidRPr="0088510E" w:rsidRDefault="00320FDE" w:rsidP="0088510E">
      <w:pPr>
        <w:pStyle w:val="TOC3"/>
        <w:sectPr w:rsidR="00320FDE" w:rsidRPr="0088510E" w:rsidSect="006D0511">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titlePg/>
          <w:docGrid w:linePitch="360"/>
        </w:sectPr>
      </w:pPr>
    </w:p>
    <w:bookmarkStart w:id="6" w:name="_Toc470166065" w:displacedByCustomXml="next"/>
    <w:bookmarkStart w:id="7" w:name="_Toc470166067" w:displacedByCustomXml="next"/>
    <w:sdt>
      <w:sdtPr>
        <w:rPr>
          <w:rFonts w:ascii="Cambria" w:eastAsia="Times New Roman" w:hAnsi="Cambria" w:cs="Times New Roman"/>
          <w:b w:val="0"/>
          <w:bCs w:val="0"/>
          <w:color w:val="auto"/>
          <w:sz w:val="20"/>
          <w:szCs w:val="20"/>
          <w:lang w:val="en-AU" w:eastAsia="en-US"/>
        </w:rPr>
        <w:id w:val="-405930893"/>
        <w:docPartObj>
          <w:docPartGallery w:val="Table of Contents"/>
          <w:docPartUnique/>
        </w:docPartObj>
      </w:sdtPr>
      <w:sdtEndPr>
        <w:rPr>
          <w:noProof/>
        </w:rPr>
      </w:sdtEndPr>
      <w:sdtContent>
        <w:p w:rsidR="00D5431D" w:rsidRPr="00BB597A" w:rsidRDefault="00D5431D" w:rsidP="00D5431D">
          <w:pPr>
            <w:pStyle w:val="TOCHeading"/>
            <w:rPr>
              <w:rStyle w:val="Heading1Char"/>
              <w:b w:val="0"/>
            </w:rPr>
          </w:pPr>
          <w:r w:rsidRPr="00BB597A">
            <w:rPr>
              <w:rStyle w:val="Heading1Char"/>
              <w:b w:val="0"/>
            </w:rPr>
            <w:t>Contents</w:t>
          </w:r>
        </w:p>
        <w:p w:rsidR="00D5431D" w:rsidRDefault="00D5431D" w:rsidP="00D5431D">
          <w:pPr>
            <w:pStyle w:val="TOC1"/>
            <w:rPr>
              <w:rFonts w:eastAsiaTheme="minorEastAsia" w:cstheme="minorBidi"/>
              <w:b w:val="0"/>
              <w:lang w:eastAsia="en-AU"/>
            </w:rPr>
          </w:pPr>
          <w:r>
            <w:rPr>
              <w:b w:val="0"/>
            </w:rPr>
            <w:fldChar w:fldCharType="begin"/>
          </w:r>
          <w:r>
            <w:rPr>
              <w:b w:val="0"/>
            </w:rPr>
            <w:instrText xml:space="preserve"> TOC \o "1-3" \h \z \u </w:instrText>
          </w:r>
          <w:r>
            <w:rPr>
              <w:b w:val="0"/>
            </w:rPr>
            <w:fldChar w:fldCharType="separate"/>
          </w:r>
          <w:hyperlink w:anchor="_Toc524623254" w:history="1">
            <w:r w:rsidRPr="0004148B">
              <w:rPr>
                <w:rStyle w:val="Hyperlink"/>
              </w:rPr>
              <w:t>Vision, purpose and document details</w:t>
            </w:r>
            <w:r>
              <w:rPr>
                <w:webHidden/>
              </w:rPr>
              <w:tab/>
            </w:r>
            <w:r>
              <w:rPr>
                <w:webHidden/>
              </w:rPr>
              <w:fldChar w:fldCharType="begin"/>
            </w:r>
            <w:r>
              <w:rPr>
                <w:webHidden/>
              </w:rPr>
              <w:instrText xml:space="preserve"> PAGEREF _Toc524623254 \h </w:instrText>
            </w:r>
            <w:r>
              <w:rPr>
                <w:webHidden/>
              </w:rPr>
            </w:r>
            <w:r>
              <w:rPr>
                <w:webHidden/>
              </w:rPr>
              <w:fldChar w:fldCharType="separate"/>
            </w:r>
            <w:r w:rsidR="00E33028">
              <w:rPr>
                <w:webHidden/>
              </w:rPr>
              <w:t>3</w:t>
            </w:r>
            <w:r>
              <w:rPr>
                <w:webHidden/>
              </w:rPr>
              <w:fldChar w:fldCharType="end"/>
            </w:r>
          </w:hyperlink>
        </w:p>
        <w:p w:rsidR="00D5431D" w:rsidRDefault="005E7AA9" w:rsidP="00D5431D">
          <w:pPr>
            <w:pStyle w:val="TOC1"/>
            <w:rPr>
              <w:rFonts w:eastAsiaTheme="minorEastAsia" w:cstheme="minorBidi"/>
              <w:b w:val="0"/>
              <w:lang w:eastAsia="en-AU"/>
            </w:rPr>
          </w:pPr>
          <w:hyperlink w:anchor="_Toc524623255" w:history="1">
            <w:r w:rsidR="00D5431D" w:rsidRPr="0004148B">
              <w:rPr>
                <w:rStyle w:val="Hyperlink"/>
              </w:rPr>
              <w:t>Overview</w:t>
            </w:r>
            <w:r w:rsidR="00D5431D">
              <w:rPr>
                <w:webHidden/>
              </w:rPr>
              <w:tab/>
            </w:r>
            <w:r w:rsidR="00D5431D">
              <w:rPr>
                <w:webHidden/>
              </w:rPr>
              <w:fldChar w:fldCharType="begin"/>
            </w:r>
            <w:r w:rsidR="00D5431D">
              <w:rPr>
                <w:webHidden/>
              </w:rPr>
              <w:instrText xml:space="preserve"> PAGEREF _Toc524623255 \h </w:instrText>
            </w:r>
            <w:r w:rsidR="00D5431D">
              <w:rPr>
                <w:webHidden/>
              </w:rPr>
            </w:r>
            <w:r w:rsidR="00D5431D">
              <w:rPr>
                <w:webHidden/>
              </w:rPr>
              <w:fldChar w:fldCharType="separate"/>
            </w:r>
            <w:r w:rsidR="00E33028">
              <w:rPr>
                <w:webHidden/>
              </w:rPr>
              <w:t>4</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56" w:history="1">
            <w:r w:rsidR="00D5431D" w:rsidRPr="0004148B">
              <w:rPr>
                <w:rStyle w:val="Hyperlink"/>
              </w:rPr>
              <w:t>Purpose</w:t>
            </w:r>
            <w:r w:rsidR="00D5431D">
              <w:rPr>
                <w:webHidden/>
              </w:rPr>
              <w:tab/>
            </w:r>
            <w:r w:rsidR="00D5431D">
              <w:rPr>
                <w:webHidden/>
              </w:rPr>
              <w:fldChar w:fldCharType="begin"/>
            </w:r>
            <w:r w:rsidR="00D5431D">
              <w:rPr>
                <w:webHidden/>
              </w:rPr>
              <w:instrText xml:space="preserve"> PAGEREF _Toc524623256 \h </w:instrText>
            </w:r>
            <w:r w:rsidR="00D5431D">
              <w:rPr>
                <w:webHidden/>
              </w:rPr>
            </w:r>
            <w:r w:rsidR="00D5431D">
              <w:rPr>
                <w:webHidden/>
              </w:rPr>
              <w:fldChar w:fldCharType="separate"/>
            </w:r>
            <w:r w:rsidR="00E33028">
              <w:rPr>
                <w:webHidden/>
              </w:rPr>
              <w:t>4</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57" w:history="1">
            <w:r w:rsidR="00D5431D" w:rsidRPr="0004148B">
              <w:rPr>
                <w:rStyle w:val="Hyperlink"/>
              </w:rPr>
              <w:t>Scope</w:t>
            </w:r>
            <w:r w:rsidR="00D5431D">
              <w:rPr>
                <w:webHidden/>
              </w:rPr>
              <w:tab/>
            </w:r>
            <w:r w:rsidR="00D5431D">
              <w:rPr>
                <w:webHidden/>
              </w:rPr>
              <w:fldChar w:fldCharType="begin"/>
            </w:r>
            <w:r w:rsidR="00D5431D">
              <w:rPr>
                <w:webHidden/>
              </w:rPr>
              <w:instrText xml:space="preserve"> PAGEREF _Toc524623257 \h </w:instrText>
            </w:r>
            <w:r w:rsidR="00D5431D">
              <w:rPr>
                <w:webHidden/>
              </w:rPr>
            </w:r>
            <w:r w:rsidR="00D5431D">
              <w:rPr>
                <w:webHidden/>
              </w:rPr>
              <w:fldChar w:fldCharType="separate"/>
            </w:r>
            <w:r w:rsidR="00E33028">
              <w:rPr>
                <w:webHidden/>
              </w:rPr>
              <w:t>4</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58" w:history="1">
            <w:r w:rsidR="00D5431D" w:rsidRPr="0004148B">
              <w:rPr>
                <w:rStyle w:val="Hyperlink"/>
              </w:rPr>
              <w:t>The problem</w:t>
            </w:r>
            <w:r w:rsidR="00D5431D">
              <w:rPr>
                <w:webHidden/>
              </w:rPr>
              <w:tab/>
            </w:r>
            <w:r w:rsidR="00D5431D">
              <w:rPr>
                <w:webHidden/>
              </w:rPr>
              <w:fldChar w:fldCharType="begin"/>
            </w:r>
            <w:r w:rsidR="00D5431D">
              <w:rPr>
                <w:webHidden/>
              </w:rPr>
              <w:instrText xml:space="preserve"> PAGEREF _Toc524623258 \h </w:instrText>
            </w:r>
            <w:r w:rsidR="00D5431D">
              <w:rPr>
                <w:webHidden/>
              </w:rPr>
            </w:r>
            <w:r w:rsidR="00D5431D">
              <w:rPr>
                <w:webHidden/>
              </w:rPr>
              <w:fldChar w:fldCharType="separate"/>
            </w:r>
            <w:r w:rsidR="00E33028">
              <w:rPr>
                <w:webHidden/>
              </w:rPr>
              <w:t>4</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59" w:history="1">
            <w:r w:rsidR="00D5431D" w:rsidRPr="0004148B">
              <w:rPr>
                <w:rStyle w:val="Hyperlink"/>
              </w:rPr>
              <w:t>Objectives</w:t>
            </w:r>
            <w:r w:rsidR="00D5431D">
              <w:rPr>
                <w:webHidden/>
              </w:rPr>
              <w:tab/>
            </w:r>
            <w:r w:rsidR="00D5431D">
              <w:rPr>
                <w:webHidden/>
              </w:rPr>
              <w:fldChar w:fldCharType="begin"/>
            </w:r>
            <w:r w:rsidR="00D5431D">
              <w:rPr>
                <w:webHidden/>
              </w:rPr>
              <w:instrText xml:space="preserve"> PAGEREF _Toc524623259 \h </w:instrText>
            </w:r>
            <w:r w:rsidR="00D5431D">
              <w:rPr>
                <w:webHidden/>
              </w:rPr>
            </w:r>
            <w:r w:rsidR="00D5431D">
              <w:rPr>
                <w:webHidden/>
              </w:rPr>
              <w:fldChar w:fldCharType="separate"/>
            </w:r>
            <w:r w:rsidR="00E33028">
              <w:rPr>
                <w:webHidden/>
              </w:rPr>
              <w:t>5</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60" w:history="1">
            <w:r w:rsidR="00D5431D" w:rsidRPr="0004148B">
              <w:rPr>
                <w:rStyle w:val="Hyperlink"/>
              </w:rPr>
              <w:t>Issues</w:t>
            </w:r>
            <w:r w:rsidR="00D5431D">
              <w:rPr>
                <w:webHidden/>
              </w:rPr>
              <w:tab/>
            </w:r>
            <w:r w:rsidR="00D5431D">
              <w:rPr>
                <w:webHidden/>
              </w:rPr>
              <w:fldChar w:fldCharType="begin"/>
            </w:r>
            <w:r w:rsidR="00D5431D">
              <w:rPr>
                <w:webHidden/>
              </w:rPr>
              <w:instrText xml:space="preserve"> PAGEREF _Toc524623260 \h </w:instrText>
            </w:r>
            <w:r w:rsidR="00D5431D">
              <w:rPr>
                <w:webHidden/>
              </w:rPr>
            </w:r>
            <w:r w:rsidR="00D5431D">
              <w:rPr>
                <w:webHidden/>
              </w:rPr>
              <w:fldChar w:fldCharType="separate"/>
            </w:r>
            <w:r w:rsidR="00E33028">
              <w:rPr>
                <w:webHidden/>
              </w:rPr>
              <w:t>5</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61" w:history="1">
            <w:r w:rsidR="00D5431D" w:rsidRPr="0004148B">
              <w:rPr>
                <w:rStyle w:val="Hyperlink"/>
              </w:rPr>
              <w:t>Glossary</w:t>
            </w:r>
            <w:r w:rsidR="00D5431D">
              <w:rPr>
                <w:webHidden/>
              </w:rPr>
              <w:tab/>
            </w:r>
            <w:r w:rsidR="00D5431D">
              <w:rPr>
                <w:webHidden/>
              </w:rPr>
              <w:fldChar w:fldCharType="begin"/>
            </w:r>
            <w:r w:rsidR="00D5431D">
              <w:rPr>
                <w:webHidden/>
              </w:rPr>
              <w:instrText xml:space="preserve"> PAGEREF _Toc524623261 \h </w:instrText>
            </w:r>
            <w:r w:rsidR="00D5431D">
              <w:rPr>
                <w:webHidden/>
              </w:rPr>
            </w:r>
            <w:r w:rsidR="00D5431D">
              <w:rPr>
                <w:webHidden/>
              </w:rPr>
              <w:fldChar w:fldCharType="separate"/>
            </w:r>
            <w:r w:rsidR="00E33028">
              <w:rPr>
                <w:webHidden/>
              </w:rPr>
              <w:t>6</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62" w:history="1">
            <w:r w:rsidR="00D5431D" w:rsidRPr="0004148B">
              <w:rPr>
                <w:rStyle w:val="Hyperlink"/>
              </w:rPr>
              <w:t>ICT Project Quality assurance (QA) process</w:t>
            </w:r>
            <w:r w:rsidR="00D5431D">
              <w:rPr>
                <w:webHidden/>
              </w:rPr>
              <w:tab/>
            </w:r>
            <w:r w:rsidR="00D5431D">
              <w:rPr>
                <w:webHidden/>
              </w:rPr>
              <w:fldChar w:fldCharType="begin"/>
            </w:r>
            <w:r w:rsidR="00D5431D">
              <w:rPr>
                <w:webHidden/>
              </w:rPr>
              <w:instrText xml:space="preserve"> PAGEREF _Toc524623262 \h </w:instrText>
            </w:r>
            <w:r w:rsidR="00D5431D">
              <w:rPr>
                <w:webHidden/>
              </w:rPr>
            </w:r>
            <w:r w:rsidR="00D5431D">
              <w:rPr>
                <w:webHidden/>
              </w:rPr>
              <w:fldChar w:fldCharType="separate"/>
            </w:r>
            <w:r w:rsidR="00E33028">
              <w:rPr>
                <w:webHidden/>
              </w:rPr>
              <w:t>7</w:t>
            </w:r>
            <w:r w:rsidR="00D5431D">
              <w:rPr>
                <w:webHidden/>
              </w:rPr>
              <w:fldChar w:fldCharType="end"/>
            </w:r>
          </w:hyperlink>
        </w:p>
        <w:p w:rsidR="00D5431D" w:rsidRDefault="005E7AA9" w:rsidP="00D5431D">
          <w:pPr>
            <w:pStyle w:val="TOC3"/>
            <w:rPr>
              <w:rFonts w:eastAsiaTheme="minorEastAsia" w:cstheme="minorBidi"/>
              <w:noProof/>
              <w:color w:val="auto"/>
              <w:lang w:eastAsia="en-AU"/>
            </w:rPr>
          </w:pPr>
          <w:hyperlink w:anchor="_Toc524623263" w:history="1">
            <w:r w:rsidR="00D5431D" w:rsidRPr="0004148B">
              <w:rPr>
                <w:rStyle w:val="Hyperlink"/>
                <w:noProof/>
              </w:rPr>
              <w:t>Is my ICT project subject to the whole-of-Victorian Government (WoVG) ICT project assurance requirement?</w:t>
            </w:r>
            <w:r w:rsidR="00D5431D">
              <w:rPr>
                <w:noProof/>
                <w:webHidden/>
              </w:rPr>
              <w:tab/>
            </w:r>
            <w:r w:rsidR="00D5431D">
              <w:rPr>
                <w:noProof/>
                <w:webHidden/>
              </w:rPr>
              <w:fldChar w:fldCharType="begin"/>
            </w:r>
            <w:r w:rsidR="00D5431D">
              <w:rPr>
                <w:noProof/>
                <w:webHidden/>
              </w:rPr>
              <w:instrText xml:space="preserve"> PAGEREF _Toc524623263 \h </w:instrText>
            </w:r>
            <w:r w:rsidR="00D5431D">
              <w:rPr>
                <w:noProof/>
                <w:webHidden/>
              </w:rPr>
            </w:r>
            <w:r w:rsidR="00D5431D">
              <w:rPr>
                <w:noProof/>
                <w:webHidden/>
              </w:rPr>
              <w:fldChar w:fldCharType="separate"/>
            </w:r>
            <w:r w:rsidR="00E33028">
              <w:rPr>
                <w:noProof/>
                <w:webHidden/>
              </w:rPr>
              <w:t>7</w:t>
            </w:r>
            <w:r w:rsidR="00D5431D">
              <w:rPr>
                <w:noProof/>
                <w:webHidden/>
              </w:rPr>
              <w:fldChar w:fldCharType="end"/>
            </w:r>
          </w:hyperlink>
        </w:p>
        <w:p w:rsidR="00D5431D" w:rsidRDefault="005E7AA9" w:rsidP="00D5431D">
          <w:pPr>
            <w:pStyle w:val="TOC3"/>
            <w:rPr>
              <w:rFonts w:eastAsiaTheme="minorEastAsia" w:cstheme="minorBidi"/>
              <w:noProof/>
              <w:color w:val="auto"/>
              <w:lang w:eastAsia="en-AU"/>
            </w:rPr>
          </w:pPr>
          <w:hyperlink w:anchor="_Toc524623264" w:history="1">
            <w:r w:rsidR="00D5431D" w:rsidRPr="0004148B">
              <w:rPr>
                <w:rStyle w:val="Hyperlink"/>
                <w:noProof/>
              </w:rPr>
              <w:t>What are the minimum requirements for quality assurance?</w:t>
            </w:r>
            <w:r w:rsidR="00D5431D">
              <w:rPr>
                <w:noProof/>
                <w:webHidden/>
              </w:rPr>
              <w:tab/>
            </w:r>
            <w:r w:rsidR="00D5431D">
              <w:rPr>
                <w:noProof/>
                <w:webHidden/>
              </w:rPr>
              <w:fldChar w:fldCharType="begin"/>
            </w:r>
            <w:r w:rsidR="00D5431D">
              <w:rPr>
                <w:noProof/>
                <w:webHidden/>
              </w:rPr>
              <w:instrText xml:space="preserve"> PAGEREF _Toc524623264 \h </w:instrText>
            </w:r>
            <w:r w:rsidR="00D5431D">
              <w:rPr>
                <w:noProof/>
                <w:webHidden/>
              </w:rPr>
            </w:r>
            <w:r w:rsidR="00D5431D">
              <w:rPr>
                <w:noProof/>
                <w:webHidden/>
              </w:rPr>
              <w:fldChar w:fldCharType="separate"/>
            </w:r>
            <w:r w:rsidR="00E33028">
              <w:rPr>
                <w:noProof/>
                <w:webHidden/>
              </w:rPr>
              <w:t>8</w:t>
            </w:r>
            <w:r w:rsidR="00D5431D">
              <w:rPr>
                <w:noProof/>
                <w:webHidden/>
              </w:rPr>
              <w:fldChar w:fldCharType="end"/>
            </w:r>
          </w:hyperlink>
        </w:p>
        <w:p w:rsidR="00D5431D" w:rsidRDefault="005E7AA9" w:rsidP="00D5431D">
          <w:pPr>
            <w:pStyle w:val="TOC3"/>
            <w:rPr>
              <w:rFonts w:eastAsiaTheme="minorEastAsia" w:cstheme="minorBidi"/>
              <w:noProof/>
              <w:color w:val="auto"/>
              <w:lang w:eastAsia="en-AU"/>
            </w:rPr>
          </w:pPr>
          <w:hyperlink w:anchor="_Toc524623265" w:history="1">
            <w:r w:rsidR="00D5431D" w:rsidRPr="0004148B">
              <w:rPr>
                <w:rStyle w:val="Hyperlink"/>
                <w:noProof/>
              </w:rPr>
              <w:t>What information do we provide in our QA attestation to DPC?</w:t>
            </w:r>
            <w:r w:rsidR="00D5431D">
              <w:rPr>
                <w:noProof/>
                <w:webHidden/>
              </w:rPr>
              <w:tab/>
            </w:r>
            <w:r w:rsidR="00D5431D">
              <w:rPr>
                <w:noProof/>
                <w:webHidden/>
              </w:rPr>
              <w:fldChar w:fldCharType="begin"/>
            </w:r>
            <w:r w:rsidR="00D5431D">
              <w:rPr>
                <w:noProof/>
                <w:webHidden/>
              </w:rPr>
              <w:instrText xml:space="preserve"> PAGEREF _Toc524623265 \h </w:instrText>
            </w:r>
            <w:r w:rsidR="00D5431D">
              <w:rPr>
                <w:noProof/>
                <w:webHidden/>
              </w:rPr>
            </w:r>
            <w:r w:rsidR="00D5431D">
              <w:rPr>
                <w:noProof/>
                <w:webHidden/>
              </w:rPr>
              <w:fldChar w:fldCharType="separate"/>
            </w:r>
            <w:r w:rsidR="00E33028">
              <w:rPr>
                <w:noProof/>
                <w:webHidden/>
              </w:rPr>
              <w:t>8</w:t>
            </w:r>
            <w:r w:rsidR="00D5431D">
              <w:rPr>
                <w:noProof/>
                <w:webHidden/>
              </w:rPr>
              <w:fldChar w:fldCharType="end"/>
            </w:r>
          </w:hyperlink>
        </w:p>
        <w:p w:rsidR="00D5431D" w:rsidRDefault="005E7AA9" w:rsidP="00D5431D">
          <w:pPr>
            <w:pStyle w:val="TOC1"/>
            <w:rPr>
              <w:rFonts w:eastAsiaTheme="minorEastAsia" w:cstheme="minorBidi"/>
              <w:b w:val="0"/>
              <w:lang w:eastAsia="en-AU"/>
            </w:rPr>
          </w:pPr>
          <w:hyperlink w:anchor="_Toc524623266" w:history="1">
            <w:r w:rsidR="00D5431D" w:rsidRPr="0004148B">
              <w:rPr>
                <w:rStyle w:val="Hyperlink"/>
              </w:rPr>
              <w:t>Resources and references</w:t>
            </w:r>
            <w:r w:rsidR="00D5431D">
              <w:rPr>
                <w:webHidden/>
              </w:rPr>
              <w:tab/>
            </w:r>
            <w:r w:rsidR="00D5431D">
              <w:rPr>
                <w:webHidden/>
              </w:rPr>
              <w:fldChar w:fldCharType="begin"/>
            </w:r>
            <w:r w:rsidR="00D5431D">
              <w:rPr>
                <w:webHidden/>
              </w:rPr>
              <w:instrText xml:space="preserve"> PAGEREF _Toc524623266 \h </w:instrText>
            </w:r>
            <w:r w:rsidR="00D5431D">
              <w:rPr>
                <w:webHidden/>
              </w:rPr>
            </w:r>
            <w:r w:rsidR="00D5431D">
              <w:rPr>
                <w:webHidden/>
              </w:rPr>
              <w:fldChar w:fldCharType="separate"/>
            </w:r>
            <w:r w:rsidR="00E33028">
              <w:rPr>
                <w:webHidden/>
              </w:rPr>
              <w:t>9</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67" w:history="1">
            <w:r w:rsidR="00D5431D" w:rsidRPr="0004148B">
              <w:rPr>
                <w:rStyle w:val="Hyperlink"/>
              </w:rPr>
              <w:t>Further information</w:t>
            </w:r>
            <w:r w:rsidR="00D5431D">
              <w:rPr>
                <w:webHidden/>
              </w:rPr>
              <w:tab/>
            </w:r>
            <w:r w:rsidR="00D5431D">
              <w:rPr>
                <w:webHidden/>
              </w:rPr>
              <w:fldChar w:fldCharType="begin"/>
            </w:r>
            <w:r w:rsidR="00D5431D">
              <w:rPr>
                <w:webHidden/>
              </w:rPr>
              <w:instrText xml:space="preserve"> PAGEREF _Toc524623267 \h </w:instrText>
            </w:r>
            <w:r w:rsidR="00D5431D">
              <w:rPr>
                <w:webHidden/>
              </w:rPr>
            </w:r>
            <w:r w:rsidR="00D5431D">
              <w:rPr>
                <w:webHidden/>
              </w:rPr>
              <w:fldChar w:fldCharType="separate"/>
            </w:r>
            <w:r w:rsidR="00E33028">
              <w:rPr>
                <w:webHidden/>
              </w:rPr>
              <w:t>10</w:t>
            </w:r>
            <w:r w:rsidR="00D5431D">
              <w:rPr>
                <w:webHidden/>
              </w:rPr>
              <w:fldChar w:fldCharType="end"/>
            </w:r>
          </w:hyperlink>
        </w:p>
        <w:p w:rsidR="00D5431D" w:rsidRDefault="005E7AA9" w:rsidP="00D5431D">
          <w:pPr>
            <w:pStyle w:val="TOC1"/>
            <w:rPr>
              <w:rFonts w:eastAsiaTheme="minorEastAsia" w:cstheme="minorBidi"/>
              <w:b w:val="0"/>
              <w:lang w:eastAsia="en-AU"/>
            </w:rPr>
          </w:pPr>
          <w:hyperlink w:anchor="_Toc524623268" w:history="1">
            <w:r w:rsidR="00D5431D" w:rsidRPr="0004148B">
              <w:rPr>
                <w:rStyle w:val="Hyperlink"/>
              </w:rPr>
              <w:t>Document control</w:t>
            </w:r>
            <w:r w:rsidR="00D5431D">
              <w:rPr>
                <w:webHidden/>
              </w:rPr>
              <w:tab/>
            </w:r>
            <w:r w:rsidR="00D5431D">
              <w:rPr>
                <w:webHidden/>
              </w:rPr>
              <w:fldChar w:fldCharType="begin"/>
            </w:r>
            <w:r w:rsidR="00D5431D">
              <w:rPr>
                <w:webHidden/>
              </w:rPr>
              <w:instrText xml:space="preserve"> PAGEREF _Toc524623268 \h </w:instrText>
            </w:r>
            <w:r w:rsidR="00D5431D">
              <w:rPr>
                <w:webHidden/>
              </w:rPr>
            </w:r>
            <w:r w:rsidR="00D5431D">
              <w:rPr>
                <w:webHidden/>
              </w:rPr>
              <w:fldChar w:fldCharType="separate"/>
            </w:r>
            <w:r w:rsidR="00E33028">
              <w:rPr>
                <w:webHidden/>
              </w:rPr>
              <w:t>10</w:t>
            </w:r>
            <w:r w:rsidR="00D5431D">
              <w:rPr>
                <w:webHidden/>
              </w:rPr>
              <w:fldChar w:fldCharType="end"/>
            </w:r>
          </w:hyperlink>
        </w:p>
        <w:p w:rsidR="00D5431D" w:rsidRDefault="005E7AA9" w:rsidP="00D5431D">
          <w:pPr>
            <w:pStyle w:val="TOC3"/>
            <w:rPr>
              <w:rFonts w:eastAsiaTheme="minorEastAsia" w:cstheme="minorBidi"/>
              <w:noProof/>
              <w:color w:val="auto"/>
              <w:lang w:eastAsia="en-AU"/>
            </w:rPr>
          </w:pPr>
          <w:hyperlink w:anchor="_Toc524623269" w:history="1">
            <w:r w:rsidR="00D5431D" w:rsidRPr="0004148B">
              <w:rPr>
                <w:rStyle w:val="Hyperlink"/>
                <w:noProof/>
              </w:rPr>
              <w:t>Version history</w:t>
            </w:r>
            <w:r w:rsidR="00D5431D">
              <w:rPr>
                <w:noProof/>
                <w:webHidden/>
              </w:rPr>
              <w:tab/>
            </w:r>
            <w:r w:rsidR="00D5431D">
              <w:rPr>
                <w:noProof/>
                <w:webHidden/>
              </w:rPr>
              <w:fldChar w:fldCharType="begin"/>
            </w:r>
            <w:r w:rsidR="00D5431D">
              <w:rPr>
                <w:noProof/>
                <w:webHidden/>
              </w:rPr>
              <w:instrText xml:space="preserve"> PAGEREF _Toc524623269 \h </w:instrText>
            </w:r>
            <w:r w:rsidR="00D5431D">
              <w:rPr>
                <w:noProof/>
                <w:webHidden/>
              </w:rPr>
            </w:r>
            <w:r w:rsidR="00D5431D">
              <w:rPr>
                <w:noProof/>
                <w:webHidden/>
              </w:rPr>
              <w:fldChar w:fldCharType="separate"/>
            </w:r>
            <w:r w:rsidR="00E33028">
              <w:rPr>
                <w:noProof/>
                <w:webHidden/>
              </w:rPr>
              <w:t>10</w:t>
            </w:r>
            <w:r w:rsidR="00D5431D">
              <w:rPr>
                <w:noProof/>
                <w:webHidden/>
              </w:rPr>
              <w:fldChar w:fldCharType="end"/>
            </w:r>
          </w:hyperlink>
        </w:p>
        <w:p w:rsidR="00D5431D" w:rsidRDefault="00D5431D" w:rsidP="00D5431D">
          <w:r>
            <w:rPr>
              <w:rFonts w:asciiTheme="minorHAnsi" w:hAnsiTheme="minorHAnsi"/>
              <w:b/>
              <w:noProof/>
              <w:sz w:val="22"/>
              <w:szCs w:val="22"/>
            </w:rPr>
            <w:fldChar w:fldCharType="end"/>
          </w:r>
        </w:p>
      </w:sdtContent>
    </w:sdt>
    <w:p w:rsidR="002908FC" w:rsidRDefault="00D5431D" w:rsidP="00D5431D">
      <w:pPr>
        <w:rPr>
          <w:rFonts w:asciiTheme="majorHAnsi" w:eastAsia="MS Gothic" w:hAnsiTheme="majorHAnsi" w:cs="Arial"/>
          <w:bCs/>
          <w:color w:val="0072CE"/>
          <w:kern w:val="32"/>
          <w:sz w:val="52"/>
          <w:szCs w:val="52"/>
        </w:rPr>
      </w:pPr>
      <w:r>
        <w:t xml:space="preserve"> </w:t>
      </w:r>
      <w:r w:rsidR="002908FC">
        <w:br w:type="page"/>
      </w:r>
    </w:p>
    <w:p w:rsidR="00EA0819" w:rsidRPr="002C4D47" w:rsidRDefault="00EA0819" w:rsidP="00EA0819">
      <w:pPr>
        <w:pStyle w:val="Heading1"/>
      </w:pPr>
      <w:bookmarkStart w:id="8" w:name="_Toc524623254"/>
      <w:r>
        <w:lastRenderedPageBreak/>
        <w:t>Vision, purpose and document details</w:t>
      </w:r>
      <w:bookmarkEnd w:id="6"/>
      <w:bookmarkEnd w:id="8"/>
    </w:p>
    <w:tbl>
      <w:tblPr>
        <w:tblStyle w:val="LightGrid-Accent1"/>
        <w:tblpPr w:leftFromText="180" w:rightFromText="180" w:vertAnchor="text" w:horzAnchor="margin" w:tblpY="73"/>
        <w:tblW w:w="9606" w:type="dxa"/>
        <w:tblLook w:val="0480" w:firstRow="0" w:lastRow="0" w:firstColumn="1" w:lastColumn="0" w:noHBand="0" w:noVBand="1"/>
      </w:tblPr>
      <w:tblGrid>
        <w:gridCol w:w="1809"/>
        <w:gridCol w:w="2977"/>
        <w:gridCol w:w="1843"/>
        <w:gridCol w:w="2977"/>
      </w:tblGrid>
      <w:tr w:rsidR="00EA0819" w:rsidTr="006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VISION</w:t>
            </w:r>
          </w:p>
        </w:tc>
        <w:tc>
          <w:tcPr>
            <w:tcW w:w="7797" w:type="dxa"/>
            <w:gridSpan w:val="3"/>
            <w:vAlign w:val="center"/>
          </w:tcPr>
          <w:p w:rsidR="00EA0819" w:rsidRPr="00FF7028" w:rsidRDefault="002908FC"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r>
              <w:t>Increase the success rate in delivering ICT projects in Victorian Government</w:t>
            </w:r>
          </w:p>
        </w:tc>
      </w:tr>
      <w:tr w:rsidR="00EA0819" w:rsidTr="006D0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PURPOSE</w:t>
            </w:r>
          </w:p>
        </w:tc>
        <w:tc>
          <w:tcPr>
            <w:tcW w:w="7797" w:type="dxa"/>
            <w:gridSpan w:val="3"/>
            <w:vAlign w:val="center"/>
          </w:tcPr>
          <w:p w:rsidR="00EA0819" w:rsidRPr="00051480"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highlight w:val="red"/>
              </w:rPr>
            </w:pPr>
            <w:r>
              <w:t>T</w:t>
            </w:r>
            <w:r w:rsidRPr="007D07F0">
              <w:t xml:space="preserve">o </w:t>
            </w:r>
            <w:r w:rsidR="002908FC">
              <w:t xml:space="preserve">set up </w:t>
            </w:r>
            <w:r w:rsidR="002908FC" w:rsidRPr="002908FC">
              <w:t xml:space="preserve">a formal assurance </w:t>
            </w:r>
            <w:r w:rsidR="002908FC">
              <w:t>mechanism</w:t>
            </w:r>
            <w:r w:rsidR="002908FC" w:rsidRPr="002908FC">
              <w:t xml:space="preserve"> </w:t>
            </w:r>
            <w:r w:rsidR="00663CEB">
              <w:t>to enhance</w:t>
            </w:r>
            <w:r w:rsidR="002908FC">
              <w:t xml:space="preserve"> quality assurance </w:t>
            </w:r>
            <w:r w:rsidR="002908FC" w:rsidRPr="002908FC">
              <w:t xml:space="preserve">for </w:t>
            </w:r>
            <w:r w:rsidR="00672911">
              <w:t xml:space="preserve">all </w:t>
            </w:r>
            <w:r w:rsidR="002908FC">
              <w:t xml:space="preserve">Victorian Government’s </w:t>
            </w:r>
            <w:r w:rsidR="002908FC" w:rsidRPr="002908FC">
              <w:t xml:space="preserve">ICT projects with a </w:t>
            </w:r>
            <w:r w:rsidR="00243145">
              <w:t xml:space="preserve">total </w:t>
            </w:r>
            <w:r w:rsidR="00E15703">
              <w:t>estimated investment</w:t>
            </w:r>
            <w:r w:rsidR="002908FC" w:rsidRPr="002908FC">
              <w:t xml:space="preserve"> of </w:t>
            </w:r>
            <w:r w:rsidR="00E15703">
              <w:br/>
            </w:r>
            <w:r w:rsidR="002908FC" w:rsidRPr="002908FC">
              <w:t>$10 million and above</w:t>
            </w:r>
            <w:r w:rsidR="00672911">
              <w:t xml:space="preserve"> that are not classified as ‘High Value, High Risk’</w:t>
            </w:r>
            <w:r w:rsidR="002908FC" w:rsidRPr="002908FC">
              <w:t xml:space="preserve">.  </w:t>
            </w:r>
          </w:p>
        </w:tc>
      </w:tr>
      <w:tr w:rsidR="002908FC" w:rsidTr="006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APPLIES TO</w:t>
            </w:r>
          </w:p>
        </w:tc>
        <w:tc>
          <w:tcPr>
            <w:tcW w:w="2977" w:type="dxa"/>
            <w:vAlign w:val="center"/>
          </w:tcPr>
          <w:p w:rsidR="00EA0819"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p>
          <w:p w:rsidR="00EA0819" w:rsidRDefault="00672911"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r>
              <w:t>All departments and agencies that are subject to Financial Management Act 1994 (Vic)</w:t>
            </w:r>
          </w:p>
          <w:p w:rsidR="00EA0819" w:rsidRPr="003C2BAF"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p>
        </w:tc>
        <w:tc>
          <w:tcPr>
            <w:tcW w:w="1843" w:type="dxa"/>
            <w:vAlign w:val="center"/>
          </w:tcPr>
          <w:p w:rsidR="00EA0819" w:rsidRPr="006D0511"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b/>
              </w:rPr>
            </w:pPr>
            <w:r w:rsidRPr="006D0511">
              <w:rPr>
                <w:b/>
              </w:rPr>
              <w:t>AUTHORITY</w:t>
            </w:r>
          </w:p>
        </w:tc>
        <w:tc>
          <w:tcPr>
            <w:tcW w:w="2977" w:type="dxa"/>
            <w:vAlign w:val="center"/>
          </w:tcPr>
          <w:p w:rsidR="00EA0819" w:rsidRPr="004E2421" w:rsidRDefault="00672911"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r>
              <w:t>Victorian Government</w:t>
            </w:r>
          </w:p>
        </w:tc>
      </w:tr>
      <w:tr w:rsidR="00EA0819" w:rsidTr="006D0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PERIOD</w:t>
            </w:r>
          </w:p>
        </w:tc>
        <w:tc>
          <w:tcPr>
            <w:tcW w:w="2977" w:type="dxa"/>
            <w:vAlign w:val="center"/>
          </w:tcPr>
          <w:p w:rsidR="00EA0819" w:rsidRPr="00672911" w:rsidRDefault="00052648"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pPr>
            <w:r>
              <w:t>2018 to 2023</w:t>
            </w:r>
          </w:p>
        </w:tc>
        <w:tc>
          <w:tcPr>
            <w:tcW w:w="1843" w:type="dxa"/>
            <w:vAlign w:val="center"/>
          </w:tcPr>
          <w:p w:rsidR="00EA0819" w:rsidRPr="006D0511"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b/>
              </w:rPr>
            </w:pPr>
            <w:r w:rsidRPr="006D0511">
              <w:rPr>
                <w:b/>
              </w:rPr>
              <w:t>ADVISED BY</w:t>
            </w:r>
          </w:p>
        </w:tc>
        <w:tc>
          <w:tcPr>
            <w:tcW w:w="2977" w:type="dxa"/>
            <w:vAlign w:val="center"/>
          </w:tcPr>
          <w:p w:rsidR="00EA0819"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pPr>
          </w:p>
          <w:p w:rsidR="00EA0819"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pPr>
            <w:r>
              <w:t>Department of Premier and Cabinet</w:t>
            </w:r>
          </w:p>
          <w:p w:rsidR="00EA0819" w:rsidRPr="004E2421"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pPr>
          </w:p>
        </w:tc>
      </w:tr>
      <w:tr w:rsidR="002908FC" w:rsidTr="006D0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ISSUE DATE</w:t>
            </w:r>
          </w:p>
        </w:tc>
        <w:tc>
          <w:tcPr>
            <w:tcW w:w="2977" w:type="dxa"/>
            <w:vAlign w:val="center"/>
          </w:tcPr>
          <w:p w:rsidR="00EA0819"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highlight w:val="red"/>
              </w:rPr>
            </w:pPr>
          </w:p>
          <w:p w:rsidR="00EA0819" w:rsidRDefault="0066018E"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r>
              <w:t>December</w:t>
            </w:r>
            <w:r w:rsidR="00672911">
              <w:t xml:space="preserve"> 2018</w:t>
            </w:r>
          </w:p>
          <w:p w:rsidR="00EA0819" w:rsidRPr="00051480"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highlight w:val="red"/>
              </w:rPr>
            </w:pPr>
          </w:p>
        </w:tc>
        <w:tc>
          <w:tcPr>
            <w:tcW w:w="1843" w:type="dxa"/>
            <w:vAlign w:val="center"/>
          </w:tcPr>
          <w:p w:rsidR="00EA0819" w:rsidRPr="006D0511"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b/>
              </w:rPr>
            </w:pPr>
            <w:r w:rsidRPr="006D0511">
              <w:rPr>
                <w:b/>
              </w:rPr>
              <w:t>DOCUMENT ID</w:t>
            </w:r>
          </w:p>
        </w:tc>
        <w:tc>
          <w:tcPr>
            <w:tcW w:w="2977" w:type="dxa"/>
            <w:vAlign w:val="center"/>
          </w:tcPr>
          <w:p w:rsidR="00EA0819"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pPr>
          </w:p>
          <w:p w:rsidR="00EA0819" w:rsidRDefault="00672911"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sz w:val="16"/>
                <w:szCs w:val="16"/>
              </w:rPr>
            </w:pPr>
            <w:r>
              <w:t>Assurance/STD/01</w:t>
            </w:r>
          </w:p>
          <w:p w:rsidR="00EA0819" w:rsidRPr="00E62EC1" w:rsidRDefault="00EA0819" w:rsidP="006D0511">
            <w:pPr>
              <w:pStyle w:val="DPCbody"/>
              <w:spacing w:before="120" w:after="120"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EA0819" w:rsidTr="006D05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EA0819" w:rsidRPr="006A1D73" w:rsidRDefault="00EA0819" w:rsidP="006D0511">
            <w:pPr>
              <w:pStyle w:val="DPCbody"/>
              <w:spacing w:before="120" w:after="120" w:line="240" w:lineRule="atLeast"/>
            </w:pPr>
            <w:r w:rsidRPr="006A1D73">
              <w:t>REVIEW DATE</w:t>
            </w:r>
          </w:p>
        </w:tc>
        <w:tc>
          <w:tcPr>
            <w:tcW w:w="2977" w:type="dxa"/>
            <w:vAlign w:val="center"/>
          </w:tcPr>
          <w:p w:rsidR="00EA0819" w:rsidRPr="00051480" w:rsidRDefault="0066018E"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highlight w:val="red"/>
              </w:rPr>
            </w:pPr>
            <w:r>
              <w:t>December 2023</w:t>
            </w:r>
          </w:p>
        </w:tc>
        <w:tc>
          <w:tcPr>
            <w:tcW w:w="1843" w:type="dxa"/>
            <w:vAlign w:val="center"/>
          </w:tcPr>
          <w:p w:rsidR="00EA0819" w:rsidRPr="006D0511"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b/>
              </w:rPr>
            </w:pPr>
          </w:p>
          <w:p w:rsidR="00EA0819" w:rsidRPr="006D0511"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b/>
              </w:rPr>
            </w:pPr>
            <w:r w:rsidRPr="006D0511">
              <w:rPr>
                <w:b/>
              </w:rPr>
              <w:t>VERSION</w:t>
            </w:r>
          </w:p>
          <w:p w:rsidR="00EA0819" w:rsidRPr="006D0511" w:rsidRDefault="00EA0819"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rPr>
                <w:b/>
              </w:rPr>
            </w:pPr>
          </w:p>
        </w:tc>
        <w:tc>
          <w:tcPr>
            <w:tcW w:w="2977" w:type="dxa"/>
            <w:vAlign w:val="center"/>
          </w:tcPr>
          <w:p w:rsidR="00EA0819" w:rsidRPr="004E2421" w:rsidRDefault="0066018E" w:rsidP="006D0511">
            <w:pPr>
              <w:pStyle w:val="DPCbody"/>
              <w:spacing w:before="120" w:after="120" w:line="240" w:lineRule="atLeast"/>
              <w:cnfStyle w:val="000000010000" w:firstRow="0" w:lastRow="0" w:firstColumn="0" w:lastColumn="0" w:oddVBand="0" w:evenVBand="0" w:oddHBand="0" w:evenHBand="1" w:firstRowFirstColumn="0" w:firstRowLastColumn="0" w:lastRowFirstColumn="0" w:lastRowLastColumn="0"/>
            </w:pPr>
            <w:r>
              <w:t>V1.0</w:t>
            </w:r>
          </w:p>
        </w:tc>
      </w:tr>
    </w:tbl>
    <w:p w:rsidR="00EA0819" w:rsidRDefault="00EA0819">
      <w:pPr>
        <w:rPr>
          <w:rFonts w:asciiTheme="majorHAnsi" w:eastAsia="MS Gothic" w:hAnsiTheme="majorHAnsi"/>
          <w:bCs/>
          <w:iCs/>
          <w:color w:val="0072CE"/>
          <w:sz w:val="36"/>
          <w:szCs w:val="36"/>
        </w:rPr>
      </w:pPr>
      <w:r>
        <w:br w:type="page"/>
      </w:r>
    </w:p>
    <w:p w:rsidR="00181284" w:rsidRPr="00453537" w:rsidRDefault="00181284" w:rsidP="006D0511">
      <w:pPr>
        <w:pStyle w:val="Heading1"/>
      </w:pPr>
      <w:bookmarkStart w:id="9" w:name="_Toc524623255"/>
      <w:r w:rsidRPr="00453537">
        <w:lastRenderedPageBreak/>
        <w:t>Overview</w:t>
      </w:r>
      <w:bookmarkEnd w:id="7"/>
      <w:bookmarkEnd w:id="9"/>
    </w:p>
    <w:p w:rsidR="009D0DDB" w:rsidRPr="00B24E08" w:rsidRDefault="009D0DDB" w:rsidP="00181284">
      <w:pPr>
        <w:pStyle w:val="DPCbody"/>
      </w:pPr>
      <w:r w:rsidRPr="00B24E08">
        <w:t xml:space="preserve">Investing in technology is critical in making government services more accessible to the public and undertaking government business more efficiently.  In funding ICT projects, it is important that appropriate controls exist so that project delivery issues are identified </w:t>
      </w:r>
      <w:proofErr w:type="gramStart"/>
      <w:r w:rsidRPr="00B24E08">
        <w:t>earlier</w:t>
      </w:r>
      <w:proofErr w:type="gramEnd"/>
      <w:r w:rsidRPr="00B24E08">
        <w:t xml:space="preserve"> and risks are appropriately managed. </w:t>
      </w:r>
    </w:p>
    <w:p w:rsidR="00181284" w:rsidRDefault="005E7B8E" w:rsidP="00181284">
      <w:pPr>
        <w:pStyle w:val="DPCbody"/>
      </w:pPr>
      <w:r w:rsidRPr="00B24E08">
        <w:t xml:space="preserve">The Victorian Government approved for an </w:t>
      </w:r>
      <w:r w:rsidR="00181284" w:rsidRPr="00B24E08">
        <w:t>ICT Project Assurance Framework (</w:t>
      </w:r>
      <w:r w:rsidRPr="00B24E08">
        <w:t xml:space="preserve">the </w:t>
      </w:r>
      <w:r w:rsidR="00181284" w:rsidRPr="00B24E08">
        <w:t>framework)</w:t>
      </w:r>
      <w:r w:rsidR="0093149D" w:rsidRPr="00B24E08">
        <w:t xml:space="preserve"> in 201</w:t>
      </w:r>
      <w:r w:rsidR="00DC79C9" w:rsidRPr="00B24E08">
        <w:t>6</w:t>
      </w:r>
      <w:r w:rsidRPr="00B24E08">
        <w:t xml:space="preserve"> to ensure a formal process is </w:t>
      </w:r>
      <w:r w:rsidR="008A6343" w:rsidRPr="00B24E08">
        <w:t>applied</w:t>
      </w:r>
      <w:r w:rsidR="00B24E08" w:rsidRPr="00B24E08">
        <w:t xml:space="preserve"> </w:t>
      </w:r>
      <w:r w:rsidR="00990EDD">
        <w:t>to</w:t>
      </w:r>
      <w:r w:rsidR="00B24E08" w:rsidRPr="00B24E08">
        <w:t xml:space="preserve"> </w:t>
      </w:r>
      <w:r w:rsidR="00181284" w:rsidRPr="00B24E08">
        <w:t xml:space="preserve">Victorian Government’s ICT projects </w:t>
      </w:r>
      <w:r w:rsidR="00BD39CF" w:rsidRPr="00B24E08">
        <w:t>or an IT component in a larger business program</w:t>
      </w:r>
      <w:r w:rsidR="00B24E08" w:rsidRPr="00B24E08">
        <w:t xml:space="preserve"> (ICT projects)</w:t>
      </w:r>
      <w:r w:rsidR="008A6343" w:rsidRPr="00B24E08">
        <w:t xml:space="preserve"> </w:t>
      </w:r>
      <w:r w:rsidR="00B24E08" w:rsidRPr="00B24E08">
        <w:t xml:space="preserve">of certain value </w:t>
      </w:r>
      <w:r w:rsidR="008A6343" w:rsidRPr="00B24E08">
        <w:t>to receive independent and</w:t>
      </w:r>
      <w:r w:rsidR="00B24E08" w:rsidRPr="00B24E08">
        <w:t xml:space="preserve"> impartial</w:t>
      </w:r>
      <w:r w:rsidR="008A6343" w:rsidRPr="00B24E08">
        <w:t xml:space="preserve"> quality assurance advice.</w:t>
      </w:r>
      <w:r>
        <w:t xml:space="preserve">  </w:t>
      </w:r>
      <w:r w:rsidR="00BD39CF">
        <w:t xml:space="preserve"> </w:t>
      </w:r>
    </w:p>
    <w:p w:rsidR="000F48D5" w:rsidRDefault="000F48D5" w:rsidP="006D0511">
      <w:pPr>
        <w:pStyle w:val="Heading1"/>
      </w:pPr>
      <w:bookmarkStart w:id="10" w:name="_Toc524623256"/>
      <w:r>
        <w:t>Purpose</w:t>
      </w:r>
      <w:bookmarkEnd w:id="10"/>
      <w:r>
        <w:t xml:space="preserve"> </w:t>
      </w:r>
    </w:p>
    <w:p w:rsidR="00052648" w:rsidRPr="00B24E08" w:rsidRDefault="00052648" w:rsidP="007F0607">
      <w:pPr>
        <w:pStyle w:val="DPCbody"/>
      </w:pPr>
      <w:r w:rsidRPr="00B24E08">
        <w:t xml:space="preserve">All government ICT projects with a </w:t>
      </w:r>
      <w:r w:rsidR="00E15703">
        <w:t>total estimated investment</w:t>
      </w:r>
      <w:r w:rsidRPr="00B24E08">
        <w:t xml:space="preserve"> (</w:t>
      </w:r>
      <w:r w:rsidR="000E01BE">
        <w:t>T</w:t>
      </w:r>
      <w:r w:rsidR="00E15703">
        <w:t>EI</w:t>
      </w:r>
      <w:r w:rsidRPr="00B24E08">
        <w:t>) of $10 million and above will be classified as either ‘High Value High Risk’(HVHR) or non-HVHR.</w:t>
      </w:r>
    </w:p>
    <w:p w:rsidR="00052648" w:rsidRPr="00B24E08" w:rsidRDefault="009D0DDB" w:rsidP="007F0607">
      <w:pPr>
        <w:pStyle w:val="DPCbody"/>
        <w:rPr>
          <w:lang w:val="en-US"/>
        </w:rPr>
      </w:pPr>
      <w:r w:rsidRPr="00B24E08">
        <w:t>T</w:t>
      </w:r>
      <w:r w:rsidR="005E7B8E" w:rsidRPr="00B24E08">
        <w:rPr>
          <w:lang w:val="en-US"/>
        </w:rPr>
        <w:t xml:space="preserve">his </w:t>
      </w:r>
      <w:r w:rsidRPr="00B24E08">
        <w:rPr>
          <w:lang w:val="en-US"/>
        </w:rPr>
        <w:t xml:space="preserve">framework is intended </w:t>
      </w:r>
      <w:r w:rsidR="00B24E08">
        <w:rPr>
          <w:lang w:val="en-US"/>
        </w:rPr>
        <w:t xml:space="preserve">to ensure that </w:t>
      </w:r>
      <w:r w:rsidR="00121195" w:rsidRPr="00B24E08">
        <w:rPr>
          <w:lang w:val="en-US"/>
        </w:rPr>
        <w:t xml:space="preserve">departments and agencies </w:t>
      </w:r>
      <w:r w:rsidR="00B24E08">
        <w:rPr>
          <w:lang w:val="en-US"/>
        </w:rPr>
        <w:t>engage and receive independent quality</w:t>
      </w:r>
      <w:r w:rsidRPr="00B24E08">
        <w:rPr>
          <w:lang w:val="en-US"/>
        </w:rPr>
        <w:t xml:space="preserve"> assurance</w:t>
      </w:r>
      <w:r w:rsidR="00B24E08">
        <w:rPr>
          <w:lang w:val="en-US"/>
        </w:rPr>
        <w:t xml:space="preserve"> advice</w:t>
      </w:r>
      <w:r w:rsidRPr="00B24E08">
        <w:rPr>
          <w:lang w:val="en-US"/>
        </w:rPr>
        <w:t xml:space="preserve"> for their </w:t>
      </w:r>
      <w:r w:rsidR="007F0607" w:rsidRPr="00B24E08">
        <w:rPr>
          <w:b/>
          <w:lang w:val="en-US"/>
        </w:rPr>
        <w:t>non-</w:t>
      </w:r>
      <w:r w:rsidR="00052648" w:rsidRPr="00B24E08">
        <w:rPr>
          <w:b/>
          <w:lang w:val="en-US"/>
        </w:rPr>
        <w:t>HVHR</w:t>
      </w:r>
      <w:r w:rsidR="00052648" w:rsidRPr="00B24E08">
        <w:rPr>
          <w:lang w:val="en-US"/>
        </w:rPr>
        <w:t xml:space="preserve"> </w:t>
      </w:r>
      <w:r w:rsidR="007F0607" w:rsidRPr="00B24E08">
        <w:rPr>
          <w:lang w:val="en-US"/>
        </w:rPr>
        <w:t>ICT project</w:t>
      </w:r>
      <w:r w:rsidR="00052648" w:rsidRPr="00B24E08">
        <w:rPr>
          <w:lang w:val="en-US"/>
        </w:rPr>
        <w:t>s.</w:t>
      </w:r>
    </w:p>
    <w:p w:rsidR="009D0DDB" w:rsidRPr="00B24E08" w:rsidRDefault="00475FD3" w:rsidP="007F0607">
      <w:pPr>
        <w:pStyle w:val="DPCbody"/>
        <w:rPr>
          <w:lang w:val="en-US"/>
        </w:rPr>
      </w:pPr>
      <w:r w:rsidRPr="00B24E08">
        <w:rPr>
          <w:lang w:val="en-US"/>
        </w:rPr>
        <w:t xml:space="preserve">For ICT projects which are classified as HVHR, </w:t>
      </w:r>
      <w:r w:rsidR="00572AE4" w:rsidRPr="00B24E08">
        <w:rPr>
          <w:lang w:val="en-US"/>
        </w:rPr>
        <w:t xml:space="preserve">please </w:t>
      </w:r>
      <w:r w:rsidRPr="00B24E08">
        <w:rPr>
          <w:lang w:val="en-US"/>
        </w:rPr>
        <w:t xml:space="preserve">refer to </w:t>
      </w:r>
      <w:hyperlink r:id="rId16" w:history="1">
        <w:r w:rsidR="006D0511" w:rsidRPr="00B24E08">
          <w:rPr>
            <w:rStyle w:val="Hyperlink"/>
            <w:lang w:val="en-US"/>
          </w:rPr>
          <w:t>the Department of Treasury and Finance’s (DTF)</w:t>
        </w:r>
        <w:r w:rsidR="00572AE4" w:rsidRPr="00B24E08">
          <w:rPr>
            <w:rStyle w:val="Hyperlink"/>
            <w:lang w:val="en-US"/>
          </w:rPr>
          <w:t xml:space="preserve"> Investment Lifecycle and HVHR guidelines.</w:t>
        </w:r>
      </w:hyperlink>
      <w:r w:rsidR="00572AE4" w:rsidRPr="00B24E08">
        <w:rPr>
          <w:lang w:val="en-US"/>
        </w:rPr>
        <w:t xml:space="preserve"> </w:t>
      </w:r>
    </w:p>
    <w:p w:rsidR="005E7B8E" w:rsidRPr="00453537" w:rsidRDefault="005E7B8E" w:rsidP="005E7B8E">
      <w:pPr>
        <w:pStyle w:val="DPCbody"/>
      </w:pPr>
      <w:r w:rsidRPr="00B24E08">
        <w:t xml:space="preserve">The framework also responds to Action 22 of the </w:t>
      </w:r>
      <w:hyperlink r:id="rId17" w:history="1">
        <w:r w:rsidRPr="00B24E08">
          <w:rPr>
            <w:rStyle w:val="Hyperlink"/>
            <w:i/>
          </w:rPr>
          <w:t>Information Technology Strategy for the Victorian Government, 2016–2020</w:t>
        </w:r>
      </w:hyperlink>
      <w:r w:rsidRPr="00B24E08">
        <w:t xml:space="preserve"> (IT strategy), which calls for improved assurance for major ICT projects.</w:t>
      </w:r>
    </w:p>
    <w:p w:rsidR="00121195" w:rsidRDefault="00121195" w:rsidP="006D0511">
      <w:pPr>
        <w:pStyle w:val="Heading1"/>
      </w:pPr>
      <w:bookmarkStart w:id="11" w:name="_Toc524623257"/>
      <w:r>
        <w:t>Scope</w:t>
      </w:r>
      <w:bookmarkEnd w:id="11"/>
    </w:p>
    <w:p w:rsidR="00121195" w:rsidRDefault="00121195" w:rsidP="00121195">
      <w:pPr>
        <w:pStyle w:val="DPCbody"/>
      </w:pPr>
      <w:r>
        <w:t>This framework applies to all Victorian Government departments and agencies that:</w:t>
      </w:r>
    </w:p>
    <w:p w:rsidR="00121195" w:rsidRDefault="00121195" w:rsidP="00121195">
      <w:pPr>
        <w:pStyle w:val="DPCbullet1"/>
      </w:pPr>
      <w:r>
        <w:t xml:space="preserve">are subject to the </w:t>
      </w:r>
      <w:r w:rsidRPr="00BB787D">
        <w:rPr>
          <w:i/>
        </w:rPr>
        <w:t>Financial Management Act 1994</w:t>
      </w:r>
      <w:r>
        <w:t xml:space="preserve"> </w:t>
      </w:r>
      <w:r w:rsidR="00572AE4">
        <w:t>(VIC)</w:t>
      </w:r>
    </w:p>
    <w:p w:rsidR="00121195" w:rsidRDefault="00121195" w:rsidP="00121195">
      <w:pPr>
        <w:pStyle w:val="DPCbullet1"/>
      </w:pPr>
      <w:r>
        <w:t xml:space="preserve">have </w:t>
      </w:r>
      <w:r w:rsidRPr="004F45BF">
        <w:t>ICT projects</w:t>
      </w:r>
      <w:r>
        <w:t xml:space="preserve"> with a </w:t>
      </w:r>
      <w:r w:rsidR="000C447C">
        <w:t>TEI</w:t>
      </w:r>
      <w:r>
        <w:t xml:space="preserve"> of $10 million and above</w:t>
      </w:r>
      <w:r w:rsidR="00B24E08">
        <w:t xml:space="preserve"> </w:t>
      </w:r>
      <w:r w:rsidR="00572AE4">
        <w:t>that are not classified as a HVHR project</w:t>
      </w:r>
      <w:r w:rsidR="00BB787D">
        <w:t xml:space="preserve">, regardless of funding </w:t>
      </w:r>
      <w:r w:rsidR="00990904">
        <w:t>source</w:t>
      </w:r>
    </w:p>
    <w:p w:rsidR="00121195" w:rsidRDefault="00121195" w:rsidP="007F0607">
      <w:pPr>
        <w:pStyle w:val="DPCbullet1"/>
      </w:pPr>
      <w:r>
        <w:t>have a project</w:t>
      </w:r>
      <w:r w:rsidR="00240450">
        <w:t xml:space="preserve"> initiation</w:t>
      </w:r>
      <w:r>
        <w:t xml:space="preserve"> start date from </w:t>
      </w:r>
      <w:r w:rsidRPr="004F45BF">
        <w:t>March 2017</w:t>
      </w:r>
      <w:r>
        <w:t xml:space="preserve"> and onwards.</w:t>
      </w:r>
    </w:p>
    <w:p w:rsidR="000F48D5" w:rsidRDefault="0072403D" w:rsidP="006D0511">
      <w:pPr>
        <w:pStyle w:val="Heading1"/>
      </w:pPr>
      <w:bookmarkStart w:id="12" w:name="_Toc524623258"/>
      <w:r>
        <w:t xml:space="preserve">The </w:t>
      </w:r>
      <w:r w:rsidR="0068369D">
        <w:t>problem</w:t>
      </w:r>
      <w:bookmarkEnd w:id="12"/>
    </w:p>
    <w:p w:rsidR="002B108C" w:rsidRDefault="0072403D" w:rsidP="0068369D">
      <w:pPr>
        <w:pStyle w:val="DPCbody"/>
      </w:pPr>
      <w:r>
        <w:t xml:space="preserve">The need of a formal project assurance frame work </w:t>
      </w:r>
      <w:r w:rsidR="0068369D">
        <w:t>is to address findings in s</w:t>
      </w:r>
      <w:r w:rsidR="002B108C">
        <w:t>everal reviews of large Victorian ICT projects have been undertaken in recent years, most notably:</w:t>
      </w:r>
    </w:p>
    <w:p w:rsidR="00996894" w:rsidRDefault="00996894" w:rsidP="0068369D">
      <w:pPr>
        <w:pStyle w:val="DPCnumberdigit"/>
      </w:pPr>
      <w:r>
        <w:t>The Ombudsman’s 2011 ‘</w:t>
      </w:r>
      <w:hyperlink r:id="rId18" w:history="1">
        <w:r w:rsidRPr="00996894">
          <w:rPr>
            <w:rStyle w:val="Hyperlink"/>
          </w:rPr>
          <w:t>Own motion investigation into ICT-enabled projects</w:t>
        </w:r>
      </w:hyperlink>
      <w:r>
        <w:t xml:space="preserve">’ </w:t>
      </w:r>
      <w:r w:rsidR="002B108C">
        <w:t>found that Victorian Public Sector did</w:t>
      </w:r>
      <w:r>
        <w:t xml:space="preserve"> not effectively manag</w:t>
      </w:r>
      <w:r w:rsidR="002B108C">
        <w:t xml:space="preserve">e </w:t>
      </w:r>
      <w:r>
        <w:t>major ICT projects</w:t>
      </w:r>
      <w:r w:rsidR="002B108C">
        <w:t>, and</w:t>
      </w:r>
      <w:r>
        <w:t xml:space="preserve"> with repeated mistakes around planning, governance, project management and procurement. </w:t>
      </w:r>
    </w:p>
    <w:p w:rsidR="00996894" w:rsidRDefault="002B108C" w:rsidP="0068369D">
      <w:pPr>
        <w:pStyle w:val="DPCnumberdigit"/>
      </w:pPr>
      <w:r>
        <w:t>The Victorian Auditor-General’s Office (VAGO) 2015 ‘</w:t>
      </w:r>
      <w:hyperlink r:id="rId19" w:history="1">
        <w:r w:rsidRPr="002B108C">
          <w:rPr>
            <w:rStyle w:val="Hyperlink"/>
          </w:rPr>
          <w:t>Digital Dashboard: Status Review of ICT Projects and Initiatives</w:t>
        </w:r>
      </w:hyperlink>
      <w:r>
        <w:t>’ that found</w:t>
      </w:r>
      <w:r w:rsidRPr="002B108C">
        <w:t xml:space="preserve"> </w:t>
      </w:r>
      <w:r>
        <w:t>Victorian agencies and entities were not in a position to assure Parliament and the Victorian community that their ICT investments have resulted in sufficient public value to justify the significant expenditure of taxpayers</w:t>
      </w:r>
      <w:r w:rsidR="006D0511">
        <w:t>’</w:t>
      </w:r>
      <w:r>
        <w:t xml:space="preserve"> money. </w:t>
      </w:r>
    </w:p>
    <w:p w:rsidR="00121195" w:rsidRDefault="0068369D" w:rsidP="00121195">
      <w:pPr>
        <w:pStyle w:val="DPCbody"/>
      </w:pPr>
      <w:r>
        <w:lastRenderedPageBreak/>
        <w:t xml:space="preserve">These reviews reached similar conclusions that ICT projects largely fail </w:t>
      </w:r>
      <w:r w:rsidR="006763B0">
        <w:t xml:space="preserve">due to a variety of reasons, including </w:t>
      </w:r>
      <w:r>
        <w:t xml:space="preserve">inadequate management of business and technical requirements, as well as failing to manage risks and </w:t>
      </w:r>
      <w:r w:rsidRPr="00121195">
        <w:t xml:space="preserve">intended benefits to achieve the transformational impacts.  In many cases, it is not the technology itself that has resulted in ICT projects struggling to deliver on their original objectives </w:t>
      </w:r>
      <w:r w:rsidR="00243145">
        <w:t>by</w:t>
      </w:r>
      <w:r w:rsidR="00243145" w:rsidRPr="00121195">
        <w:t xml:space="preserve"> </w:t>
      </w:r>
      <w:r w:rsidRPr="00121195">
        <w:t xml:space="preserve">poor </w:t>
      </w:r>
      <w:r w:rsidR="00344FDD" w:rsidRPr="00121195">
        <w:t xml:space="preserve">scoping or </w:t>
      </w:r>
      <w:r w:rsidRPr="00121195">
        <w:t>vendor management.</w:t>
      </w:r>
      <w:bookmarkStart w:id="13" w:name="_Toc256778633"/>
    </w:p>
    <w:p w:rsidR="00C85809" w:rsidRPr="006D0511" w:rsidRDefault="00C85809" w:rsidP="006D0511">
      <w:pPr>
        <w:pStyle w:val="Heading1"/>
        <w:rPr>
          <w:rStyle w:val="Heading2Char"/>
          <w:bCs/>
          <w:iCs w:val="0"/>
          <w:sz w:val="52"/>
          <w:szCs w:val="52"/>
        </w:rPr>
      </w:pPr>
      <w:bookmarkStart w:id="14" w:name="_Toc524623259"/>
      <w:r w:rsidRPr="00062B73">
        <w:rPr>
          <w:rStyle w:val="Heading2Char"/>
          <w:bCs/>
          <w:iCs w:val="0"/>
          <w:sz w:val="52"/>
          <w:szCs w:val="52"/>
        </w:rPr>
        <w:t>Objectives</w:t>
      </w:r>
      <w:bookmarkEnd w:id="14"/>
    </w:p>
    <w:p w:rsidR="00C85809" w:rsidRDefault="00C85809" w:rsidP="00C85809">
      <w:pPr>
        <w:pStyle w:val="DPCbody"/>
      </w:pPr>
      <w:r>
        <w:t>The objectives of the framework aim</w:t>
      </w:r>
      <w:r w:rsidRPr="00FA4649">
        <w:t xml:space="preserve"> to</w:t>
      </w:r>
      <w:r>
        <w:t>:</w:t>
      </w:r>
    </w:p>
    <w:p w:rsidR="00C85809" w:rsidRPr="00B24E08" w:rsidRDefault="00C85809" w:rsidP="00C85809">
      <w:pPr>
        <w:pStyle w:val="DPCbullet1"/>
      </w:pPr>
      <w:r w:rsidRPr="00B24E08">
        <w:t>impleme</w:t>
      </w:r>
      <w:r w:rsidR="00052648" w:rsidRPr="00B24E08">
        <w:t>nt</w:t>
      </w:r>
      <w:r w:rsidRPr="00B24E08">
        <w:t xml:space="preserve"> a formal process to ensure departments an</w:t>
      </w:r>
      <w:r w:rsidR="00B02014" w:rsidRPr="00B24E08">
        <w:t xml:space="preserve">d agencies </w:t>
      </w:r>
      <w:r w:rsidR="00052648" w:rsidRPr="00B24E08">
        <w:t xml:space="preserve">engage </w:t>
      </w:r>
      <w:r w:rsidR="00B63913" w:rsidRPr="00B24E08">
        <w:t>independent and</w:t>
      </w:r>
      <w:r w:rsidRPr="00B24E08">
        <w:t xml:space="preserve"> </w:t>
      </w:r>
      <w:r w:rsidR="00B24E08" w:rsidRPr="00B24E08">
        <w:t xml:space="preserve">impartial </w:t>
      </w:r>
      <w:r w:rsidRPr="00B24E08">
        <w:t xml:space="preserve">project quality </w:t>
      </w:r>
      <w:r w:rsidR="00052648" w:rsidRPr="00B24E08">
        <w:t xml:space="preserve">assurance </w:t>
      </w:r>
      <w:r w:rsidRPr="00B24E08">
        <w:t>advice throughout project lifecycle</w:t>
      </w:r>
      <w:r w:rsidR="00B24E08" w:rsidRPr="00B24E08">
        <w:t xml:space="preserve"> for their in-scope ICT projects</w:t>
      </w:r>
    </w:p>
    <w:p w:rsidR="00B63913" w:rsidRPr="00B24E08" w:rsidRDefault="00B24E08" w:rsidP="00B63913">
      <w:pPr>
        <w:pStyle w:val="DPCbullet1"/>
      </w:pPr>
      <w:r w:rsidRPr="00B24E08">
        <w:t xml:space="preserve">ensure </w:t>
      </w:r>
      <w:r w:rsidR="00052648" w:rsidRPr="00B24E08">
        <w:t>project sponsors</w:t>
      </w:r>
      <w:r w:rsidR="00C85809" w:rsidRPr="00B24E08">
        <w:t xml:space="preserve">, as the </w:t>
      </w:r>
      <w:r w:rsidR="00052648" w:rsidRPr="00B24E08">
        <w:t xml:space="preserve">project </w:t>
      </w:r>
      <w:r w:rsidR="00C85809" w:rsidRPr="00B24E08">
        <w:t xml:space="preserve">investor, </w:t>
      </w:r>
      <w:r w:rsidR="00E05EDC">
        <w:t>are</w:t>
      </w:r>
      <w:r w:rsidRPr="00B24E08">
        <w:t xml:space="preserve"> responsible for </w:t>
      </w:r>
      <w:r w:rsidR="00052648" w:rsidRPr="00B24E08">
        <w:t>their</w:t>
      </w:r>
      <w:r w:rsidR="00C85809" w:rsidRPr="00B24E08">
        <w:t xml:space="preserve"> ICT projects </w:t>
      </w:r>
      <w:r w:rsidRPr="00B24E08">
        <w:t xml:space="preserve">to receive </w:t>
      </w:r>
      <w:r w:rsidR="00C85809" w:rsidRPr="00B24E08">
        <w:t>rigorous independent</w:t>
      </w:r>
      <w:r w:rsidRPr="00B24E08">
        <w:t xml:space="preserve"> quality</w:t>
      </w:r>
      <w:r w:rsidR="00C85809" w:rsidRPr="00B24E08">
        <w:t xml:space="preserve"> oversight to help realise project objectives and benefits and </w:t>
      </w:r>
      <w:r w:rsidR="00052648" w:rsidRPr="00B24E08">
        <w:t xml:space="preserve">increase the success of project </w:t>
      </w:r>
      <w:r w:rsidR="00C85809" w:rsidRPr="00B24E08">
        <w:t>deliver</w:t>
      </w:r>
      <w:r w:rsidR="00052648" w:rsidRPr="00B24E08">
        <w:t>y</w:t>
      </w:r>
      <w:r w:rsidR="00C85809" w:rsidRPr="00B24E08">
        <w:t xml:space="preserve">.  </w:t>
      </w:r>
    </w:p>
    <w:p w:rsidR="0068369D" w:rsidRDefault="0068369D" w:rsidP="006D0511">
      <w:pPr>
        <w:pStyle w:val="Heading1"/>
      </w:pPr>
      <w:bookmarkStart w:id="15" w:name="_Toc524623260"/>
      <w:r>
        <w:t>Issues</w:t>
      </w:r>
      <w:bookmarkEnd w:id="15"/>
    </w:p>
    <w:p w:rsidR="0068369D" w:rsidRDefault="0068369D" w:rsidP="0068369D">
      <w:pPr>
        <w:pStyle w:val="DPCbullet1"/>
        <w:numPr>
          <w:ilvl w:val="0"/>
          <w:numId w:val="0"/>
        </w:numPr>
      </w:pPr>
      <w:r>
        <w:t>The framework</w:t>
      </w:r>
      <w:r w:rsidRPr="0068369D">
        <w:t xml:space="preserve"> </w:t>
      </w:r>
      <w:r>
        <w:t>addresses</w:t>
      </w:r>
      <w:r w:rsidR="00344FDD">
        <w:t xml:space="preserve"> some, but not limited to, </w:t>
      </w:r>
      <w:r>
        <w:t xml:space="preserve">common issues </w:t>
      </w:r>
      <w:r w:rsidR="00344FDD">
        <w:t>in</w:t>
      </w:r>
      <w:r>
        <w:t xml:space="preserve"> ICT project delivery:</w:t>
      </w:r>
    </w:p>
    <w:p w:rsidR="0068369D" w:rsidRDefault="0068369D" w:rsidP="0068369D">
      <w:pPr>
        <w:pStyle w:val="DPCbullet1"/>
      </w:pPr>
      <w:r>
        <w:rPr>
          <w:b/>
        </w:rPr>
        <w:t>lack of understanding of p</w:t>
      </w:r>
      <w:r w:rsidRPr="006A2334">
        <w:rPr>
          <w:b/>
        </w:rPr>
        <w:t>roject governance</w:t>
      </w:r>
      <w:r>
        <w:t xml:space="preserve"> including lack of senior management sponsorship and commitment to the project, inappropriate and inconsistent expectations, lack of direction, accountability and responsibility, and inability or unwillingness to terminate poor performing projects; </w:t>
      </w:r>
    </w:p>
    <w:p w:rsidR="0068369D" w:rsidRDefault="0068369D" w:rsidP="0068369D">
      <w:pPr>
        <w:pStyle w:val="DPCbullet1"/>
      </w:pPr>
      <w:r>
        <w:rPr>
          <w:b/>
        </w:rPr>
        <w:t>misunderstanding of s</w:t>
      </w:r>
      <w:r w:rsidRPr="006A2334">
        <w:rPr>
          <w:b/>
        </w:rPr>
        <w:t>cope and business requirements</w:t>
      </w:r>
      <w:r>
        <w:t xml:space="preserve"> including misunderstanding of user requirements, poorly described scope and objectives, lack of definition of the essential functional and non-functional business requirements, and scope creep /changes;</w:t>
      </w:r>
    </w:p>
    <w:p w:rsidR="0068369D" w:rsidRDefault="0068369D" w:rsidP="0068369D">
      <w:pPr>
        <w:pStyle w:val="DPCbullet1"/>
      </w:pPr>
      <w:r>
        <w:rPr>
          <w:b/>
        </w:rPr>
        <w:t>inadequate s</w:t>
      </w:r>
      <w:r w:rsidRPr="006A2334">
        <w:rPr>
          <w:b/>
        </w:rPr>
        <w:t>takeholder management</w:t>
      </w:r>
      <w:r>
        <w:t xml:space="preserve"> including lack of adequate user and stakeholder involvement/commitment, and failure to recognise the importance of training and change management; </w:t>
      </w:r>
    </w:p>
    <w:p w:rsidR="0068369D" w:rsidRDefault="0068369D" w:rsidP="0068369D">
      <w:pPr>
        <w:pStyle w:val="DPCbullet1"/>
      </w:pPr>
      <w:r>
        <w:rPr>
          <w:b/>
        </w:rPr>
        <w:t>inadequate o</w:t>
      </w:r>
      <w:r w:rsidRPr="006A2334">
        <w:rPr>
          <w:b/>
        </w:rPr>
        <w:t>rganisational change capacity</w:t>
      </w:r>
      <w:r>
        <w:t xml:space="preserve"> – over committing the organisation to implementing change across multiple functions, without consideration of the ability of the organisation to support such as change; and </w:t>
      </w:r>
    </w:p>
    <w:p w:rsidR="0068369D" w:rsidRDefault="0068369D" w:rsidP="0068369D">
      <w:pPr>
        <w:pStyle w:val="DPCbullet1"/>
      </w:pPr>
      <w:r>
        <w:rPr>
          <w:b/>
        </w:rPr>
        <w:t>insufficient project ma</w:t>
      </w:r>
      <w:r w:rsidRPr="006A2334">
        <w:rPr>
          <w:b/>
        </w:rPr>
        <w:t>nagement</w:t>
      </w:r>
      <w:r>
        <w:rPr>
          <w:b/>
        </w:rPr>
        <w:t xml:space="preserve"> resource and capability</w:t>
      </w:r>
      <w:r>
        <w:t xml:space="preserve"> including inadequate staffing, poor project management skills, teams and methodology (lack of project controls – planning, scheduling and resource management).</w:t>
      </w:r>
    </w:p>
    <w:p w:rsidR="0068369D" w:rsidRDefault="0068369D" w:rsidP="00344FDD">
      <w:pPr>
        <w:pStyle w:val="DPCbullet1"/>
        <w:numPr>
          <w:ilvl w:val="0"/>
          <w:numId w:val="0"/>
        </w:numPr>
      </w:pPr>
      <w:r>
        <w:t xml:space="preserve">These factors are not unique to ICT </w:t>
      </w:r>
      <w:proofErr w:type="gramStart"/>
      <w:r>
        <w:t>projects</w:t>
      </w:r>
      <w:proofErr w:type="gramEnd"/>
      <w:r>
        <w:t xml:space="preserve"> but the nature of ICT projects makes them more significant</w:t>
      </w:r>
      <w:r w:rsidR="00243145">
        <w:t>.</w:t>
      </w:r>
      <w:r w:rsidRPr="00C85809">
        <w:t xml:space="preserve"> </w:t>
      </w:r>
    </w:p>
    <w:p w:rsidR="0068369D" w:rsidRDefault="0068369D" w:rsidP="00344FDD">
      <w:pPr>
        <w:pStyle w:val="DPCbody"/>
      </w:pPr>
      <w:r>
        <w:t>There is a need to ensure that good practice guidance is</w:t>
      </w:r>
      <w:r w:rsidR="00344FDD">
        <w:t xml:space="preserve"> adopted; that ICT projects are </w:t>
      </w:r>
      <w:r>
        <w:t>appropriately scoped and planned</w:t>
      </w:r>
      <w:r w:rsidR="006763B0">
        <w:t xml:space="preserve"> with clear statement of works</w:t>
      </w:r>
      <w:r>
        <w:t xml:space="preserve"> before they are taken to market; and that implementation is undertaken in a disciplined way.</w:t>
      </w:r>
    </w:p>
    <w:p w:rsidR="006D0511" w:rsidRDefault="006D0511">
      <w:pPr>
        <w:rPr>
          <w:rFonts w:asciiTheme="majorHAnsi" w:eastAsia="MS Gothic" w:hAnsiTheme="majorHAnsi" w:cs="Arial"/>
          <w:bCs/>
          <w:color w:val="0072CE"/>
          <w:kern w:val="32"/>
          <w:sz w:val="52"/>
          <w:szCs w:val="52"/>
        </w:rPr>
      </w:pPr>
      <w:bookmarkStart w:id="16" w:name="_Toc524623261"/>
      <w:r>
        <w:br w:type="page"/>
      </w:r>
    </w:p>
    <w:p w:rsidR="00502D66" w:rsidRDefault="00502D66" w:rsidP="006D0511">
      <w:pPr>
        <w:pStyle w:val="Heading1"/>
      </w:pPr>
      <w:r>
        <w:lastRenderedPageBreak/>
        <w:t>Glossary</w:t>
      </w:r>
      <w:bookmarkEnd w:id="16"/>
    </w:p>
    <w:p w:rsidR="00502D66" w:rsidRPr="00C80D0F" w:rsidRDefault="00502D66" w:rsidP="006D0511">
      <w:pPr>
        <w:pStyle w:val="DPCbody"/>
      </w:pPr>
      <w:r>
        <w:t xml:space="preserve">For the purpose of this document, </w:t>
      </w:r>
      <w:r w:rsidR="00C80D0F">
        <w:t>the following</w:t>
      </w:r>
      <w:r>
        <w:t xml:space="preserve"> terms </w:t>
      </w:r>
      <w:r w:rsidR="00C80D0F">
        <w:t>are defined</w:t>
      </w:r>
    </w:p>
    <w:tbl>
      <w:tblPr>
        <w:tblStyle w:val="LightList-Accent1"/>
        <w:tblW w:w="10173" w:type="dxa"/>
        <w:tblLook w:val="04A0" w:firstRow="1" w:lastRow="0" w:firstColumn="1" w:lastColumn="0" w:noHBand="0" w:noVBand="1"/>
      </w:tblPr>
      <w:tblGrid>
        <w:gridCol w:w="1417"/>
        <w:gridCol w:w="8756"/>
      </w:tblGrid>
      <w:tr w:rsidR="00FC2FC7" w:rsidRPr="00502D66" w:rsidTr="00282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rsidR="00FC2FC7" w:rsidRPr="006D0511" w:rsidRDefault="00FC2FC7" w:rsidP="006D0511">
            <w:pPr>
              <w:pStyle w:val="DPCtabletext"/>
              <w:rPr>
                <w:color w:val="FFFFFF" w:themeColor="background1"/>
              </w:rPr>
            </w:pPr>
            <w:r w:rsidRPr="006D0511">
              <w:rPr>
                <w:color w:val="FFFFFF" w:themeColor="background1"/>
              </w:rPr>
              <w:t>Term</w:t>
            </w:r>
          </w:p>
        </w:tc>
        <w:tc>
          <w:tcPr>
            <w:tcW w:w="8756" w:type="dxa"/>
          </w:tcPr>
          <w:p w:rsidR="00FC2FC7" w:rsidRPr="006D0511" w:rsidRDefault="00FC2FC7" w:rsidP="006D0511">
            <w:pPr>
              <w:pStyle w:val="DPC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6D0511">
              <w:rPr>
                <w:color w:val="FFFFFF" w:themeColor="background1"/>
              </w:rPr>
              <w:t>Definition</w:t>
            </w:r>
          </w:p>
        </w:tc>
      </w:tr>
      <w:tr w:rsidR="00FC2FC7" w:rsidTr="00282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rsidR="00FC2FC7" w:rsidRPr="00DE4CC1" w:rsidRDefault="00FC2FC7" w:rsidP="006D0511">
            <w:pPr>
              <w:pStyle w:val="DPCtablecolhead"/>
            </w:pPr>
            <w:r>
              <w:rPr>
                <w:b/>
              </w:rPr>
              <w:t>T</w:t>
            </w:r>
            <w:r w:rsidR="00E15703">
              <w:rPr>
                <w:b/>
              </w:rPr>
              <w:t>EI</w:t>
            </w:r>
          </w:p>
        </w:tc>
        <w:tc>
          <w:tcPr>
            <w:tcW w:w="8756" w:type="dxa"/>
          </w:tcPr>
          <w:p w:rsidR="00FC2FC7" w:rsidRDefault="00E15703" w:rsidP="001D60C1">
            <w:pPr>
              <w:pStyle w:val="DPCtabletext"/>
              <w:cnfStyle w:val="000000100000" w:firstRow="0" w:lastRow="0" w:firstColumn="0" w:lastColumn="0" w:oddVBand="0" w:evenVBand="0" w:oddHBand="1" w:evenHBand="0" w:firstRowFirstColumn="0" w:firstRowLastColumn="0" w:lastRowFirstColumn="0" w:lastRowLastColumn="0"/>
            </w:pPr>
            <w:r>
              <w:t>Total estimated investment</w:t>
            </w:r>
          </w:p>
          <w:p w:rsidR="00FC2FC7" w:rsidRDefault="00FC2FC7" w:rsidP="001D60C1">
            <w:pPr>
              <w:pStyle w:val="DPCtabletext"/>
              <w:cnfStyle w:val="000000100000" w:firstRow="0" w:lastRow="0" w:firstColumn="0" w:lastColumn="0" w:oddVBand="0" w:evenVBand="0" w:oddHBand="1" w:evenHBand="0" w:firstRowFirstColumn="0" w:firstRowLastColumn="0" w:lastRowFirstColumn="0" w:lastRowLastColumn="0"/>
            </w:pPr>
            <w:bookmarkStart w:id="17" w:name="_Hlk2603270"/>
            <w:r>
              <w:t>All</w:t>
            </w:r>
            <w:r w:rsidR="000E01BE">
              <w:t xml:space="preserve"> </w:t>
            </w:r>
            <w:r w:rsidR="00E15703">
              <w:t xml:space="preserve">capital </w:t>
            </w:r>
            <w:r w:rsidR="000E01BE">
              <w:t>spending</w:t>
            </w:r>
            <w:r w:rsidR="00BF6358">
              <w:t xml:space="preserve"> or funding</w:t>
            </w:r>
            <w:r w:rsidR="000E01BE">
              <w:t xml:space="preserve"> </w:t>
            </w:r>
            <w:r>
              <w:t>that is required</w:t>
            </w:r>
            <w:r w:rsidRPr="001D60C1">
              <w:t xml:space="preserve"> to achiev</w:t>
            </w:r>
            <w:r w:rsidR="00593075">
              <w:t>e</w:t>
            </w:r>
            <w:r w:rsidRPr="001D60C1">
              <w:t xml:space="preserve"> the agreed objectives, benefits or outputs of the</w:t>
            </w:r>
            <w:r>
              <w:t xml:space="preserve"> ICT</w:t>
            </w:r>
            <w:r w:rsidRPr="001D60C1">
              <w:t xml:space="preserve"> project</w:t>
            </w:r>
            <w:bookmarkEnd w:id="17"/>
            <w:r w:rsidRPr="001D60C1">
              <w:t>.</w:t>
            </w:r>
            <w:r w:rsidR="000E01BE">
              <w:t xml:space="preserve">  </w:t>
            </w:r>
          </w:p>
        </w:tc>
      </w:tr>
      <w:tr w:rsidR="00282BA8" w:rsidTr="004D5923">
        <w:tc>
          <w:tcPr>
            <w:cnfStyle w:val="001000000000" w:firstRow="0" w:lastRow="0" w:firstColumn="1" w:lastColumn="0" w:oddVBand="0" w:evenVBand="0" w:oddHBand="0" w:evenHBand="0" w:firstRowFirstColumn="0" w:firstRowLastColumn="0" w:lastRowFirstColumn="0" w:lastRowLastColumn="0"/>
            <w:tcW w:w="1417" w:type="dxa"/>
          </w:tcPr>
          <w:p w:rsidR="00282BA8" w:rsidRPr="00DE4CC1" w:rsidRDefault="00282BA8" w:rsidP="004D5923">
            <w:pPr>
              <w:pStyle w:val="DPCtablecolhead"/>
            </w:pPr>
            <w:r w:rsidRPr="006D0511">
              <w:rPr>
                <w:b/>
              </w:rPr>
              <w:t>ICT</w:t>
            </w:r>
          </w:p>
        </w:tc>
        <w:tc>
          <w:tcPr>
            <w:tcW w:w="8756" w:type="dxa"/>
          </w:tcPr>
          <w:p w:rsidR="00282BA8" w:rsidRDefault="00282BA8" w:rsidP="004D5923">
            <w:pPr>
              <w:pStyle w:val="DPCtabletext"/>
              <w:cnfStyle w:val="000000000000" w:firstRow="0" w:lastRow="0" w:firstColumn="0" w:lastColumn="0" w:oddVBand="0" w:evenVBand="0" w:oddHBand="0" w:evenHBand="0" w:firstRowFirstColumn="0" w:firstRowLastColumn="0" w:lastRowFirstColumn="0" w:lastRowLastColumn="0"/>
              <w:rPr>
                <w:rFonts w:eastAsia="Arial" w:hAnsi="Arial" w:cs="Arial"/>
                <w:szCs w:val="18"/>
              </w:rPr>
            </w:pPr>
            <w:r>
              <w:t>Information and communications</w:t>
            </w:r>
            <w:r>
              <w:rPr>
                <w:spacing w:val="1"/>
              </w:rPr>
              <w:t xml:space="preserve"> </w:t>
            </w:r>
            <w:r>
              <w:t>technology.</w:t>
            </w:r>
          </w:p>
          <w:p w:rsidR="00282BA8" w:rsidRPr="006D0511" w:rsidRDefault="00282BA8" w:rsidP="004D5923">
            <w:pPr>
              <w:pStyle w:val="DPCtabletext"/>
              <w:cnfStyle w:val="000000000000" w:firstRow="0" w:lastRow="0" w:firstColumn="0" w:lastColumn="0" w:oddVBand="0" w:evenVBand="0" w:oddHBand="0" w:evenHBand="0" w:firstRowFirstColumn="0" w:firstRowLastColumn="0" w:lastRowFirstColumn="0" w:lastRowLastColumn="0"/>
              <w:rPr>
                <w:rFonts w:eastAsia="Arial" w:hAnsi="Arial"/>
                <w:szCs w:val="18"/>
              </w:rPr>
            </w:pPr>
            <w:r>
              <w:t>For the</w:t>
            </w:r>
            <w:r>
              <w:rPr>
                <w:spacing w:val="-2"/>
              </w:rPr>
              <w:t xml:space="preserve"> </w:t>
            </w:r>
            <w:r>
              <w:t>purposes</w:t>
            </w:r>
            <w:r>
              <w:rPr>
                <w:spacing w:val="1"/>
              </w:rPr>
              <w:t xml:space="preserve"> </w:t>
            </w:r>
            <w:r>
              <w:t>of this standard, the</w:t>
            </w:r>
            <w:r>
              <w:rPr>
                <w:spacing w:val="-2"/>
              </w:rPr>
              <w:t xml:space="preserve"> </w:t>
            </w:r>
            <w:r>
              <w:t>definition</w:t>
            </w:r>
            <w:r>
              <w:rPr>
                <w:spacing w:val="-2"/>
              </w:rPr>
              <w:t xml:space="preserve"> </w:t>
            </w:r>
            <w:r>
              <w:t>of ICT</w:t>
            </w:r>
            <w:r>
              <w:rPr>
                <w:spacing w:val="-2"/>
              </w:rPr>
              <w:t xml:space="preserve"> </w:t>
            </w:r>
            <w:r>
              <w:t xml:space="preserve">is </w:t>
            </w:r>
            <w:r w:rsidRPr="00ED46E9">
              <w:t>any</w:t>
            </w:r>
            <w:r w:rsidRPr="00823D33">
              <w:t xml:space="preserve"> technology that stores, retrieves, manipulates, transmits or receives information electronically or in a digital form. It includes communication devices or applications, computer hardware, software, network infrastructure, video conferencing technology, telephones and mobile phones</w:t>
            </w:r>
            <w:r>
              <w:t>.</w:t>
            </w:r>
          </w:p>
        </w:tc>
      </w:tr>
      <w:tr w:rsidR="00FC2FC7" w:rsidTr="00282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rsidR="00FC2FC7" w:rsidRPr="00DE4CC1" w:rsidRDefault="00FC2FC7" w:rsidP="006D0511">
            <w:pPr>
              <w:pStyle w:val="DPCtablecolhead"/>
            </w:pPr>
            <w:r w:rsidRPr="006D0511">
              <w:rPr>
                <w:b/>
              </w:rPr>
              <w:t>ICT Project</w:t>
            </w:r>
          </w:p>
        </w:tc>
        <w:tc>
          <w:tcPr>
            <w:tcW w:w="8756" w:type="dxa"/>
          </w:tcPr>
          <w:p w:rsidR="00FC2FC7" w:rsidRDefault="00FC2FC7" w:rsidP="001D60C1">
            <w:pPr>
              <w:pStyle w:val="DPCtabletext"/>
              <w:cnfStyle w:val="000000100000" w:firstRow="0" w:lastRow="0" w:firstColumn="0" w:lastColumn="0" w:oddVBand="0" w:evenVBand="0" w:oddHBand="1" w:evenHBand="0" w:firstRowFirstColumn="0" w:firstRowLastColumn="0" w:lastRowFirstColumn="0" w:lastRowLastColumn="0"/>
            </w:pPr>
            <w:r>
              <w:t>For the purposes of this standard t</w:t>
            </w:r>
            <w:r w:rsidR="00282BA8">
              <w:t>he definition of ICT Project is a</w:t>
            </w:r>
            <w:r>
              <w:t>ny project or initiative where ICT investment is fundamental to achieving the agreed objectives, benefits or outputs. ICT projects have a defined start and end dates, and focus on delivering:</w:t>
            </w:r>
          </w:p>
          <w:p w:rsidR="00FC2FC7" w:rsidRDefault="00FC2FC7" w:rsidP="006D0511">
            <w:pPr>
              <w:pStyle w:val="DPCtablebullet"/>
              <w:cnfStyle w:val="000000100000" w:firstRow="0" w:lastRow="0" w:firstColumn="0" w:lastColumn="0" w:oddVBand="0" w:evenVBand="0" w:oddHBand="1" w:evenHBand="0" w:firstRowFirstColumn="0" w:firstRowLastColumn="0" w:lastRowFirstColumn="0" w:lastRowLastColumn="0"/>
            </w:pPr>
            <w:r>
              <w:t>technological change or business capability and may extend to information management, information security or infrastructure improvements, e.g. upgrades, asset replacement, etc.</w:t>
            </w:r>
          </w:p>
          <w:p w:rsidR="00FC2FC7" w:rsidRDefault="00FC2FC7" w:rsidP="006D0511">
            <w:pPr>
              <w:pStyle w:val="DPCtablebullet"/>
              <w:cnfStyle w:val="000000100000" w:firstRow="0" w:lastRow="0" w:firstColumn="0" w:lastColumn="0" w:oddVBand="0" w:evenVBand="0" w:oddHBand="1" w:evenHBand="0" w:firstRowFirstColumn="0" w:firstRowLastColumn="0" w:lastRowFirstColumn="0" w:lastRowLastColumn="0"/>
            </w:pPr>
            <w:r>
              <w:t>a government strategy or program where ICT is used in whole or in part to effect change and/or deliver outputs and outcomes and/or realise benefits, including business change – not necessarily technological in nature, e.g. business process improvement, community engagement, legislative policy.</w:t>
            </w:r>
          </w:p>
        </w:tc>
      </w:tr>
      <w:tr w:rsidR="00282BA8" w:rsidTr="004D5923">
        <w:tc>
          <w:tcPr>
            <w:cnfStyle w:val="001000000000" w:firstRow="0" w:lastRow="0" w:firstColumn="1" w:lastColumn="0" w:oddVBand="0" w:evenVBand="0" w:oddHBand="0" w:evenHBand="0" w:firstRowFirstColumn="0" w:firstRowLastColumn="0" w:lastRowFirstColumn="0" w:lastRowLastColumn="0"/>
            <w:tcW w:w="1417" w:type="dxa"/>
          </w:tcPr>
          <w:p w:rsidR="00282BA8" w:rsidRDefault="00282BA8" w:rsidP="004D5923">
            <w:pPr>
              <w:pStyle w:val="DPCtablecolhead"/>
            </w:pPr>
            <w:r w:rsidRPr="00282BA8">
              <w:rPr>
                <w:color w:val="auto"/>
              </w:rPr>
              <w:t xml:space="preserve">Project </w:t>
            </w:r>
            <w:r>
              <w:rPr>
                <w:color w:val="auto"/>
              </w:rPr>
              <w:t>i</w:t>
            </w:r>
            <w:r w:rsidRPr="00282BA8">
              <w:rPr>
                <w:color w:val="auto"/>
              </w:rPr>
              <w:t>nitiation start date</w:t>
            </w:r>
          </w:p>
        </w:tc>
        <w:tc>
          <w:tcPr>
            <w:tcW w:w="8756" w:type="dxa"/>
          </w:tcPr>
          <w:p w:rsidR="00282BA8" w:rsidRDefault="00282BA8" w:rsidP="004D5923">
            <w:pPr>
              <w:pStyle w:val="DPCtabletext"/>
              <w:cnfStyle w:val="000000000000" w:firstRow="0" w:lastRow="0" w:firstColumn="0" w:lastColumn="0" w:oddVBand="0" w:evenVBand="0" w:oddHBand="0" w:evenHBand="0" w:firstRowFirstColumn="0" w:firstRowLastColumn="0" w:lastRowFirstColumn="0" w:lastRowLastColumn="0"/>
            </w:pPr>
            <w:r>
              <w:t>For the purpose of this standard, project initiation start date refers to the date the projects commence the following tasks:</w:t>
            </w:r>
          </w:p>
          <w:p w:rsidR="00282BA8" w:rsidRDefault="00282BA8" w:rsidP="004D5923">
            <w:pPr>
              <w:pStyle w:val="DPCtablebullet"/>
              <w:cnfStyle w:val="000000000000" w:firstRow="0" w:lastRow="0" w:firstColumn="0" w:lastColumn="0" w:oddVBand="0" w:evenVBand="0" w:oddHBand="0" w:evenHBand="0" w:firstRowFirstColumn="0" w:firstRowLastColumn="0" w:lastRowFirstColumn="0" w:lastRowLastColumn="0"/>
            </w:pPr>
            <w:r>
              <w:t>feasibility study</w:t>
            </w:r>
          </w:p>
          <w:p w:rsidR="00282BA8" w:rsidRDefault="00282BA8" w:rsidP="00282BA8">
            <w:pPr>
              <w:pStyle w:val="DPCtablebullet"/>
              <w:cnfStyle w:val="000000000000" w:firstRow="0" w:lastRow="0" w:firstColumn="0" w:lastColumn="0" w:oddVBand="0" w:evenVBand="0" w:oddHBand="0" w:evenHBand="0" w:firstRowFirstColumn="0" w:firstRowLastColumn="0" w:lastRowFirstColumn="0" w:lastRowLastColumn="0"/>
            </w:pPr>
            <w:r>
              <w:t xml:space="preserve">planning including: i) </w:t>
            </w:r>
            <w:r w:rsidRPr="00240450">
              <w:t>business case development</w:t>
            </w:r>
            <w:r>
              <w:t xml:space="preserve">; ii) </w:t>
            </w:r>
            <w:r w:rsidRPr="00240450">
              <w:t>requirements definition</w:t>
            </w:r>
            <w:r>
              <w:t xml:space="preserve">; iii) solution option analysis; iv) </w:t>
            </w:r>
            <w:r w:rsidRPr="00240450">
              <w:t>p</w:t>
            </w:r>
            <w:r>
              <w:t xml:space="preserve">lanned procurement; v) </w:t>
            </w:r>
            <w:r w:rsidRPr="00240450">
              <w:t>funding request.</w:t>
            </w:r>
          </w:p>
        </w:tc>
      </w:tr>
      <w:tr w:rsidR="00FC2FC7" w:rsidTr="00282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rsidR="00FC2FC7" w:rsidRPr="006D0511" w:rsidRDefault="00FC2FC7" w:rsidP="006D0511">
            <w:pPr>
              <w:pStyle w:val="DPCtablecolhead"/>
              <w:rPr>
                <w:b/>
              </w:rPr>
            </w:pPr>
            <w:r>
              <w:rPr>
                <w:b/>
              </w:rPr>
              <w:t>HVHR</w:t>
            </w:r>
          </w:p>
        </w:tc>
        <w:tc>
          <w:tcPr>
            <w:tcW w:w="8756" w:type="dxa"/>
          </w:tcPr>
          <w:p w:rsidR="00FC2FC7" w:rsidRDefault="00FC2FC7" w:rsidP="001D60C1">
            <w:pPr>
              <w:pStyle w:val="DPCtabletext"/>
              <w:cnfStyle w:val="000000100000" w:firstRow="0" w:lastRow="0" w:firstColumn="0" w:lastColumn="0" w:oddVBand="0" w:evenVBand="0" w:oddHBand="1" w:evenHBand="0" w:firstRowFirstColumn="0" w:firstRowLastColumn="0" w:lastRowFirstColumn="0" w:lastRowLastColumn="0"/>
            </w:pPr>
            <w:r>
              <w:t>High value high risk</w:t>
            </w:r>
          </w:p>
          <w:p w:rsidR="00FC2FC7" w:rsidRDefault="00FC2FC7" w:rsidP="006D0511">
            <w:pPr>
              <w:pStyle w:val="DPCtabletext"/>
              <w:cnfStyle w:val="000000100000" w:firstRow="0" w:lastRow="0" w:firstColumn="0" w:lastColumn="0" w:oddVBand="0" w:evenVBand="0" w:oddHBand="1" w:evenHBand="0" w:firstRowFirstColumn="0" w:firstRowLastColumn="0" w:lastRowFirstColumn="0" w:lastRowLastColumn="0"/>
            </w:pPr>
            <w:r>
              <w:t>A project will be classified by DTF as being HVHR if it is a budget-funded project that is:</w:t>
            </w:r>
          </w:p>
          <w:p w:rsidR="00FC2FC7" w:rsidRDefault="00FC2FC7" w:rsidP="00FC2FC7">
            <w:pPr>
              <w:pStyle w:val="DPCtablebullet"/>
              <w:cnfStyle w:val="000000100000" w:firstRow="0" w:lastRow="0" w:firstColumn="0" w:lastColumn="0" w:oddVBand="0" w:evenVBand="0" w:oddHBand="1" w:evenHBand="0" w:firstRowFirstColumn="0" w:firstRowLastColumn="0" w:lastRowFirstColumn="0" w:lastRowLastColumn="0"/>
            </w:pPr>
            <w:r>
              <w:t>considered high risk using DTF’s risk assessment tool, the Project Profile Model (PPM);</w:t>
            </w:r>
          </w:p>
          <w:p w:rsidR="00FC2FC7" w:rsidRDefault="00FC2FC7" w:rsidP="00FC2FC7">
            <w:pPr>
              <w:pStyle w:val="DPCtablebullet"/>
              <w:cnfStyle w:val="000000100000" w:firstRow="0" w:lastRow="0" w:firstColumn="0" w:lastColumn="0" w:oddVBand="0" w:evenVBand="0" w:oddHBand="1" w:evenHBand="0" w:firstRowFirstColumn="0" w:firstRowLastColumn="0" w:lastRowFirstColumn="0" w:lastRowLastColumn="0"/>
            </w:pPr>
            <w:r>
              <w:t xml:space="preserve">considered medium risk using the PPM and has a </w:t>
            </w:r>
            <w:r w:rsidR="00663CEB">
              <w:t>total estimated investment (TEI)</w:t>
            </w:r>
            <w:r>
              <w:t xml:space="preserve"> of between $100 million and $250 million;</w:t>
            </w:r>
          </w:p>
          <w:p w:rsidR="00FC2FC7" w:rsidRDefault="00FC2FC7" w:rsidP="00FC2FC7">
            <w:pPr>
              <w:pStyle w:val="DPCtablebullet"/>
              <w:cnfStyle w:val="000000100000" w:firstRow="0" w:lastRow="0" w:firstColumn="0" w:lastColumn="0" w:oddVBand="0" w:evenVBand="0" w:oddHBand="1" w:evenHBand="0" w:firstRowFirstColumn="0" w:firstRowLastColumn="0" w:lastRowFirstColumn="0" w:lastRowLastColumn="0"/>
            </w:pPr>
            <w:r>
              <w:t>considered low risk using the PPM but has a TEI over $250 million; or</w:t>
            </w:r>
          </w:p>
          <w:p w:rsidR="00FC2FC7" w:rsidRDefault="00FC2FC7" w:rsidP="00FC2FC7">
            <w:pPr>
              <w:pStyle w:val="DPCtablebullet"/>
              <w:cnfStyle w:val="000000100000" w:firstRow="0" w:lastRow="0" w:firstColumn="0" w:lastColumn="0" w:oddVBand="0" w:evenVBand="0" w:oddHBand="1" w:evenHBand="0" w:firstRowFirstColumn="0" w:firstRowLastColumn="0" w:lastRowFirstColumn="0" w:lastRowLastColumn="0"/>
            </w:pPr>
            <w:r>
              <w:t>identified by Government as warranting the rigour applied to HVHR investments.</w:t>
            </w:r>
          </w:p>
        </w:tc>
      </w:tr>
      <w:tr w:rsidR="00FC2FC7" w:rsidTr="00282BA8">
        <w:tc>
          <w:tcPr>
            <w:cnfStyle w:val="001000000000" w:firstRow="0" w:lastRow="0" w:firstColumn="1" w:lastColumn="0" w:oddVBand="0" w:evenVBand="0" w:oddHBand="0" w:evenHBand="0" w:firstRowFirstColumn="0" w:firstRowLastColumn="0" w:lastRowFirstColumn="0" w:lastRowLastColumn="0"/>
            <w:tcW w:w="1417" w:type="dxa"/>
          </w:tcPr>
          <w:p w:rsidR="00FC2FC7" w:rsidRPr="00DE4CC1" w:rsidRDefault="00FC2FC7" w:rsidP="006D0511">
            <w:pPr>
              <w:pStyle w:val="DPCtablecolhead"/>
            </w:pPr>
            <w:r w:rsidRPr="006D0511">
              <w:rPr>
                <w:b/>
              </w:rPr>
              <w:t>FMA departments and agencies</w:t>
            </w:r>
          </w:p>
        </w:tc>
        <w:tc>
          <w:tcPr>
            <w:tcW w:w="8756" w:type="dxa"/>
          </w:tcPr>
          <w:p w:rsidR="00FC2FC7" w:rsidRPr="006D0511" w:rsidRDefault="00FC2FC7" w:rsidP="001D60C1">
            <w:pPr>
              <w:pStyle w:val="DPCtabletext"/>
              <w:cnfStyle w:val="000000000000" w:firstRow="0" w:lastRow="0" w:firstColumn="0" w:lastColumn="0" w:oddVBand="0" w:evenVBand="0" w:oddHBand="0" w:evenHBand="0" w:firstRowFirstColumn="0" w:firstRowLastColumn="0" w:lastRowFirstColumn="0" w:lastRowLastColumn="0"/>
            </w:pPr>
            <w:r>
              <w:t xml:space="preserve">Victorian Government departments and public bodies that are subject to the </w:t>
            </w:r>
            <w:r w:rsidRPr="006D0511">
              <w:rPr>
                <w:i/>
              </w:rPr>
              <w:t xml:space="preserve">Financial Management Act </w:t>
            </w:r>
            <w:r>
              <w:rPr>
                <w:i/>
              </w:rPr>
              <w:t xml:space="preserve">(FMA) </w:t>
            </w:r>
            <w:r w:rsidRPr="006D0511">
              <w:rPr>
                <w:i/>
              </w:rPr>
              <w:t xml:space="preserve">1994 </w:t>
            </w:r>
            <w:r>
              <w:t>(Vic</w:t>
            </w:r>
            <w:r w:rsidRPr="003D4EFB">
              <w:t>)</w:t>
            </w:r>
            <w:r w:rsidRPr="006D0511">
              <w:t>,</w:t>
            </w:r>
            <w:r>
              <w:rPr>
                <w:i/>
              </w:rPr>
              <w:t xml:space="preserve"> </w:t>
            </w:r>
            <w:r w:rsidRPr="006D0511">
              <w:t>including:</w:t>
            </w:r>
          </w:p>
          <w:p w:rsidR="00FC2FC7" w:rsidRPr="003D4EFB" w:rsidRDefault="00FC2FC7" w:rsidP="006D0511">
            <w:pPr>
              <w:pStyle w:val="DPCtablebullet"/>
              <w:cnfStyle w:val="000000000000" w:firstRow="0" w:lastRow="0" w:firstColumn="0" w:lastColumn="0" w:oddVBand="0" w:evenVBand="0" w:oddHBand="0" w:evenHBand="0" w:firstRowFirstColumn="0" w:firstRowLastColumn="0" w:lastRowFirstColumn="0" w:lastRowLastColumn="0"/>
            </w:pPr>
            <w:r w:rsidRPr="003D4EFB">
              <w:t xml:space="preserve">a department within the meaning of the </w:t>
            </w:r>
            <w:r w:rsidRPr="006D0511">
              <w:rPr>
                <w:i/>
              </w:rPr>
              <w:t xml:space="preserve">Public Administration Act </w:t>
            </w:r>
            <w:r>
              <w:rPr>
                <w:i/>
              </w:rPr>
              <w:t xml:space="preserve">(PAC) </w:t>
            </w:r>
            <w:r w:rsidRPr="006D0511">
              <w:rPr>
                <w:i/>
              </w:rPr>
              <w:t>2004</w:t>
            </w:r>
          </w:p>
          <w:p w:rsidR="00FC2FC7" w:rsidRDefault="00FC2FC7" w:rsidP="006D0511">
            <w:pPr>
              <w:pStyle w:val="DPCtablebullet"/>
              <w:cnfStyle w:val="000000000000" w:firstRow="0" w:lastRow="0" w:firstColumn="0" w:lastColumn="0" w:oddVBand="0" w:evenVBand="0" w:oddHBand="0" w:evenHBand="0" w:firstRowFirstColumn="0" w:firstRowLastColumn="0" w:lastRowFirstColumn="0" w:lastRowLastColumn="0"/>
            </w:pPr>
            <w:r w:rsidRPr="003D4EFB">
              <w:t>an office specifi</w:t>
            </w:r>
            <w:r>
              <w:t>ed in section 16(1) of PAC</w:t>
            </w:r>
          </w:p>
          <w:p w:rsidR="00FC2FC7" w:rsidRDefault="00FC2FC7" w:rsidP="006D0511">
            <w:pPr>
              <w:pStyle w:val="DPCtablebullet"/>
              <w:cnfStyle w:val="000000000000" w:firstRow="0" w:lastRow="0" w:firstColumn="0" w:lastColumn="0" w:oddVBand="0" w:evenVBand="0" w:oddHBand="0" w:evenHBand="0" w:firstRowFirstColumn="0" w:firstRowLastColumn="0" w:lastRowFirstColumn="0" w:lastRowLastColumn="0"/>
            </w:pPr>
            <w:r>
              <w:t>a public body that is declared by the Minister, by notice published in the Government Gazette, to be a body or office to which Part 7 of FMA applies, including:</w:t>
            </w:r>
          </w:p>
          <w:p w:rsidR="00FC2FC7" w:rsidRPr="00DE4CC1" w:rsidRDefault="00FC2FC7" w:rsidP="006D0511">
            <w:pPr>
              <w:pStyle w:val="DPCnumberlowerromanindent"/>
              <w:spacing w:after="120" w:line="240" w:lineRule="auto"/>
              <w:cnfStyle w:val="000000000000" w:firstRow="0" w:lastRow="0" w:firstColumn="0" w:lastColumn="0" w:oddVBand="0" w:evenVBand="0" w:oddHBand="0" w:evenHBand="0" w:firstRowFirstColumn="0" w:firstRowLastColumn="0" w:lastRowFirstColumn="0" w:lastRowLastColumn="0"/>
            </w:pPr>
            <w:r w:rsidRPr="006D0511">
              <w:rPr>
                <w:sz w:val="20"/>
                <w:szCs w:val="20"/>
              </w:rPr>
              <w:t>a public statutory authority</w:t>
            </w:r>
          </w:p>
          <w:p w:rsidR="00FC2FC7" w:rsidRPr="00DE4CC1" w:rsidRDefault="00FC2FC7" w:rsidP="006D0511">
            <w:pPr>
              <w:pStyle w:val="DPCnumberlowerromanindent"/>
              <w:spacing w:after="120" w:line="240" w:lineRule="auto"/>
              <w:cnfStyle w:val="000000000000" w:firstRow="0" w:lastRow="0" w:firstColumn="0" w:lastColumn="0" w:oddVBand="0" w:evenVBand="0" w:oddHBand="0" w:evenHBand="0" w:firstRowFirstColumn="0" w:firstRowLastColumn="0" w:lastRowFirstColumn="0" w:lastRowLastColumn="0"/>
            </w:pPr>
            <w:r w:rsidRPr="006D0511">
              <w:rPr>
                <w:sz w:val="20"/>
                <w:szCs w:val="20"/>
              </w:rPr>
              <w:t xml:space="preserve">a State business corporation or State body within the meaning of the </w:t>
            </w:r>
            <w:proofErr w:type="gramStart"/>
            <w:r w:rsidRPr="006D0511">
              <w:rPr>
                <w:i/>
                <w:sz w:val="20"/>
                <w:szCs w:val="20"/>
              </w:rPr>
              <w:t>State Owned</w:t>
            </w:r>
            <w:proofErr w:type="gramEnd"/>
            <w:r w:rsidRPr="006D0511">
              <w:rPr>
                <w:i/>
                <w:sz w:val="20"/>
                <w:szCs w:val="20"/>
              </w:rPr>
              <w:t xml:space="preserve"> Enterprises Act 1992</w:t>
            </w:r>
            <w:r w:rsidRPr="006D0511">
              <w:rPr>
                <w:sz w:val="20"/>
                <w:szCs w:val="20"/>
              </w:rPr>
              <w:t xml:space="preserve"> (Vic)</w:t>
            </w:r>
          </w:p>
          <w:p w:rsidR="00FC2FC7" w:rsidRPr="00DE4CC1" w:rsidRDefault="00FC2FC7" w:rsidP="006D0511">
            <w:pPr>
              <w:pStyle w:val="DPCnumberlowerromanindent"/>
              <w:spacing w:after="120" w:line="240" w:lineRule="auto"/>
              <w:cnfStyle w:val="000000000000" w:firstRow="0" w:lastRow="0" w:firstColumn="0" w:lastColumn="0" w:oddVBand="0" w:evenVBand="0" w:oddHBand="0" w:evenHBand="0" w:firstRowFirstColumn="0" w:firstRowLastColumn="0" w:lastRowFirstColumn="0" w:lastRowLastColumn="0"/>
            </w:pPr>
            <w:r w:rsidRPr="006D0511">
              <w:rPr>
                <w:sz w:val="20"/>
                <w:szCs w:val="20"/>
              </w:rPr>
              <w:t>a body, office or trust body:</w:t>
            </w:r>
          </w:p>
          <w:p w:rsidR="00FC2FC7" w:rsidRPr="00DE4CC1" w:rsidRDefault="00FC2FC7" w:rsidP="006D0511">
            <w:pPr>
              <w:pStyle w:val="DPCnumberlowerromanindent"/>
              <w:numPr>
                <w:ilvl w:val="3"/>
                <w:numId w:val="35"/>
              </w:numPr>
              <w:spacing w:after="120" w:line="240" w:lineRule="auto"/>
              <w:ind w:left="357" w:firstLine="113"/>
              <w:cnfStyle w:val="000000000000" w:firstRow="0" w:lastRow="0" w:firstColumn="0" w:lastColumn="0" w:oddVBand="0" w:evenVBand="0" w:oddHBand="0" w:evenHBand="0" w:firstRowFirstColumn="0" w:firstRowLastColumn="0" w:lastRowFirstColumn="0" w:lastRowLastColumn="0"/>
            </w:pPr>
            <w:r w:rsidRPr="006D0511">
              <w:rPr>
                <w:sz w:val="20"/>
                <w:szCs w:val="20"/>
              </w:rPr>
              <w:t>established by or under an Act or enactment; or</w:t>
            </w:r>
          </w:p>
          <w:p w:rsidR="00FC2FC7" w:rsidRPr="00DE4CC1" w:rsidRDefault="00FC2FC7" w:rsidP="006D0511">
            <w:pPr>
              <w:pStyle w:val="DPCnumberlowerromanindent"/>
              <w:numPr>
                <w:ilvl w:val="3"/>
                <w:numId w:val="35"/>
              </w:numPr>
              <w:spacing w:after="120" w:line="240" w:lineRule="auto"/>
              <w:ind w:left="357" w:firstLine="113"/>
              <w:cnfStyle w:val="000000000000" w:firstRow="0" w:lastRow="0" w:firstColumn="0" w:lastColumn="0" w:oddVBand="0" w:evenVBand="0" w:oddHBand="0" w:evenHBand="0" w:firstRowFirstColumn="0" w:firstRowLastColumn="0" w:lastRowFirstColumn="0" w:lastRowLastColumn="0"/>
            </w:pPr>
            <w:r w:rsidRPr="006D0511">
              <w:rPr>
                <w:sz w:val="20"/>
                <w:szCs w:val="20"/>
              </w:rPr>
              <w:t>established by the Governor in Council or a Minister</w:t>
            </w:r>
          </w:p>
        </w:tc>
      </w:tr>
      <w:tr w:rsidR="00FC2FC7" w:rsidTr="00282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Pr>
          <w:p w:rsidR="00FC2FC7" w:rsidRPr="006D0511" w:rsidRDefault="00FC2FC7" w:rsidP="006D0511">
            <w:pPr>
              <w:pStyle w:val="DPCtablecolhead"/>
              <w:rPr>
                <w:b/>
              </w:rPr>
            </w:pPr>
            <w:r w:rsidRPr="006D0511">
              <w:rPr>
                <w:b/>
              </w:rPr>
              <w:t>DTF</w:t>
            </w:r>
          </w:p>
        </w:tc>
        <w:tc>
          <w:tcPr>
            <w:tcW w:w="8756" w:type="dxa"/>
          </w:tcPr>
          <w:p w:rsidR="00FC2FC7" w:rsidRDefault="00FC2FC7" w:rsidP="001D60C1">
            <w:pPr>
              <w:pStyle w:val="DPCtabletext"/>
              <w:cnfStyle w:val="000000100000" w:firstRow="0" w:lastRow="0" w:firstColumn="0" w:lastColumn="0" w:oddVBand="0" w:evenVBand="0" w:oddHBand="1" w:evenHBand="0" w:firstRowFirstColumn="0" w:firstRowLastColumn="0" w:lastRowFirstColumn="0" w:lastRowLastColumn="0"/>
            </w:pPr>
            <w:r>
              <w:t>The Department of Treasury and Finance</w:t>
            </w:r>
          </w:p>
          <w:p w:rsidR="00FC2FC7" w:rsidRDefault="00FC2FC7" w:rsidP="001D60C1">
            <w:pPr>
              <w:pStyle w:val="DPCtabletext"/>
              <w:cnfStyle w:val="000000100000" w:firstRow="0" w:lastRow="0" w:firstColumn="0" w:lastColumn="0" w:oddVBand="0" w:evenVBand="0" w:oddHBand="1" w:evenHBand="0" w:firstRowFirstColumn="0" w:firstRowLastColumn="0" w:lastRowFirstColumn="0" w:lastRowLastColumn="0"/>
            </w:pPr>
            <w:r>
              <w:t xml:space="preserve">DTF oversees all projects classified as ‘high value’ or ‘high risk’ through budget process. </w:t>
            </w:r>
          </w:p>
        </w:tc>
      </w:tr>
    </w:tbl>
    <w:p w:rsidR="00502D66" w:rsidRPr="00C80D0F" w:rsidRDefault="00502D66" w:rsidP="006D0511">
      <w:pPr>
        <w:pStyle w:val="DPCbody"/>
      </w:pPr>
    </w:p>
    <w:p w:rsidR="0047678D" w:rsidRDefault="00017F17" w:rsidP="006D0511">
      <w:pPr>
        <w:pStyle w:val="Heading1"/>
      </w:pPr>
      <w:bookmarkStart w:id="18" w:name="_Toc524623262"/>
      <w:r>
        <w:lastRenderedPageBreak/>
        <w:t>ICT p</w:t>
      </w:r>
      <w:r w:rsidR="00CE7F8E">
        <w:t xml:space="preserve">roject </w:t>
      </w:r>
      <w:r>
        <w:t>q</w:t>
      </w:r>
      <w:r w:rsidR="003E5CD4">
        <w:t xml:space="preserve">uality assurance (QA) </w:t>
      </w:r>
      <w:bookmarkStart w:id="19" w:name="_GoBack"/>
      <w:bookmarkEnd w:id="18"/>
      <w:r w:rsidR="00B24E08">
        <w:t>requirements</w:t>
      </w:r>
    </w:p>
    <w:bookmarkEnd w:id="19"/>
    <w:p w:rsidR="0047678D" w:rsidRDefault="0047678D" w:rsidP="0047678D">
      <w:pPr>
        <w:pStyle w:val="DPCbody"/>
      </w:pPr>
      <w:r>
        <w:t xml:space="preserve">The QA </w:t>
      </w:r>
      <w:r w:rsidR="00B24E08">
        <w:t>requirements</w:t>
      </w:r>
      <w:r>
        <w:t xml:space="preserve"> should augment existing project management functions and assist in defining the scope of key milestones and deliverables based on formal QA report.  </w:t>
      </w:r>
      <w:r w:rsidR="00121195">
        <w:t>T</w:t>
      </w:r>
      <w:r w:rsidR="00121195" w:rsidRPr="00121195">
        <w:t>hroughout project implementation</w:t>
      </w:r>
      <w:r w:rsidR="00121195">
        <w:t>, th</w:t>
      </w:r>
      <w:r>
        <w:t xml:space="preserve">is process should provide </w:t>
      </w:r>
      <w:r w:rsidR="00121195">
        <w:t xml:space="preserve">rigorous oversight and timely </w:t>
      </w:r>
      <w:r>
        <w:t>a</w:t>
      </w:r>
      <w:r w:rsidR="00121195">
        <w:t>dvice to the project sponsor and project control board</w:t>
      </w:r>
      <w:r>
        <w:t xml:space="preserve"> where appropriate.</w:t>
      </w:r>
      <w:r w:rsidR="00121195">
        <w:t xml:space="preserve"> </w:t>
      </w:r>
    </w:p>
    <w:p w:rsidR="00655DF8" w:rsidRDefault="00655DF8" w:rsidP="00655DF8">
      <w:pPr>
        <w:pStyle w:val="Heading3"/>
      </w:pPr>
      <w:bookmarkStart w:id="20" w:name="_Toc524623263"/>
      <w:r w:rsidRPr="00655DF8">
        <w:t>I</w:t>
      </w:r>
      <w:r>
        <w:t xml:space="preserve">s my ICT project subject to </w:t>
      </w:r>
      <w:r w:rsidR="00494F7A">
        <w:t xml:space="preserve">the whole-of-Victorian Government (WoVG) </w:t>
      </w:r>
      <w:r>
        <w:t xml:space="preserve">ICT project assurance </w:t>
      </w:r>
      <w:r w:rsidRPr="00655DF8">
        <w:t>requirement?</w:t>
      </w:r>
      <w:bookmarkEnd w:id="20"/>
    </w:p>
    <w:p w:rsidR="0047678D" w:rsidRDefault="00494F7A" w:rsidP="0047678D">
      <w:pPr>
        <w:pStyle w:val="DPCbody"/>
      </w:pPr>
      <w:r>
        <w:t>The following figure provides the steps to check if your ICT project is in scope:</w:t>
      </w:r>
    </w:p>
    <w:p w:rsidR="0080221B" w:rsidRDefault="00FA7DFE" w:rsidP="0047678D">
      <w:pPr>
        <w:pStyle w:val="DPCbody"/>
      </w:pPr>
      <w:r>
        <w:rPr>
          <w:noProof/>
        </w:rPr>
        <w:drawing>
          <wp:inline distT="0" distB="0" distL="0" distR="0" wp14:anchorId="63CEABD1">
            <wp:extent cx="6359525" cy="59309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70840" cy="5941452"/>
                    </a:xfrm>
                    <a:prstGeom prst="rect">
                      <a:avLst/>
                    </a:prstGeom>
                    <a:noFill/>
                  </pic:spPr>
                </pic:pic>
              </a:graphicData>
            </a:graphic>
          </wp:inline>
        </w:drawing>
      </w:r>
    </w:p>
    <w:p w:rsidR="00344FDD" w:rsidRDefault="004D0274" w:rsidP="004D0274">
      <w:pPr>
        <w:pStyle w:val="Heading3"/>
      </w:pPr>
      <w:bookmarkStart w:id="21" w:name="_Toc524623264"/>
      <w:r>
        <w:lastRenderedPageBreak/>
        <w:t>What are</w:t>
      </w:r>
      <w:r w:rsidR="0093149D">
        <w:t xml:space="preserve"> the minimum requirements for quality assurance</w:t>
      </w:r>
      <w:r>
        <w:t>?</w:t>
      </w:r>
      <w:bookmarkEnd w:id="21"/>
    </w:p>
    <w:p w:rsidR="00CF1E45" w:rsidRDefault="00CF1E45" w:rsidP="00CF1E45">
      <w:pPr>
        <w:pStyle w:val="DPCbody"/>
      </w:pPr>
      <w:r w:rsidRPr="00DF3F03">
        <w:t xml:space="preserve">The </w:t>
      </w:r>
      <w:r>
        <w:t xml:space="preserve">project owner should </w:t>
      </w:r>
      <w:r w:rsidRPr="00DF3F03">
        <w:t xml:space="preserve">ensure that an independent </w:t>
      </w:r>
      <w:r w:rsidR="0093149D">
        <w:t>QA</w:t>
      </w:r>
      <w:r>
        <w:t xml:space="preserve"> </w:t>
      </w:r>
      <w:r w:rsidRPr="00DF3F03">
        <w:t>advisor</w:t>
      </w:r>
      <w:r>
        <w:t>,</w:t>
      </w:r>
      <w:r w:rsidRPr="00DF3F03">
        <w:t xml:space="preserve"> with relevant experience and capability, is engaged on a continuous basis to identify and act early on project issues and to </w:t>
      </w:r>
      <w:r>
        <w:t>provide advice on how to address</w:t>
      </w:r>
      <w:r w:rsidRPr="00DF3F03">
        <w:t xml:space="preserve"> risks. The QA role is there to monitor project </w:t>
      </w:r>
      <w:r w:rsidRPr="008821FA">
        <w:t>delivery actively and interject with recommendations to address elements of concern.</w:t>
      </w:r>
    </w:p>
    <w:p w:rsidR="0093149D" w:rsidRDefault="0093149D" w:rsidP="00CF1E45">
      <w:pPr>
        <w:pStyle w:val="DPCbody"/>
      </w:pPr>
      <w:r>
        <w:t>The QA process should be:</w:t>
      </w:r>
    </w:p>
    <w:p w:rsidR="0093149D" w:rsidRPr="00E754B8" w:rsidRDefault="0093149D" w:rsidP="00E754B8">
      <w:pPr>
        <w:pStyle w:val="DPCbullet1"/>
      </w:pPr>
      <w:r w:rsidRPr="00E754B8">
        <w:t>independent</w:t>
      </w:r>
      <w:r w:rsidR="00E754B8">
        <w:t xml:space="preserve"> and impartial</w:t>
      </w:r>
      <w:r w:rsidRPr="00E754B8">
        <w:t xml:space="preserve"> from project managemen</w:t>
      </w:r>
      <w:r w:rsidR="00E754B8">
        <w:t>t</w:t>
      </w:r>
      <w:r w:rsidR="004A7A79" w:rsidRPr="00E754B8">
        <w:t xml:space="preserve"> </w:t>
      </w:r>
    </w:p>
    <w:p w:rsidR="0093149D" w:rsidRPr="00E754B8" w:rsidRDefault="0093149D" w:rsidP="00E754B8">
      <w:pPr>
        <w:pStyle w:val="DPCbullet1"/>
      </w:pPr>
      <w:r w:rsidRPr="00E754B8">
        <w:t>fit for purpose</w:t>
      </w:r>
    </w:p>
    <w:p w:rsidR="004A7A79" w:rsidRPr="00E754B8" w:rsidRDefault="004A7A79" w:rsidP="00E754B8">
      <w:pPr>
        <w:pStyle w:val="DPCbullet1"/>
      </w:pPr>
      <w:r w:rsidRPr="00E754B8">
        <w:t>rely</w:t>
      </w:r>
      <w:r w:rsidR="0093149D" w:rsidRPr="00E754B8">
        <w:t>ing</w:t>
      </w:r>
      <w:r w:rsidRPr="00E754B8">
        <w:t xml:space="preserve"> on project documentation and key deliverables to c</w:t>
      </w:r>
      <w:r w:rsidR="00302A20" w:rsidRPr="00E754B8">
        <w:t xml:space="preserve">heck </w:t>
      </w:r>
      <w:r w:rsidRPr="00E754B8">
        <w:t xml:space="preserve">the health of the project and recommend specific deep dive reviews at key gates or milestones where appropriate.  </w:t>
      </w:r>
    </w:p>
    <w:p w:rsidR="00CF1E45" w:rsidRDefault="004A7A79" w:rsidP="00CF1E45">
      <w:pPr>
        <w:pStyle w:val="DPCbody"/>
      </w:pPr>
      <w:r>
        <w:t xml:space="preserve">At the beginning of the project and at each major milestone, the minimum QA </w:t>
      </w:r>
      <w:r w:rsidR="00CF1E45">
        <w:t>requirement</w:t>
      </w:r>
      <w:r w:rsidR="0093149D">
        <w:t xml:space="preserve">s </w:t>
      </w:r>
      <w:r w:rsidR="00CF1E45">
        <w:t>should include:</w:t>
      </w:r>
    </w:p>
    <w:p w:rsidR="004A7A79" w:rsidRDefault="004A7A79" w:rsidP="004A7A79">
      <w:pPr>
        <w:pStyle w:val="DPCbullet1"/>
      </w:pPr>
      <w:r w:rsidRPr="000A6EF7">
        <w:rPr>
          <w:b/>
        </w:rPr>
        <w:t>Governance</w:t>
      </w:r>
      <w:r>
        <w:t xml:space="preserve"> - Continuity and capability of individual members within the PCB to receive, digest and act upon ti</w:t>
      </w:r>
      <w:r w:rsidR="000A6EF7">
        <w:t>mely accurate project reporting</w:t>
      </w:r>
    </w:p>
    <w:p w:rsidR="004A7A79" w:rsidRDefault="004A7A79" w:rsidP="004A7A79">
      <w:pPr>
        <w:pStyle w:val="DPCbullet1"/>
      </w:pPr>
      <w:r w:rsidRPr="000A6EF7">
        <w:rPr>
          <w:b/>
        </w:rPr>
        <w:t>Business Case</w:t>
      </w:r>
      <w:r>
        <w:t xml:space="preserve"> - Ensuring that the business case is being regularly reviewed by the PCB to en</w:t>
      </w:r>
      <w:r w:rsidR="000A6EF7">
        <w:t>sure benefits remain valid</w:t>
      </w:r>
    </w:p>
    <w:p w:rsidR="004A7A79" w:rsidRDefault="004A7A79" w:rsidP="004A7A79">
      <w:pPr>
        <w:pStyle w:val="DPCbullet1"/>
      </w:pPr>
      <w:r w:rsidRPr="000A6EF7">
        <w:rPr>
          <w:b/>
        </w:rPr>
        <w:t>Project Management</w:t>
      </w:r>
      <w:r>
        <w:t xml:space="preserve"> – Ensuring consistent and effective project manageme</w:t>
      </w:r>
      <w:r w:rsidR="002D1E60">
        <w:t xml:space="preserve">nt </w:t>
      </w:r>
      <w:r>
        <w:t>– encouraging continuity and</w:t>
      </w:r>
      <w:r w:rsidR="000A6EF7">
        <w:t xml:space="preserve"> management of risks and issues</w:t>
      </w:r>
    </w:p>
    <w:p w:rsidR="004A7A79" w:rsidRDefault="004A7A79" w:rsidP="004A7A79">
      <w:pPr>
        <w:pStyle w:val="DPCbullet1"/>
      </w:pPr>
      <w:r w:rsidRPr="000A6EF7">
        <w:rPr>
          <w:b/>
        </w:rPr>
        <w:t xml:space="preserve">Delivery </w:t>
      </w:r>
      <w:r>
        <w:t>– Ensuring the whole-of-project lifecycle is considered including post implementation;</w:t>
      </w:r>
    </w:p>
    <w:p w:rsidR="000A6EF7" w:rsidRDefault="000A6EF7" w:rsidP="004A7A79">
      <w:pPr>
        <w:pStyle w:val="DPCbullet1"/>
      </w:pPr>
      <w:r>
        <w:rPr>
          <w:b/>
        </w:rPr>
        <w:t xml:space="preserve">Stakeholder management </w:t>
      </w:r>
      <w:r>
        <w:t>– Ensuring key stakeholders are involved throughout project lifecycle with a clear RASCI (responsible, accountable, support, consult and inform) map</w:t>
      </w:r>
    </w:p>
    <w:p w:rsidR="004A7A79" w:rsidRDefault="004A7A79" w:rsidP="004A7A79">
      <w:pPr>
        <w:pStyle w:val="DPCbullet1"/>
      </w:pPr>
      <w:r w:rsidRPr="000A6EF7">
        <w:rPr>
          <w:b/>
        </w:rPr>
        <w:t>Vendor/contract management</w:t>
      </w:r>
      <w:r>
        <w:t xml:space="preserve"> - Focus on vendor/contract management throughout the project lifecycle, not only as major issues emerge; </w:t>
      </w:r>
    </w:p>
    <w:p w:rsidR="004A7A79" w:rsidRDefault="004A7A79" w:rsidP="004A7A79">
      <w:pPr>
        <w:pStyle w:val="DPCbullet1"/>
      </w:pPr>
      <w:r w:rsidRPr="000A6EF7">
        <w:rPr>
          <w:b/>
        </w:rPr>
        <w:t xml:space="preserve">Evidence based best practice </w:t>
      </w:r>
      <w:r>
        <w:t xml:space="preserve">– ensuring the identification of external and internal lessons learned are captured to support the implementation of ICT projects; and </w:t>
      </w:r>
    </w:p>
    <w:p w:rsidR="00083B6A" w:rsidRDefault="004A7A79" w:rsidP="00083B6A">
      <w:pPr>
        <w:pStyle w:val="DPCbullet1"/>
      </w:pPr>
      <w:r w:rsidRPr="001F5C65">
        <w:rPr>
          <w:b/>
        </w:rPr>
        <w:t>Project monitoring</w:t>
      </w:r>
      <w:r>
        <w:t xml:space="preserve"> - Forecasting the end-to-end project delivery effort, cost and timeline, focusing on what it will take to achieve the outcomes/benefits promised.</w:t>
      </w:r>
    </w:p>
    <w:p w:rsidR="00083B6A" w:rsidRDefault="00083B6A" w:rsidP="00083B6A">
      <w:pPr>
        <w:pStyle w:val="Heading3"/>
      </w:pPr>
      <w:bookmarkStart w:id="22" w:name="_Toc524623265"/>
      <w:r>
        <w:t>What information do we provide in our QA attestation to DPC?</w:t>
      </w:r>
      <w:bookmarkEnd w:id="22"/>
    </w:p>
    <w:p w:rsidR="00003CF5" w:rsidRDefault="0002101C" w:rsidP="00083B6A">
      <w:pPr>
        <w:pStyle w:val="DPCbody"/>
      </w:pPr>
      <w:r>
        <w:t xml:space="preserve">All departments and agencies </w:t>
      </w:r>
      <w:r w:rsidR="00813BF5">
        <w:t xml:space="preserve">with in-scope project </w:t>
      </w:r>
      <w:r>
        <w:t xml:space="preserve">will need to </w:t>
      </w:r>
      <w:r w:rsidR="00813BF5">
        <w:t>use the</w:t>
      </w:r>
      <w:r w:rsidR="00E90F49">
        <w:t xml:space="preserve"> </w:t>
      </w:r>
      <w:r w:rsidR="00E33028">
        <w:t>attached</w:t>
      </w:r>
      <w:r w:rsidR="00813BF5">
        <w:t xml:space="preserve"> </w:t>
      </w:r>
      <w:r w:rsidR="00003CF5" w:rsidRPr="00E33028">
        <w:t>attestation form</w:t>
      </w:r>
      <w:r w:rsidR="00003CF5">
        <w:t xml:space="preserve"> </w:t>
      </w:r>
      <w:r w:rsidR="00813BF5">
        <w:t xml:space="preserve">to </w:t>
      </w:r>
      <w:r>
        <w:t xml:space="preserve">provide written </w:t>
      </w:r>
      <w:r w:rsidR="005C116C">
        <w:t>confirmation</w:t>
      </w:r>
      <w:r w:rsidR="00DC79C9">
        <w:t xml:space="preserve"> of the QA function for their specific project</w:t>
      </w:r>
      <w:r w:rsidR="005C116C">
        <w:t>,</w:t>
      </w:r>
      <w:r>
        <w:t xml:space="preserve"> endorsed by project sponsor</w:t>
      </w:r>
      <w:r w:rsidR="00813BF5">
        <w:t>.</w:t>
      </w:r>
    </w:p>
    <w:p w:rsidR="00E33028" w:rsidRDefault="00E33028" w:rsidP="00083B6A">
      <w:pPr>
        <w:pStyle w:val="DPCbody"/>
      </w:pPr>
      <w:r>
        <w:object w:dxaOrig="1533"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1" o:title=""/>
          </v:shape>
          <o:OLEObject Type="Embed" ProgID="Word.Document.12" ShapeID="_x0000_i1025" DrawAspect="Icon" ObjectID="_1655798934" r:id="rId22">
            <o:FieldCodes>\s</o:FieldCodes>
          </o:OLEObject>
        </w:object>
      </w:r>
    </w:p>
    <w:p w:rsidR="00363484" w:rsidRDefault="00363484" w:rsidP="00363484">
      <w:pPr>
        <w:pStyle w:val="Heading3"/>
      </w:pPr>
      <w:r>
        <w:t>Who can I engage to provide QA advice?</w:t>
      </w:r>
    </w:p>
    <w:p w:rsidR="00363484" w:rsidRPr="0002101C" w:rsidRDefault="000B24E5" w:rsidP="00083B6A">
      <w:pPr>
        <w:pStyle w:val="DPCbody"/>
        <w:rPr>
          <w:color w:val="auto"/>
        </w:rPr>
      </w:pPr>
      <w:r>
        <w:rPr>
          <w:color w:val="auto"/>
        </w:rPr>
        <w:t xml:space="preserve">Departments and agencies are responsible for procurement, service evaluation and contract negotiation to ensure the appropriate QA advisor is engaged.  This can include vendors approved on the </w:t>
      </w:r>
      <w:hyperlink r:id="rId23" w:history="1">
        <w:r w:rsidRPr="000B24E5">
          <w:rPr>
            <w:rStyle w:val="Hyperlink"/>
          </w:rPr>
          <w:t>Professional Advisory Services (PAS) Panel</w:t>
        </w:r>
      </w:hyperlink>
      <w:r>
        <w:rPr>
          <w:color w:val="auto"/>
        </w:rPr>
        <w:t xml:space="preserve"> (under Commercial and Financial Advisory Services – Category 5).  If you have further questions, p</w:t>
      </w:r>
      <w:r w:rsidR="00363484">
        <w:rPr>
          <w:color w:val="auto"/>
        </w:rPr>
        <w:t xml:space="preserve">lease contact </w:t>
      </w:r>
      <w:r w:rsidR="00436776">
        <w:rPr>
          <w:color w:val="auto"/>
        </w:rPr>
        <w:t>Digital Strategy and Transformation Branch</w:t>
      </w:r>
      <w:r w:rsidR="00363484">
        <w:rPr>
          <w:color w:val="auto"/>
        </w:rPr>
        <w:t xml:space="preserve"> (</w:t>
      </w:r>
      <w:hyperlink r:id="rId24" w:history="1">
        <w:r w:rsidR="00032650" w:rsidRPr="00BF0E5B">
          <w:rPr>
            <w:rStyle w:val="Hyperlink"/>
          </w:rPr>
          <w:t>digital.transformation@dpc.vic.gov.au</w:t>
        </w:r>
      </w:hyperlink>
      <w:r w:rsidR="00032650">
        <w:t>)</w:t>
      </w:r>
      <w:r>
        <w:rPr>
          <w:color w:val="auto"/>
        </w:rPr>
        <w:t>.</w:t>
      </w:r>
      <w:r w:rsidR="00363484">
        <w:rPr>
          <w:color w:val="auto"/>
        </w:rPr>
        <w:t xml:space="preserve"> </w:t>
      </w:r>
    </w:p>
    <w:p w:rsidR="00BD39CF" w:rsidRDefault="00A46FD9" w:rsidP="006D0511">
      <w:pPr>
        <w:pStyle w:val="Heading1"/>
      </w:pPr>
      <w:bookmarkStart w:id="23" w:name="_Toc524623266"/>
      <w:r>
        <w:lastRenderedPageBreak/>
        <w:t>Resources and references</w:t>
      </w:r>
      <w:bookmarkEnd w:id="23"/>
    </w:p>
    <w:p w:rsidR="008C4E35" w:rsidRPr="00CF1E45" w:rsidRDefault="008C4E35" w:rsidP="00CF1E45">
      <w:pPr>
        <w:pStyle w:val="DPCbody"/>
        <w:rPr>
          <w:b/>
        </w:rPr>
      </w:pPr>
      <w:r w:rsidRPr="00CF1E45">
        <w:rPr>
          <w:b/>
        </w:rPr>
        <w:t>Project Profile Model</w:t>
      </w:r>
    </w:p>
    <w:p w:rsidR="00BF0F1D" w:rsidRDefault="00BF0F1D" w:rsidP="00BF0F1D">
      <w:pPr>
        <w:pStyle w:val="DPCbody"/>
      </w:pPr>
      <w:r>
        <w:t>To determine if your project is ‘High Value High Risk’, the p</w:t>
      </w:r>
      <w:r w:rsidR="008C4E35">
        <w:t xml:space="preserve">roject can be assessed using the </w:t>
      </w:r>
      <w:r>
        <w:t xml:space="preserve">DTF </w:t>
      </w:r>
      <w:r w:rsidR="008C4E35">
        <w:t>Gateway project profile model form</w:t>
      </w:r>
      <w:r>
        <w:t>, which can be found</w:t>
      </w:r>
      <w:r w:rsidR="008C4E35">
        <w:t xml:space="preserve"> at:</w:t>
      </w:r>
      <w:r>
        <w:t xml:space="preserve"> </w:t>
      </w:r>
      <w:hyperlink r:id="rId25" w:history="1">
        <w:r w:rsidRPr="00663D62">
          <w:rPr>
            <w:rStyle w:val="Hyperlink"/>
          </w:rPr>
          <w:t>https://www.dtf.vic.gov.au/gateway-review-process/book-gateway-review</w:t>
        </w:r>
      </w:hyperlink>
      <w:r>
        <w:t>.</w:t>
      </w:r>
    </w:p>
    <w:p w:rsidR="008C4E35" w:rsidRDefault="008C4E35" w:rsidP="008C4E35">
      <w:pPr>
        <w:pStyle w:val="DPCbody"/>
        <w:rPr>
          <w:b/>
        </w:rPr>
      </w:pPr>
      <w:r w:rsidRPr="008C4E35">
        <w:rPr>
          <w:b/>
        </w:rPr>
        <w:t>Investment lifecycle</w:t>
      </w:r>
      <w:r w:rsidR="00BF0F1D">
        <w:rPr>
          <w:b/>
        </w:rPr>
        <w:t xml:space="preserve"> Guidelines</w:t>
      </w:r>
    </w:p>
    <w:p w:rsidR="00DE4CC1" w:rsidRPr="00BF0F1D" w:rsidRDefault="00BF0F1D" w:rsidP="00BF0F1D">
      <w:pPr>
        <w:pStyle w:val="DPCbody"/>
      </w:pPr>
      <w:r w:rsidRPr="00BF0F1D">
        <w:t>These guidelines provide practical assistance to anyone developing investment projects in Victoria. They help shape proposals, inform investment decisions, monitor project delivery and track the benefits of investments.</w:t>
      </w:r>
      <w:r w:rsidR="00DE4CC1">
        <w:t xml:space="preserve"> </w:t>
      </w:r>
    </w:p>
    <w:p w:rsidR="00BF0F1D" w:rsidRDefault="005E7AA9" w:rsidP="008C4E35">
      <w:pPr>
        <w:pStyle w:val="DPCbody"/>
      </w:pPr>
      <w:hyperlink r:id="rId26" w:history="1">
        <w:r w:rsidR="00BF0F1D" w:rsidRPr="00663D62">
          <w:rPr>
            <w:rStyle w:val="Hyperlink"/>
          </w:rPr>
          <w:t>https://www.dtf.vic.gov.au/infrastructure-investment/investment-lifecycle-and-high-value-high-risk-guidelines</w:t>
        </w:r>
      </w:hyperlink>
    </w:p>
    <w:p w:rsidR="008C4E35" w:rsidRPr="00BF0F1D" w:rsidRDefault="008C4E35" w:rsidP="00BF0F1D">
      <w:pPr>
        <w:pStyle w:val="DPCbody"/>
        <w:rPr>
          <w:b/>
        </w:rPr>
      </w:pPr>
      <w:r w:rsidRPr="00BF0F1D">
        <w:rPr>
          <w:b/>
        </w:rPr>
        <w:t>Investment Management S</w:t>
      </w:r>
      <w:r w:rsidR="00BF0F1D" w:rsidRPr="00BF0F1D">
        <w:rPr>
          <w:b/>
        </w:rPr>
        <w:t>tandard practice and principles</w:t>
      </w:r>
    </w:p>
    <w:p w:rsidR="00BF0F1D" w:rsidRDefault="00BF0F1D" w:rsidP="008C4E35">
      <w:pPr>
        <w:pStyle w:val="DPCbody"/>
      </w:pPr>
      <w:r w:rsidRPr="00BF0F1D">
        <w:t>The investment management standard (IMS) is a process for applying simple, common-sense ideas and practices that help organisations to direct their resources and achieve the best outcomes from their investments.</w:t>
      </w:r>
    </w:p>
    <w:p w:rsidR="00CF1E45" w:rsidRPr="008C4E35" w:rsidRDefault="005E7AA9" w:rsidP="008C4E35">
      <w:pPr>
        <w:pStyle w:val="DPCbody"/>
      </w:pPr>
      <w:hyperlink r:id="rId27" w:history="1">
        <w:r w:rsidR="00BF0F1D" w:rsidRPr="00663D62">
          <w:rPr>
            <w:rStyle w:val="Hyperlink"/>
          </w:rPr>
          <w:t>https://www.dtf.vic.gov.au/infrastructure-investment/investment-management-standard</w:t>
        </w:r>
      </w:hyperlink>
      <w:r w:rsidR="00BF0F1D">
        <w:t xml:space="preserve"> </w:t>
      </w:r>
    </w:p>
    <w:p w:rsidR="00C70525" w:rsidRDefault="00C70525" w:rsidP="00A46FD9">
      <w:pPr>
        <w:pStyle w:val="DPCbody"/>
        <w:rPr>
          <w:b/>
        </w:rPr>
      </w:pPr>
      <w:r>
        <w:rPr>
          <w:b/>
        </w:rPr>
        <w:t>High Value High Risk (HVHR) Framework</w:t>
      </w:r>
    </w:p>
    <w:p w:rsidR="00C70525" w:rsidRDefault="00DE4CC1">
      <w:pPr>
        <w:pStyle w:val="DPCbody"/>
      </w:pPr>
      <w:r>
        <w:t>Government i</w:t>
      </w:r>
      <w:r w:rsidR="00C70525" w:rsidRPr="006D0511">
        <w:t>nfrastructure and ICT projects identified as high value or high risk are subject to more rigorous scrutiny and approval processes.</w:t>
      </w:r>
      <w:r w:rsidR="00C70525">
        <w:t xml:space="preserve"> </w:t>
      </w:r>
      <w:r w:rsidR="00C70525" w:rsidRPr="006D0511">
        <w:t>The HVHR Framework comprises a series of project assurance checks and processes to increase the likelihood that th</w:t>
      </w:r>
      <w:r w:rsidR="006E46BD">
        <w:t xml:space="preserve">ese projects </w:t>
      </w:r>
      <w:r w:rsidR="00C70525" w:rsidRPr="006D0511">
        <w:t>will achieve their stated benefits and be delivered successfully, on time and to budget.</w:t>
      </w:r>
      <w:r>
        <w:t xml:space="preserve">  </w:t>
      </w:r>
    </w:p>
    <w:p w:rsidR="00DE4CC1" w:rsidRPr="006D0511" w:rsidRDefault="005E7AA9">
      <w:pPr>
        <w:pStyle w:val="DPCbody"/>
      </w:pPr>
      <w:hyperlink r:id="rId28" w:history="1">
        <w:r w:rsidR="00DE4CC1" w:rsidRPr="00E5388B">
          <w:rPr>
            <w:rStyle w:val="Hyperlink"/>
          </w:rPr>
          <w:t>https://www.dtf.vic.gov.au/infrastructure-investment/high-value-high-risk-framework</w:t>
        </w:r>
      </w:hyperlink>
      <w:r w:rsidR="00DE4CC1">
        <w:t xml:space="preserve"> </w:t>
      </w:r>
    </w:p>
    <w:p w:rsidR="005871B3" w:rsidRPr="005871B3" w:rsidRDefault="005871B3" w:rsidP="00A46FD9">
      <w:pPr>
        <w:pStyle w:val="DPCbody"/>
        <w:rPr>
          <w:b/>
        </w:rPr>
      </w:pPr>
      <w:r w:rsidRPr="005871B3">
        <w:rPr>
          <w:b/>
        </w:rPr>
        <w:t>Project Governance Executive Program</w:t>
      </w:r>
    </w:p>
    <w:p w:rsidR="00CF1E45" w:rsidRDefault="00CF1E45" w:rsidP="003B28AF">
      <w:pPr>
        <w:pStyle w:val="DPCbody"/>
      </w:pPr>
      <w:r w:rsidRPr="00CF1E45">
        <w:t>This program is designed for senior executives</w:t>
      </w:r>
      <w:r>
        <w:t>,</w:t>
      </w:r>
      <w:r w:rsidRPr="00CF1E45">
        <w:t xml:space="preserve"> who are existing or potential Project Control Board members, to help them build solid understanding of the governance, risk and benefit management of an ICT-enabled project in </w:t>
      </w:r>
      <w:r>
        <w:t>public sector</w:t>
      </w:r>
      <w:r w:rsidRPr="00CF1E45">
        <w:t>.  </w:t>
      </w:r>
      <w:hyperlink r:id="rId29" w:history="1">
        <w:r w:rsidR="00032650" w:rsidRPr="00BF0E5B">
          <w:rPr>
            <w:rStyle w:val="Hyperlink"/>
          </w:rPr>
          <w:t>https://www.vic.gov.au/digital-capability-uplift</w:t>
        </w:r>
      </w:hyperlink>
      <w:r w:rsidR="00032650">
        <w:t xml:space="preserve"> </w:t>
      </w:r>
    </w:p>
    <w:p w:rsidR="001B0D46" w:rsidRPr="00CF1E45" w:rsidRDefault="00CF1E45" w:rsidP="00CF1E45">
      <w:pPr>
        <w:pStyle w:val="DPCbody"/>
        <w:rPr>
          <w:b/>
        </w:rPr>
      </w:pPr>
      <w:r w:rsidRPr="00CF1E45">
        <w:rPr>
          <w:b/>
        </w:rPr>
        <w:t>Victorian Government ICT Dashboard</w:t>
      </w:r>
    </w:p>
    <w:p w:rsidR="00CF1E45" w:rsidRDefault="00CF1E45" w:rsidP="00CF1E45">
      <w:pPr>
        <w:pStyle w:val="DPCbody"/>
        <w:rPr>
          <w:rFonts w:ascii="Arial" w:hAnsi="Arial"/>
          <w:color w:val="333333"/>
          <w:sz w:val="21"/>
          <w:szCs w:val="21"/>
          <w:shd w:val="clear" w:color="auto" w:fill="FFFFFF"/>
        </w:rPr>
      </w:pPr>
      <w:r>
        <w:rPr>
          <w:rFonts w:ascii="Arial" w:hAnsi="Arial"/>
          <w:color w:val="333333"/>
          <w:sz w:val="21"/>
          <w:szCs w:val="21"/>
          <w:shd w:val="clear" w:color="auto" w:fill="FFFFFF"/>
        </w:rPr>
        <w:t>ICT Dashboard provides status reporting of ICT projects of $1 million and above.</w:t>
      </w:r>
    </w:p>
    <w:p w:rsidR="00CF1E45" w:rsidRDefault="005E7AA9" w:rsidP="00CF1E45">
      <w:pPr>
        <w:pStyle w:val="DPCbody"/>
        <w:rPr>
          <w:rFonts w:ascii="Arial" w:hAnsi="Arial"/>
          <w:color w:val="333333"/>
          <w:sz w:val="21"/>
          <w:szCs w:val="21"/>
          <w:shd w:val="clear" w:color="auto" w:fill="FFFFFF"/>
        </w:rPr>
      </w:pPr>
      <w:hyperlink r:id="rId30" w:history="1">
        <w:r w:rsidR="00CF1E45" w:rsidRPr="00663D62">
          <w:rPr>
            <w:rStyle w:val="Hyperlink"/>
            <w:rFonts w:ascii="Arial" w:hAnsi="Arial"/>
            <w:sz w:val="21"/>
            <w:szCs w:val="21"/>
            <w:shd w:val="clear" w:color="auto" w:fill="FFFFFF"/>
          </w:rPr>
          <w:t>https://ictdashboard.enterprisesolutions.vic.gov.au</w:t>
        </w:r>
      </w:hyperlink>
      <w:r w:rsidR="00CF1E45">
        <w:rPr>
          <w:rFonts w:ascii="Arial" w:hAnsi="Arial"/>
          <w:color w:val="333333"/>
          <w:sz w:val="21"/>
          <w:szCs w:val="21"/>
          <w:shd w:val="clear" w:color="auto" w:fill="FFFFFF"/>
        </w:rPr>
        <w:t xml:space="preserve"> </w:t>
      </w:r>
    </w:p>
    <w:p w:rsidR="00CF1E45" w:rsidRPr="00CF1E45" w:rsidRDefault="00CF1E45" w:rsidP="00CF1E45">
      <w:pPr>
        <w:pStyle w:val="DPCbody"/>
        <w:rPr>
          <w:rFonts w:ascii="Arial" w:hAnsi="Arial"/>
          <w:b/>
          <w:color w:val="333333"/>
          <w:sz w:val="21"/>
          <w:szCs w:val="21"/>
          <w:shd w:val="clear" w:color="auto" w:fill="FFFFFF"/>
        </w:rPr>
      </w:pPr>
      <w:r w:rsidRPr="00CF1E45">
        <w:rPr>
          <w:rFonts w:ascii="Arial" w:hAnsi="Arial"/>
          <w:b/>
          <w:color w:val="333333"/>
          <w:sz w:val="21"/>
          <w:szCs w:val="21"/>
          <w:shd w:val="clear" w:color="auto" w:fill="FFFFFF"/>
        </w:rPr>
        <w:t>WoVG ICT Project Management Community of Practice</w:t>
      </w:r>
    </w:p>
    <w:p w:rsidR="00CF1E45" w:rsidRDefault="00CF1E45" w:rsidP="00CF1E45">
      <w:pPr>
        <w:pStyle w:val="DPCbody"/>
      </w:pPr>
      <w:r>
        <w:t>The WoVG ICT Project Management Community of Practice brings together all ICT project managers, subject matter experts (change managers, PMO managers, project coordinators etc.) and other ICT practitioners across Victorian Government departments and agencies.</w:t>
      </w:r>
    </w:p>
    <w:p w:rsidR="00CF1E45" w:rsidRDefault="00CF1E45" w:rsidP="00CF1E45">
      <w:pPr>
        <w:pStyle w:val="DPCbody"/>
      </w:pPr>
      <w:r>
        <w:t>This community of practice supports its members to share knowledge and experience, promote best practice and improve common capabilities and foster collaboration.</w:t>
      </w:r>
    </w:p>
    <w:p w:rsidR="00302A20" w:rsidRDefault="005E7AA9" w:rsidP="00CF1E45">
      <w:pPr>
        <w:pStyle w:val="DPCbody"/>
      </w:pPr>
      <w:hyperlink r:id="rId31" w:history="1">
        <w:r w:rsidR="00CF1E45" w:rsidRPr="00663D62">
          <w:rPr>
            <w:rStyle w:val="Hyperlink"/>
          </w:rPr>
          <w:t>https://innovationnetwork.vic.gov.au/groups/wovg-ict-project-management-community-practice</w:t>
        </w:r>
      </w:hyperlink>
      <w:r w:rsidR="00CF1E45">
        <w:t xml:space="preserve"> </w:t>
      </w:r>
    </w:p>
    <w:p w:rsidR="00302A20" w:rsidRDefault="00302A20" w:rsidP="006D0511">
      <w:pPr>
        <w:pStyle w:val="Heading1"/>
      </w:pPr>
      <w:bookmarkStart w:id="24" w:name="_Toc524623267"/>
      <w:r>
        <w:lastRenderedPageBreak/>
        <w:t>Further information</w:t>
      </w:r>
      <w:bookmarkEnd w:id="24"/>
    </w:p>
    <w:p w:rsidR="00672911" w:rsidRDefault="00302A20" w:rsidP="00CF1E45">
      <w:pPr>
        <w:pStyle w:val="DPCbody"/>
        <w:rPr>
          <w:rStyle w:val="Hyperlink"/>
        </w:rPr>
      </w:pPr>
      <w:r>
        <w:t xml:space="preserve">Please email </w:t>
      </w:r>
      <w:r w:rsidR="00436776">
        <w:t>Digital Strategy and Transformation Branch</w:t>
      </w:r>
      <w:r>
        <w:t xml:space="preserve"> in the Department of Premier and Cabinet at </w:t>
      </w:r>
      <w:hyperlink r:id="rId32" w:history="1">
        <w:r w:rsidR="00436776" w:rsidRPr="00BF0E5B">
          <w:rPr>
            <w:rStyle w:val="Hyperlink"/>
          </w:rPr>
          <w:t>digital.transformation@dpc.vic.gov.au</w:t>
        </w:r>
      </w:hyperlink>
      <w:r w:rsidR="00436776">
        <w:t>.</w:t>
      </w:r>
      <w:r w:rsidR="00436776">
        <w:rPr>
          <w:rStyle w:val="Hyperlink"/>
        </w:rPr>
        <w:t xml:space="preserve"> </w:t>
      </w:r>
    </w:p>
    <w:p w:rsidR="00832A16" w:rsidRDefault="00832A16" w:rsidP="00CF1E45">
      <w:pPr>
        <w:pStyle w:val="DPCbody"/>
        <w:rPr>
          <w:rStyle w:val="Hyperlink"/>
        </w:rPr>
      </w:pPr>
    </w:p>
    <w:p w:rsidR="00672911" w:rsidRPr="00453537" w:rsidRDefault="00672911">
      <w:pPr>
        <w:pStyle w:val="Heading1"/>
      </w:pPr>
      <w:bookmarkStart w:id="25" w:name="_Toc470166083"/>
      <w:bookmarkStart w:id="26" w:name="_Toc524623268"/>
      <w:r w:rsidRPr="00453537">
        <w:t>Document control</w:t>
      </w:r>
      <w:bookmarkEnd w:id="25"/>
      <w:bookmarkEnd w:id="26"/>
    </w:p>
    <w:p w:rsidR="00672911" w:rsidRPr="00453537" w:rsidRDefault="00672911" w:rsidP="00672911">
      <w:pPr>
        <w:pStyle w:val="Heading3"/>
      </w:pPr>
      <w:bookmarkStart w:id="27" w:name="_Toc524623269"/>
      <w:r w:rsidRPr="00453537">
        <w:t>Version history</w:t>
      </w:r>
      <w:bookmarkEnd w:id="27"/>
    </w:p>
    <w:tbl>
      <w:tblPr>
        <w:tblStyle w:val="TableGrid"/>
        <w:tblW w:w="4915" w:type="pct"/>
        <w:tblLook w:val="04A0" w:firstRow="1" w:lastRow="0" w:firstColumn="1" w:lastColumn="0" w:noHBand="0" w:noVBand="1"/>
      </w:tblPr>
      <w:tblGrid>
        <w:gridCol w:w="1653"/>
        <w:gridCol w:w="1468"/>
        <w:gridCol w:w="6565"/>
      </w:tblGrid>
      <w:tr w:rsidR="00672911" w:rsidRPr="00453537" w:rsidTr="00984555">
        <w:tc>
          <w:tcPr>
            <w:tcW w:w="853" w:type="pct"/>
          </w:tcPr>
          <w:p w:rsidR="00672911" w:rsidRPr="00453537" w:rsidRDefault="00672911" w:rsidP="00984555">
            <w:pPr>
              <w:pStyle w:val="DPCbody"/>
            </w:pPr>
            <w:r w:rsidRPr="00453537">
              <w:t>Version</w:t>
            </w:r>
          </w:p>
        </w:tc>
        <w:tc>
          <w:tcPr>
            <w:tcW w:w="758" w:type="pct"/>
          </w:tcPr>
          <w:p w:rsidR="00672911" w:rsidRPr="00453537" w:rsidRDefault="00672911" w:rsidP="00984555">
            <w:pPr>
              <w:pStyle w:val="DPCbody"/>
            </w:pPr>
            <w:r w:rsidRPr="00453537">
              <w:t>Date</w:t>
            </w:r>
          </w:p>
        </w:tc>
        <w:tc>
          <w:tcPr>
            <w:tcW w:w="3389" w:type="pct"/>
          </w:tcPr>
          <w:p w:rsidR="00672911" w:rsidRPr="00453537" w:rsidRDefault="00672911" w:rsidP="00984555">
            <w:pPr>
              <w:pStyle w:val="DPCbody"/>
            </w:pPr>
            <w:r w:rsidRPr="00453537">
              <w:t>Comments</w:t>
            </w:r>
          </w:p>
        </w:tc>
      </w:tr>
      <w:tr w:rsidR="00672911" w:rsidRPr="00453537" w:rsidTr="00984555">
        <w:tc>
          <w:tcPr>
            <w:tcW w:w="853" w:type="pct"/>
          </w:tcPr>
          <w:p w:rsidR="00672911" w:rsidRPr="00453537" w:rsidRDefault="00672911" w:rsidP="00984555">
            <w:pPr>
              <w:pStyle w:val="DPCbody"/>
            </w:pPr>
            <w:r>
              <w:t>0.1</w:t>
            </w:r>
          </w:p>
        </w:tc>
        <w:tc>
          <w:tcPr>
            <w:tcW w:w="758" w:type="pct"/>
          </w:tcPr>
          <w:p w:rsidR="00672911" w:rsidRPr="00453537" w:rsidRDefault="00832A16" w:rsidP="00984555">
            <w:pPr>
              <w:pStyle w:val="DPCbody"/>
            </w:pPr>
            <w:r>
              <w:t>10/09</w:t>
            </w:r>
            <w:r w:rsidR="00672911">
              <w:t>/201</w:t>
            </w:r>
            <w:r>
              <w:t>8</w:t>
            </w:r>
          </w:p>
        </w:tc>
        <w:tc>
          <w:tcPr>
            <w:tcW w:w="3389" w:type="pct"/>
          </w:tcPr>
          <w:p w:rsidR="00672911" w:rsidRPr="00453537" w:rsidRDefault="00672911" w:rsidP="00984555">
            <w:pPr>
              <w:pStyle w:val="DPCbody"/>
            </w:pPr>
            <w:r>
              <w:t>Draft for review</w:t>
            </w:r>
          </w:p>
        </w:tc>
      </w:tr>
      <w:tr w:rsidR="00672911" w:rsidRPr="00453537" w:rsidTr="00984555">
        <w:tc>
          <w:tcPr>
            <w:tcW w:w="853" w:type="pct"/>
          </w:tcPr>
          <w:p w:rsidR="00672911" w:rsidRDefault="00672911" w:rsidP="00984555">
            <w:pPr>
              <w:pStyle w:val="DPCbody"/>
            </w:pPr>
            <w:r>
              <w:t>1.0</w:t>
            </w:r>
          </w:p>
        </w:tc>
        <w:tc>
          <w:tcPr>
            <w:tcW w:w="758" w:type="pct"/>
          </w:tcPr>
          <w:p w:rsidR="00672911" w:rsidRDefault="000F2C99" w:rsidP="00984555">
            <w:pPr>
              <w:pStyle w:val="DPCbody"/>
            </w:pPr>
            <w:r>
              <w:t>21</w:t>
            </w:r>
            <w:r w:rsidR="0066018E">
              <w:t>/12/2018</w:t>
            </w:r>
          </w:p>
        </w:tc>
        <w:tc>
          <w:tcPr>
            <w:tcW w:w="3389" w:type="pct"/>
          </w:tcPr>
          <w:p w:rsidR="00672911" w:rsidRDefault="00672911" w:rsidP="00984555">
            <w:pPr>
              <w:pStyle w:val="DPCbody"/>
            </w:pPr>
            <w:r>
              <w:t>Final</w:t>
            </w:r>
          </w:p>
        </w:tc>
      </w:tr>
    </w:tbl>
    <w:p w:rsidR="00302A20" w:rsidRDefault="00302A20" w:rsidP="00CF1E45">
      <w:pPr>
        <w:pStyle w:val="DPCbody"/>
      </w:pPr>
      <w:r>
        <w:t xml:space="preserve"> </w:t>
      </w:r>
      <w:bookmarkEnd w:id="13"/>
    </w:p>
    <w:sectPr w:rsidR="00302A20" w:rsidSect="006D0511">
      <w:headerReference w:type="even" r:id="rId33"/>
      <w:headerReference w:type="default" r:id="rId34"/>
      <w:footerReference w:type="even" r:id="rId35"/>
      <w:footerReference w:type="default" r:id="rId36"/>
      <w:headerReference w:type="first" r:id="rId37"/>
      <w:footerReference w:type="first" r:id="rId38"/>
      <w:pgSz w:w="11906" w:h="16838" w:code="9"/>
      <w:pgMar w:top="1418" w:right="1134" w:bottom="851"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AA9" w:rsidRDefault="005E7AA9">
      <w:r>
        <w:separator/>
      </w:r>
    </w:p>
    <w:p w:rsidR="005E7AA9" w:rsidRDefault="005E7AA9"/>
  </w:endnote>
  <w:endnote w:type="continuationSeparator" w:id="0">
    <w:p w:rsidR="005E7AA9" w:rsidRDefault="005E7AA9">
      <w:r>
        <w:continuationSeparator/>
      </w:r>
    </w:p>
    <w:p w:rsidR="005E7AA9" w:rsidRDefault="005E7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62" w:rsidRDefault="006E4CBF">
    <w:pPr>
      <w:pStyle w:val="Footer"/>
      <w:jc w:val="center"/>
      <w:rPr>
        <w:rFonts w:ascii="Arial" w:hAnsi="Arial"/>
        <w:b/>
        <w:color w:val="FF0000"/>
        <w:sz w:val="28"/>
      </w:rPr>
    </w:pPr>
    <w:bookmarkStart w:id="0" w:name="PandNP1FooterEvenPages"/>
    <w:r>
      <w:rPr>
        <w:rFonts w:ascii="Arial" w:hAnsi="Arial"/>
        <w:b/>
        <w:noProof/>
        <w:color w:val="FF0000"/>
        <w:sz w:val="28"/>
      </w:rPr>
      <mc:AlternateContent>
        <mc:Choice Requires="wps">
          <w:drawing>
            <wp:anchor distT="0" distB="0" distL="114300" distR="114300" simplePos="1" relativeHeight="251662336" behindDoc="0" locked="0" layoutInCell="0" allowOverlap="1">
              <wp:simplePos x="0" y="10234930"/>
              <wp:positionH relativeFrom="page">
                <wp:posOffset>0</wp:posOffset>
              </wp:positionH>
              <wp:positionV relativeFrom="page">
                <wp:posOffset>10234930</wp:posOffset>
              </wp:positionV>
              <wp:extent cx="7560310" cy="266700"/>
              <wp:effectExtent l="0" t="0" r="0" b="0"/>
              <wp:wrapNone/>
              <wp:docPr id="8" name="MSIPCM33124f75a7675fa8ba7deaed"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3124f75a7675fa8ba7deaed" o:spid="_x0000_s1026" type="#_x0000_t202" alt="{&quot;HashCode&quot;:-1267603503,&quot;Height&quot;:841.0,&quot;Width&quot;:595.0,&quot;Placement&quot;:&quot;Footer&quot;,&quot;Index&quot;:&quot;OddAndEven&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agGeZiIDAAA7BgAADgAA&#10;AAAAAAAAAAAAAAAuAgAAZHJzL2Uyb0RvYy54bWxQSwECLQAUAAYACAAAACEAYBHGJt4AAAALAQAA&#10;DwAAAAAAAAAAAAAAAAB8BQAAZHJzL2Rvd25yZXYueG1sUEsFBgAAAAAEAAQA8wAAAIcGAAAAAA==&#10;" o:allowincell="f" filled="f" stroked="f" strokeweight=".5pt">
              <v:textbox inset="20pt,0,,0">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v:textbox>
              <w10:wrap anchorx="page" anchory="page"/>
            </v:shape>
          </w:pict>
        </mc:Fallback>
      </mc:AlternateContent>
    </w:r>
    <w:r w:rsidR="00434B62" w:rsidRPr="006D0511">
      <w:rPr>
        <w:rFonts w:ascii="Arial" w:hAnsi="Arial"/>
        <w:b/>
        <w:color w:val="FF0000"/>
        <w:sz w:val="28"/>
      </w:rPr>
      <w:t>For Official Use Only</w:t>
    </w:r>
  </w:p>
  <w:p w:rsidR="00434B62" w:rsidRDefault="00434B62" w:rsidP="006D0511">
    <w:pPr>
      <w:pStyle w:val="Footer"/>
      <w:jc w:val="center"/>
    </w:pPr>
  </w:p>
  <w:p w:rsidR="00243145" w:rsidRDefault="00243145">
    <w:pPr>
      <w:pStyle w:val="Footer"/>
      <w:rPr>
        <w:rFonts w:ascii="Arial" w:hAnsi="Arial"/>
        <w:b/>
        <w:color w:val="3F3F3F"/>
      </w:rPr>
    </w:pPr>
    <w:bookmarkStart w:id="1" w:name="aliashNonProtectiveMarki1FooterEvenPages"/>
    <w:bookmarkEnd w:id="0"/>
    <w:r w:rsidRPr="006D0511">
      <w:rPr>
        <w:rFonts w:ascii="Arial" w:hAnsi="Arial"/>
        <w:b/>
        <w:color w:val="3F3F3F"/>
      </w:rPr>
      <w:t>For Official Use Only</w:t>
    </w:r>
  </w:p>
  <w:p w:rsidR="00243145" w:rsidRDefault="00243145">
    <w:pPr>
      <w:pStyle w:val="Footer"/>
    </w:pPr>
  </w:p>
  <w:bookmarkEnd w:id="1"/>
  <w:p w:rsidR="00062B73" w:rsidRDefault="00062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62" w:rsidRDefault="006E4CBF">
    <w:pPr>
      <w:pStyle w:val="Footer"/>
      <w:jc w:val="center"/>
      <w:rPr>
        <w:rFonts w:ascii="Arial" w:hAnsi="Arial"/>
        <w:b/>
        <w:color w:val="FF0000"/>
        <w:sz w:val="28"/>
      </w:rPr>
    </w:pPr>
    <w:bookmarkStart w:id="2" w:name="PandNP1FooterPrimary"/>
    <w:r>
      <w:rPr>
        <w:rFonts w:ascii="Arial" w:hAnsi="Arial"/>
        <w:b/>
        <w:noProof/>
        <w:color w:val="FF0000"/>
        <w:sz w:val="28"/>
      </w:rPr>
      <mc:AlternateContent>
        <mc:Choice Requires="wps">
          <w:drawing>
            <wp:anchor distT="0" distB="0" distL="114300" distR="114300" simplePos="1" relativeHeight="251654144" behindDoc="0" locked="0" layoutInCell="0" allowOverlap="1">
              <wp:simplePos x="0" y="10234930"/>
              <wp:positionH relativeFrom="page">
                <wp:posOffset>0</wp:posOffset>
              </wp:positionH>
              <wp:positionV relativeFrom="page">
                <wp:posOffset>10234930</wp:posOffset>
              </wp:positionV>
              <wp:extent cx="7560310" cy="266700"/>
              <wp:effectExtent l="0" t="0" r="0" b="0"/>
              <wp:wrapNone/>
              <wp:docPr id="6" name="MSIPCM274641a0b48cb8515af5957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74641a0b48cb8515af5957d" o:spid="_x0000_s1027"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UKKVOB8DAAA/BgAADgAAAAAA&#10;AAAAAAAAAAAuAgAAZHJzL2Uyb0RvYy54bWxQSwECLQAUAAYACAAAACEAYBHGJt4AAAALAQAADwAA&#10;AAAAAAAAAAAAAAB5BQAAZHJzL2Rvd25yZXYueG1sUEsFBgAAAAAEAAQA8wAAAIQGAAAAAA==&#10;" o:allowincell="f" filled="f" stroked="f" strokeweight=".5pt">
              <v:textbox inset="20pt,0,,0">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v:textbox>
              <w10:wrap anchorx="page" anchory="page"/>
            </v:shape>
          </w:pict>
        </mc:Fallback>
      </mc:AlternateContent>
    </w:r>
    <w:r w:rsidR="00434B62" w:rsidRPr="006D0511">
      <w:rPr>
        <w:rFonts w:ascii="Arial" w:hAnsi="Arial"/>
        <w:b/>
        <w:color w:val="FF0000"/>
        <w:sz w:val="28"/>
      </w:rPr>
      <w:t>For Official Use Only</w:t>
    </w:r>
  </w:p>
  <w:p w:rsidR="00434B62" w:rsidRDefault="00434B62" w:rsidP="006D0511">
    <w:pPr>
      <w:pStyle w:val="Footer"/>
      <w:jc w:val="center"/>
    </w:pPr>
  </w:p>
  <w:p w:rsidR="00243145" w:rsidRDefault="00243145">
    <w:pPr>
      <w:pStyle w:val="Footer"/>
      <w:rPr>
        <w:rFonts w:ascii="Arial" w:hAnsi="Arial"/>
        <w:b/>
        <w:color w:val="3F3F3F"/>
      </w:rPr>
    </w:pPr>
    <w:bookmarkStart w:id="3" w:name="aliashNonProtectiveMarking1FooterPrimary"/>
    <w:bookmarkEnd w:id="2"/>
    <w:r w:rsidRPr="006D0511">
      <w:rPr>
        <w:rFonts w:ascii="Arial" w:hAnsi="Arial"/>
        <w:b/>
        <w:color w:val="3F3F3F"/>
      </w:rPr>
      <w:t>For Official Use Only</w:t>
    </w:r>
  </w:p>
  <w:p w:rsidR="00243145" w:rsidRDefault="00243145">
    <w:pPr>
      <w:pStyle w:val="Footer"/>
    </w:pPr>
  </w:p>
  <w:bookmarkEnd w:id="3"/>
  <w:p w:rsidR="00062B73" w:rsidRDefault="00062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62" w:rsidRDefault="006E4CBF" w:rsidP="00434B62">
    <w:pPr>
      <w:pStyle w:val="Footer"/>
      <w:jc w:val="center"/>
      <w:rPr>
        <w:rFonts w:ascii="Arial" w:hAnsi="Arial"/>
        <w:b/>
        <w:color w:val="FF0000"/>
        <w:sz w:val="28"/>
      </w:rPr>
    </w:pPr>
    <w:bookmarkStart w:id="4" w:name="PandNP1FooterFirstPage"/>
    <w:r>
      <w:rPr>
        <w:rFonts w:ascii="Arial" w:hAnsi="Arial"/>
        <w:b/>
        <w:noProof/>
        <w:color w:val="FF0000"/>
        <w:sz w:val="28"/>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10234930</wp:posOffset>
              </wp:positionV>
              <wp:extent cx="7560310" cy="266700"/>
              <wp:effectExtent l="0" t="0" r="0" b="0"/>
              <wp:wrapNone/>
              <wp:docPr id="7" name="MSIPCM150e44138a0c4af32c530c16"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0e44138a0c4af32c530c16" o:spid="_x0000_s1028"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B995LuHgMAAEEGAAAOAAAAAAAA&#10;AAAAAAAAAC4CAABkcnMvZTJvRG9jLnhtbFBLAQItABQABgAIAAAAIQBgEcYm3gAAAAsBAAAPAAAA&#10;AAAAAAAAAAAAAHgFAABkcnMvZG93bnJldi54bWxQSwUGAAAAAAQABADzAAAAgwYAAAAA&#10;" o:allowincell="f" filled="f" stroked="f" strokeweight=".5pt">
              <v:textbox inset="20pt,0,,0">
                <w:txbxContent>
                  <w:p w:rsidR="006E4CBF" w:rsidRPr="006E4CBF" w:rsidRDefault="006E4CBF" w:rsidP="006E4CBF">
                    <w:pPr>
                      <w:rPr>
                        <w:rFonts w:ascii="Calibri" w:hAnsi="Calibri" w:cs="Calibri"/>
                        <w:color w:val="000000"/>
                        <w:sz w:val="22"/>
                      </w:rPr>
                    </w:pPr>
                    <w:r w:rsidRPr="006E4CBF">
                      <w:rPr>
                        <w:rFonts w:ascii="Calibri" w:hAnsi="Calibri" w:cs="Calibri"/>
                        <w:color w:val="000000"/>
                        <w:sz w:val="22"/>
                      </w:rPr>
                      <w:t>OFFICIAL</w:t>
                    </w:r>
                  </w:p>
                </w:txbxContent>
              </v:textbox>
              <w10:wrap anchorx="page" anchory="page"/>
            </v:shape>
          </w:pict>
        </mc:Fallback>
      </mc:AlternateContent>
    </w:r>
    <w:r w:rsidR="00434B62" w:rsidRPr="006D0511">
      <w:rPr>
        <w:rFonts w:ascii="Arial" w:hAnsi="Arial"/>
        <w:b/>
        <w:color w:val="FF0000"/>
        <w:sz w:val="28"/>
      </w:rPr>
      <w:t>For Official Use Only</w:t>
    </w:r>
  </w:p>
  <w:p w:rsidR="00434B62" w:rsidRDefault="00434B62" w:rsidP="006D0511">
    <w:pPr>
      <w:pStyle w:val="Footer"/>
      <w:jc w:val="center"/>
    </w:pPr>
  </w:p>
  <w:p w:rsidR="00243145" w:rsidRDefault="00243145">
    <w:pPr>
      <w:pStyle w:val="Footer"/>
      <w:rPr>
        <w:rFonts w:ascii="Arial" w:hAnsi="Arial"/>
        <w:b/>
        <w:color w:val="3F3F3F"/>
      </w:rPr>
    </w:pPr>
    <w:bookmarkStart w:id="5" w:name="aliashNonProtectiveMarki1FooterFirstPage"/>
    <w:bookmarkEnd w:id="4"/>
    <w:r w:rsidRPr="006D0511">
      <w:rPr>
        <w:rFonts w:ascii="Arial" w:hAnsi="Arial"/>
        <w:b/>
        <w:color w:val="3F3F3F"/>
      </w:rPr>
      <w:t>For Official Use Only</w:t>
    </w:r>
  </w:p>
  <w:p w:rsidR="00243145" w:rsidRDefault="00243145">
    <w:pPr>
      <w:pStyle w:val="Footer"/>
    </w:pPr>
  </w:p>
  <w:bookmarkEnd w:id="5"/>
  <w:p w:rsidR="00062B73" w:rsidRDefault="00062B73">
    <w:pPr>
      <w:pStyle w:val="Footer"/>
    </w:pPr>
  </w:p>
  <w:p w:rsidR="00434B62" w:rsidRDefault="00434B62" w:rsidP="00434B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1C9" w:rsidRDefault="00032650" w:rsidP="006D0511">
    <w:pPr>
      <w:pStyle w:val="Footer"/>
      <w:tabs>
        <w:tab w:val="clear" w:pos="9299"/>
      </w:tabs>
    </w:pPr>
    <w:r>
      <w:rPr>
        <w:noProof/>
      </w:rPr>
      <mc:AlternateContent>
        <mc:Choice Requires="wps">
          <w:drawing>
            <wp:anchor distT="0" distB="0" distL="114300" distR="114300" simplePos="0" relativeHeight="25166182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4" name="MSIPCMb0264531a8cbd12774e0e9bc" descr="{&quot;HashCode&quot;:-1267603503,&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0264531a8cbd12774e0e9bc" o:spid="_x0000_s1029" type="#_x0000_t202" alt="{&quot;HashCode&quot;:-1267603503,&quot;Height&quot;:841.0,&quot;Width&quot;:595.0,&quot;Placement&quot;:&quot;Footer&quot;,&quot;Index&quot;:&quot;OddAndEven&quot;,&quot;Section&quot;:2,&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J0tN34mAwAAQwYA&#10;AA4AAAAAAAAAAAAAAAAALgIAAGRycy9lMm9Eb2MueG1sUEsBAi0AFAAGAAgAAAAhAGARxibeAAAA&#10;CwEAAA8AAAAAAAAAAAAAAAAAgAUAAGRycy9kb3ducmV2LnhtbFBLBQYAAAAABAAEAPMAAACLBgAA&#10;AAA=&#10;" o:allowincell="f" filled="f" stroked="f" strokeweight=".5pt">
              <v:fill o:detectmouseclick="t"/>
              <v:textbox inset="20pt,0,,0">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v:textbox>
              <w10:wrap anchorx="page" anchory="page"/>
            </v:shape>
          </w:pict>
        </mc:Fallback>
      </mc:AlternateContent>
    </w:r>
    <w:r w:rsidR="00572AE4">
      <w:tab/>
    </w:r>
    <w:r w:rsidR="00C5409F">
      <w:tab/>
    </w:r>
    <w:r w:rsidR="0093149D">
      <w:t>Assurance/STD/01-</w:t>
    </w:r>
    <w:r w:rsidR="0093149D" w:rsidRPr="0093149D">
      <w:t>ICT Project Assurance Framework</w:t>
    </w:r>
    <w:r w:rsidR="00DB6DD1">
      <w:t xml:space="preserve"> V1.0</w:t>
    </w:r>
    <w:r w:rsidR="00DB6DD1">
      <w:tab/>
    </w:r>
    <w:r w:rsidR="00DB6DD1">
      <w:tab/>
    </w:r>
    <w:r w:rsidR="00C5409F">
      <w:tab/>
    </w:r>
    <w:r w:rsidR="00DB6DD1">
      <w:t xml:space="preserve">Page | </w:t>
    </w:r>
    <w:r w:rsidR="00572AE4" w:rsidRPr="0099618E">
      <w:fldChar w:fldCharType="begin"/>
    </w:r>
    <w:r w:rsidR="00572AE4" w:rsidRPr="0099618E">
      <w:instrText xml:space="preserve"> PAGE </w:instrText>
    </w:r>
    <w:r w:rsidR="00572AE4" w:rsidRPr="0099618E">
      <w:fldChar w:fldCharType="separate"/>
    </w:r>
    <w:r w:rsidR="003E0BF2">
      <w:rPr>
        <w:noProof/>
      </w:rPr>
      <w:t>10</w:t>
    </w:r>
    <w:r w:rsidR="00572AE4" w:rsidRPr="0099618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1C9" w:rsidRDefault="00032650" w:rsidP="00C5409F">
    <w:pPr>
      <w:pStyle w:val="Footer"/>
      <w:ind w:firstLine="1440"/>
    </w:pPr>
    <w:r>
      <w:rPr>
        <w:noProof/>
      </w:rPr>
      <mc:AlternateContent>
        <mc:Choice Requires="wps">
          <w:drawing>
            <wp:anchor distT="0" distB="0" distL="114300" distR="114300" simplePos="0" relativeHeight="251659776"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0" name="MSIPCM2a9146fe88d9153dae602eb4"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a9146fe88d9153dae602eb4" o:spid="_x0000_s1030" type="#_x0000_t202" alt="{&quot;HashCode&quot;:-1267603503,&quot;Height&quot;:841.0,&quot;Width&quot;:595.0,&quot;Placement&quot;:&quot;Footer&quot;,&quot;Index&quot;:&quot;Primary&quot;,&quot;Section&quot;:2,&quot;Top&quot;:0.0,&quot;Left&quot;:0.0}" style="position:absolute;left:0;text-align:left;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BLHNmJIQMAAEAGAAAOAAAA&#10;AAAAAAAAAAAAAC4CAABkcnMvZTJvRG9jLnhtbFBLAQItABQABgAIAAAAIQBgEcYm3gAAAAsBAAAP&#10;AAAAAAAAAAAAAAAAAHsFAABkcnMvZG93bnJldi54bWxQSwUGAAAAAAQABADzAAAAhgYAAAAA&#10;" o:allowincell="f" filled="f" stroked="f" strokeweight=".5pt">
              <v:fill o:detectmouseclick="t"/>
              <v:textbox inset="20pt,0,,0">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v:textbox>
              <w10:wrap anchorx="page" anchory="page"/>
            </v:shape>
          </w:pict>
        </mc:Fallback>
      </mc:AlternateContent>
    </w:r>
    <w:r w:rsidR="00DB6DD1">
      <w:t xml:space="preserve"> </w:t>
    </w:r>
    <w:r w:rsidR="0093149D">
      <w:t xml:space="preserve">Assurance/STD/01 - </w:t>
    </w:r>
    <w:r w:rsidR="007B4E17">
      <w:t>ICT Project Assurance Framework</w:t>
    </w:r>
    <w:r w:rsidR="00DB6DD1">
      <w:t xml:space="preserve"> V1.0 </w:t>
    </w:r>
    <w:r w:rsidR="00977C63" w:rsidRPr="00A80D31">
      <w:tab/>
    </w:r>
    <w:r w:rsidR="00DB6DD1">
      <w:t xml:space="preserve">Page | </w:t>
    </w:r>
    <w:r w:rsidR="00DB6DD1">
      <w:fldChar w:fldCharType="begin"/>
    </w:r>
    <w:r w:rsidR="00DB6DD1">
      <w:instrText xml:space="preserve"> PAGE   \* MERGEFORMAT </w:instrText>
    </w:r>
    <w:r w:rsidR="00DB6DD1">
      <w:fldChar w:fldCharType="separate"/>
    </w:r>
    <w:r w:rsidR="00DB6DD1">
      <w:rPr>
        <w:noProof/>
      </w:rPr>
      <w:t>1</w:t>
    </w:r>
    <w:r w:rsidR="00DB6DD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1A7E04" w:rsidRDefault="00032650" w:rsidP="00C5409F">
    <w:pPr>
      <w:pStyle w:val="Footer"/>
      <w:tabs>
        <w:tab w:val="right" w:pos="720"/>
      </w:tabs>
      <w:ind w:left="720" w:firstLine="720"/>
      <w:jc w:val="right"/>
    </w:pPr>
    <w:r>
      <w:rPr>
        <w:noProof/>
      </w:rPr>
      <mc:AlternateContent>
        <mc:Choice Requires="wps">
          <w:drawing>
            <wp:anchor distT="0" distB="0" distL="114300" distR="114300" simplePos="0" relativeHeight="251660800"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3" name="MSIPCM7bd943a7ae6c454c96bafdee" descr="{&quot;HashCode&quot;:-1267603503,&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bd943a7ae6c454c96bafdee" o:spid="_x0000_s1031" type="#_x0000_t202" alt="{&quot;HashCode&quot;:-1267603503,&quot;Height&quot;:841.0,&quot;Width&quot;:595.0,&quot;Placement&quot;:&quot;Footer&quot;,&quot;Index&quot;:&quot;FirstPage&quot;,&quot;Section&quot;:2,&quot;Top&quot;:0.0,&quot;Left&quot;:0.0}" style="position:absolute;left:0;text-align:left;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AMz/hLHgMAAEIGAAAOAAAAAAAA&#10;AAAAAAAAAC4CAABkcnMvZTJvRG9jLnhtbFBLAQItABQABgAIAAAAIQBgEcYm3gAAAAsBAAAPAAAA&#10;AAAAAAAAAAAAAHgFAABkcnMvZG93bnJldi54bWxQSwUGAAAAAAQABADzAAAAgwYAAAAA&#10;" o:allowincell="f" filled="f" stroked="f" strokeweight=".5pt">
              <v:fill o:detectmouseclick="t"/>
              <v:textbox inset="20pt,0,,0">
                <w:txbxContent>
                  <w:p w:rsidR="00032650" w:rsidRPr="00032650" w:rsidRDefault="00032650" w:rsidP="00032650">
                    <w:pPr>
                      <w:rPr>
                        <w:rFonts w:ascii="Calibri" w:hAnsi="Calibri" w:cs="Calibri"/>
                        <w:color w:val="000000"/>
                        <w:sz w:val="22"/>
                      </w:rPr>
                    </w:pPr>
                    <w:r w:rsidRPr="00032650">
                      <w:rPr>
                        <w:rFonts w:ascii="Calibri" w:hAnsi="Calibri" w:cs="Calibri"/>
                        <w:color w:val="000000"/>
                        <w:sz w:val="22"/>
                      </w:rPr>
                      <w:t>OFFICIAL</w:t>
                    </w:r>
                  </w:p>
                </w:txbxContent>
              </v:textbox>
              <w10:wrap anchorx="page" anchory="page"/>
            </v:shape>
          </w:pict>
        </mc:Fallback>
      </mc:AlternateContent>
    </w:r>
    <w:sdt>
      <w:sdtPr>
        <w:id w:val="1944338416"/>
        <w:docPartObj>
          <w:docPartGallery w:val="Page Numbers (Bottom of Page)"/>
          <w:docPartUnique/>
        </w:docPartObj>
      </w:sdtPr>
      <w:sdtEndPr/>
      <w:sdtContent>
        <w:r w:rsidR="00C5409F">
          <w:t>Assurance/STD/01 – ICT Project Assurance Framework V1.0</w:t>
        </w:r>
        <w:r w:rsidR="00C5409F">
          <w:tab/>
        </w:r>
        <w:r w:rsidR="006E4CBF">
          <w:t xml:space="preserve">Page | </w:t>
        </w:r>
        <w:r w:rsidR="006E4CBF">
          <w:fldChar w:fldCharType="begin"/>
        </w:r>
        <w:r w:rsidR="006E4CBF">
          <w:instrText xml:space="preserve"> PAGE   \* MERGEFORMAT </w:instrText>
        </w:r>
        <w:r w:rsidR="006E4CBF">
          <w:fldChar w:fldCharType="separate"/>
        </w:r>
        <w:r w:rsidR="006E4CBF">
          <w:rPr>
            <w:noProof/>
          </w:rPr>
          <w:t>2</w:t>
        </w:r>
        <w:r w:rsidR="006E4CBF">
          <w:rPr>
            <w:noProof/>
          </w:rPr>
          <w:fldChar w:fldCharType="end"/>
        </w:r>
        <w:r w:rsidR="006E4CBF">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AA9" w:rsidRDefault="005E7AA9">
      <w:r>
        <w:separator/>
      </w:r>
    </w:p>
  </w:footnote>
  <w:footnote w:type="continuationSeparator" w:id="0">
    <w:p w:rsidR="005E7AA9" w:rsidRDefault="005E7AA9">
      <w:r>
        <w:continuationSeparator/>
      </w:r>
    </w:p>
    <w:p w:rsidR="005E7AA9" w:rsidRDefault="005E7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50" w:rsidRDefault="00032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50" w:rsidRDefault="00032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62" w:rsidRDefault="00434B62">
    <w:pPr>
      <w:pStyle w:val="Header"/>
    </w:pPr>
  </w:p>
  <w:p w:rsidR="00434B62" w:rsidRDefault="00434B62" w:rsidP="00434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97B" w:rsidRDefault="00EE397B">
    <w:pPr>
      <w:pStyle w:val="Header"/>
    </w:pPr>
    <w:r>
      <w:rPr>
        <w:noProof/>
        <w:lang w:eastAsia="en-AU"/>
      </w:rPr>
      <w:drawing>
        <wp:anchor distT="0" distB="0" distL="114300" distR="114300" simplePos="0" relativeHeight="251656704" behindDoc="0" locked="1" layoutInCell="0" allowOverlap="1" wp14:anchorId="0894426B" wp14:editId="3AC4C46F">
          <wp:simplePos x="0" y="0"/>
          <wp:positionH relativeFrom="page">
            <wp:posOffset>0</wp:posOffset>
          </wp:positionH>
          <wp:positionV relativeFrom="page">
            <wp:posOffset>233680</wp:posOffset>
          </wp:positionV>
          <wp:extent cx="7565390" cy="500380"/>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5390" cy="500380"/>
                  </a:xfrm>
                  <a:prstGeom prst="rect">
                    <a:avLst/>
                  </a:prstGeom>
                </pic:spPr>
              </pic:pic>
            </a:graphicData>
          </a:graphic>
          <wp14:sizeRelH relativeFrom="margin">
            <wp14:pctWidth>0</wp14:pctWidth>
          </wp14:sizeRelH>
          <wp14:sizeRelV relativeFrom="margin">
            <wp14:pctHeight>0</wp14:pctHeight>
          </wp14:sizeRelV>
        </wp:anchor>
      </w:drawing>
    </w:r>
  </w:p>
  <w:p w:rsidR="001971C9" w:rsidRDefault="001971C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97B" w:rsidRDefault="00EE397B">
    <w:pPr>
      <w:pStyle w:val="Header"/>
    </w:pPr>
    <w:r>
      <w:rPr>
        <w:noProof/>
        <w:lang w:eastAsia="en-AU"/>
      </w:rPr>
      <w:drawing>
        <wp:anchor distT="0" distB="0" distL="114300" distR="114300" simplePos="0" relativeHeight="251654656" behindDoc="0" locked="1" layoutInCell="0" allowOverlap="1" wp14:anchorId="0DE03976" wp14:editId="6E0925BA">
          <wp:simplePos x="0" y="0"/>
          <wp:positionH relativeFrom="page">
            <wp:posOffset>-19050</wp:posOffset>
          </wp:positionH>
          <wp:positionV relativeFrom="page">
            <wp:posOffset>223520</wp:posOffset>
          </wp:positionV>
          <wp:extent cx="7570470" cy="50038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70470" cy="500380"/>
                  </a:xfrm>
                  <a:prstGeom prst="rect">
                    <a:avLst/>
                  </a:prstGeom>
                </pic:spPr>
              </pic:pic>
            </a:graphicData>
          </a:graphic>
          <wp14:sizeRelH relativeFrom="margin">
            <wp14:pctWidth>0</wp14:pctWidth>
          </wp14:sizeRelH>
          <wp14:sizeRelV relativeFrom="margin">
            <wp14:pctHeight>0</wp14:pctHeight>
          </wp14:sizeRelV>
        </wp:anchor>
      </w:drawing>
    </w:r>
  </w:p>
  <w:p w:rsidR="001971C9" w:rsidRDefault="001971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B62" w:rsidRDefault="00434B62">
    <w:pPr>
      <w:pStyle w:val="Header"/>
    </w:pPr>
    <w:r>
      <w:rPr>
        <w:noProof/>
        <w:lang w:eastAsia="en-AU"/>
      </w:rPr>
      <w:drawing>
        <wp:anchor distT="0" distB="0" distL="114300" distR="114300" simplePos="0" relativeHeight="251657728" behindDoc="0" locked="1" layoutInCell="0" allowOverlap="1" wp14:anchorId="55AB78D9" wp14:editId="2E480117">
          <wp:simplePos x="0" y="0"/>
          <wp:positionH relativeFrom="page">
            <wp:posOffset>0</wp:posOffset>
          </wp:positionH>
          <wp:positionV relativeFrom="page">
            <wp:posOffset>360045</wp:posOffset>
          </wp:positionV>
          <wp:extent cx="7566840" cy="503640"/>
          <wp:effectExtent l="0" t="0" r="0" b="0"/>
          <wp:wrapNone/>
          <wp:docPr id="1" name="Picture 1"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rsidR="00434B62" w:rsidRDefault="00434B62"/>
  <w:p w:rsidR="00434B62" w:rsidRDefault="00434B62" w:rsidP="00434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77CB"/>
    <w:multiLevelType w:val="multilevel"/>
    <w:tmpl w:val="4E22E2A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95A2507"/>
    <w:multiLevelType w:val="multilevel"/>
    <w:tmpl w:val="93906FA4"/>
    <w:lvl w:ilvl="0">
      <w:start w:val="1"/>
      <w:numFmt w:val="decimal"/>
      <w:lvlText w:val="%1."/>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EF10AD3"/>
    <w:multiLevelType w:val="hybridMultilevel"/>
    <w:tmpl w:val="EABC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6D6C97"/>
    <w:multiLevelType w:val="hybridMultilevel"/>
    <w:tmpl w:val="60308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144F77"/>
    <w:multiLevelType w:val="multilevel"/>
    <w:tmpl w:val="93906FA4"/>
    <w:lvl w:ilvl="0">
      <w:start w:val="1"/>
      <w:numFmt w:val="decimal"/>
      <w:lvlText w:val="%1."/>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4211483"/>
    <w:multiLevelType w:val="hybridMultilevel"/>
    <w:tmpl w:val="34C4C18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BF0CBD"/>
    <w:multiLevelType w:val="hybridMultilevel"/>
    <w:tmpl w:val="D67857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502557"/>
    <w:multiLevelType w:val="hybridMultilevel"/>
    <w:tmpl w:val="846CBBD4"/>
    <w:lvl w:ilvl="0" w:tplc="DCFA015C">
      <w:start w:val="1"/>
      <w:numFmt w:val="decimal"/>
      <w:lvlText w:val="%1."/>
      <w:lvlJc w:val="left"/>
      <w:pPr>
        <w:tabs>
          <w:tab w:val="num" w:pos="536"/>
        </w:tabs>
        <w:ind w:left="53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7F7EAE"/>
    <w:multiLevelType w:val="hybridMultilevel"/>
    <w:tmpl w:val="40241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1D64A9"/>
    <w:multiLevelType w:val="multilevel"/>
    <w:tmpl w:val="CD862812"/>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bullet"/>
      <w:lvlText w:val="o"/>
      <w:lvlJc w:val="left"/>
      <w:pPr>
        <w:ind w:left="0" w:firstLine="0"/>
      </w:pPr>
      <w:rPr>
        <w:rFonts w:ascii="Courier New" w:hAnsi="Courier New" w:cs="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C2478D2"/>
    <w:multiLevelType w:val="multilevel"/>
    <w:tmpl w:val="6AE413A0"/>
    <w:styleLink w:val="ZZBullets"/>
    <w:lvl w:ilvl="0">
      <w:start w:val="1"/>
      <w:numFmt w:val="bullet"/>
      <w:pStyle w:val="DPCbullet1"/>
      <w:lvlText w:val="▪"/>
      <w:lvlJc w:val="left"/>
      <w:pPr>
        <w:ind w:left="4679"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5311D97"/>
    <w:multiLevelType w:val="hybridMultilevel"/>
    <w:tmpl w:val="D4E60E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E933A8E"/>
    <w:multiLevelType w:val="hybridMultilevel"/>
    <w:tmpl w:val="2D8231BE"/>
    <w:lvl w:ilvl="0" w:tplc="0C09000F">
      <w:start w:val="1"/>
      <w:numFmt w:val="decimal"/>
      <w:lvlText w:val="%1."/>
      <w:lvlJc w:val="left"/>
      <w:pPr>
        <w:tabs>
          <w:tab w:val="num" w:pos="536"/>
        </w:tabs>
        <w:ind w:left="536" w:hanging="360"/>
      </w:pPr>
    </w:lvl>
    <w:lvl w:ilvl="1" w:tplc="0C090019" w:tentative="1">
      <w:start w:val="1"/>
      <w:numFmt w:val="lowerLetter"/>
      <w:lvlText w:val="%2."/>
      <w:lvlJc w:val="left"/>
      <w:pPr>
        <w:tabs>
          <w:tab w:val="num" w:pos="1256"/>
        </w:tabs>
        <w:ind w:left="1256" w:hanging="360"/>
      </w:p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8"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A945EA5"/>
    <w:multiLevelType w:val="hybridMultilevel"/>
    <w:tmpl w:val="F6BE6446"/>
    <w:lvl w:ilvl="0" w:tplc="58308B56">
      <w:start w:val="1"/>
      <w:numFmt w:val="decimalZero"/>
      <w:pStyle w:val="VGNNumbering"/>
      <w:lvlText w:val="FIN-%1"/>
      <w:lvlJc w:val="left"/>
      <w:pPr>
        <w:ind w:left="360" w:hanging="360"/>
      </w:pPr>
      <w:rPr>
        <w:rFonts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3"/>
  </w:num>
  <w:num w:numId="2">
    <w:abstractNumId w:val="1"/>
  </w:num>
  <w:num w:numId="3">
    <w:abstractNumId w:val="3"/>
  </w:num>
  <w:num w:numId="4">
    <w:abstractNumId w:val="16"/>
  </w:num>
  <w:num w:numId="5">
    <w:abstractNumId w:val="0"/>
  </w:num>
  <w:num w:numId="6">
    <w:abstractNumId w:val="1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9"/>
  </w:num>
  <w:num w:numId="26">
    <w:abstractNumId w:val="6"/>
  </w:num>
  <w:num w:numId="27">
    <w:abstractNumId w:val="8"/>
  </w:num>
  <w:num w:numId="28">
    <w:abstractNumId w:val="4"/>
  </w:num>
  <w:num w:numId="29">
    <w:abstractNumId w:val="7"/>
  </w:num>
  <w:num w:numId="30">
    <w:abstractNumId w:val="14"/>
  </w:num>
  <w:num w:numId="31">
    <w:abstractNumId w:val="11"/>
  </w:num>
  <w:num w:numId="32">
    <w:abstractNumId w:val="5"/>
  </w:num>
  <w:num w:numId="33">
    <w:abstractNumId w:val="10"/>
  </w:num>
  <w:num w:numId="34">
    <w:abstractNumId w:val="15"/>
  </w:num>
  <w:num w:numId="35">
    <w:abstractNumId w:val="12"/>
  </w:num>
  <w:num w:numId="3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SortMethod w:val="0000"/>
  <w:defaultTabStop w:val="720"/>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43F"/>
    <w:rsid w:val="00002990"/>
    <w:rsid w:val="00003CF5"/>
    <w:rsid w:val="000048AC"/>
    <w:rsid w:val="00014DD4"/>
    <w:rsid w:val="00014FC4"/>
    <w:rsid w:val="00017F17"/>
    <w:rsid w:val="00020AAB"/>
    <w:rsid w:val="0002101C"/>
    <w:rsid w:val="00022E60"/>
    <w:rsid w:val="0002569A"/>
    <w:rsid w:val="00026C19"/>
    <w:rsid w:val="000270E1"/>
    <w:rsid w:val="00031B1A"/>
    <w:rsid w:val="00032650"/>
    <w:rsid w:val="0003564B"/>
    <w:rsid w:val="000464DC"/>
    <w:rsid w:val="00052648"/>
    <w:rsid w:val="00060E93"/>
    <w:rsid w:val="00062B73"/>
    <w:rsid w:val="00064936"/>
    <w:rsid w:val="00072333"/>
    <w:rsid w:val="000734F8"/>
    <w:rsid w:val="000736B8"/>
    <w:rsid w:val="000763E5"/>
    <w:rsid w:val="000817CB"/>
    <w:rsid w:val="00083B6A"/>
    <w:rsid w:val="0008644A"/>
    <w:rsid w:val="000873EF"/>
    <w:rsid w:val="00087CDC"/>
    <w:rsid w:val="0009003A"/>
    <w:rsid w:val="00092660"/>
    <w:rsid w:val="00094979"/>
    <w:rsid w:val="00094A6A"/>
    <w:rsid w:val="000A3D10"/>
    <w:rsid w:val="000A443F"/>
    <w:rsid w:val="000A6EF7"/>
    <w:rsid w:val="000B24E5"/>
    <w:rsid w:val="000C447C"/>
    <w:rsid w:val="000C6242"/>
    <w:rsid w:val="000C68DB"/>
    <w:rsid w:val="000D2C32"/>
    <w:rsid w:val="000D6DF4"/>
    <w:rsid w:val="000E01BE"/>
    <w:rsid w:val="000E23EC"/>
    <w:rsid w:val="000E38B6"/>
    <w:rsid w:val="000E6F72"/>
    <w:rsid w:val="000F0478"/>
    <w:rsid w:val="000F2C99"/>
    <w:rsid w:val="000F48D5"/>
    <w:rsid w:val="000F645F"/>
    <w:rsid w:val="00103D5E"/>
    <w:rsid w:val="00104EA7"/>
    <w:rsid w:val="00105FAD"/>
    <w:rsid w:val="0011155B"/>
    <w:rsid w:val="00111A6A"/>
    <w:rsid w:val="00121195"/>
    <w:rsid w:val="00121BF1"/>
    <w:rsid w:val="00127A8B"/>
    <w:rsid w:val="00134BE5"/>
    <w:rsid w:val="00140B48"/>
    <w:rsid w:val="0014221E"/>
    <w:rsid w:val="001423E3"/>
    <w:rsid w:val="001426DA"/>
    <w:rsid w:val="001475EA"/>
    <w:rsid w:val="001504F5"/>
    <w:rsid w:val="00150F8F"/>
    <w:rsid w:val="001517BD"/>
    <w:rsid w:val="001552EF"/>
    <w:rsid w:val="00163770"/>
    <w:rsid w:val="0017248D"/>
    <w:rsid w:val="0017272C"/>
    <w:rsid w:val="00173626"/>
    <w:rsid w:val="0017614A"/>
    <w:rsid w:val="00181284"/>
    <w:rsid w:val="001817CD"/>
    <w:rsid w:val="0018235E"/>
    <w:rsid w:val="00192BA0"/>
    <w:rsid w:val="00192D63"/>
    <w:rsid w:val="001971C9"/>
    <w:rsid w:val="00197303"/>
    <w:rsid w:val="001A17EA"/>
    <w:rsid w:val="001A7A18"/>
    <w:rsid w:val="001B0D46"/>
    <w:rsid w:val="001B1565"/>
    <w:rsid w:val="001B166D"/>
    <w:rsid w:val="001B28B5"/>
    <w:rsid w:val="001B2975"/>
    <w:rsid w:val="001C122D"/>
    <w:rsid w:val="001C5D59"/>
    <w:rsid w:val="001D2A82"/>
    <w:rsid w:val="001D569B"/>
    <w:rsid w:val="001D60C1"/>
    <w:rsid w:val="001E0EA3"/>
    <w:rsid w:val="001E2E20"/>
    <w:rsid w:val="001E4A90"/>
    <w:rsid w:val="001F43E6"/>
    <w:rsid w:val="001F5C65"/>
    <w:rsid w:val="00205718"/>
    <w:rsid w:val="00205A96"/>
    <w:rsid w:val="00213772"/>
    <w:rsid w:val="00213CAA"/>
    <w:rsid w:val="00213E5E"/>
    <w:rsid w:val="00215B5D"/>
    <w:rsid w:val="002170F8"/>
    <w:rsid w:val="00220749"/>
    <w:rsid w:val="002219A8"/>
    <w:rsid w:val="0022422C"/>
    <w:rsid w:val="0022724E"/>
    <w:rsid w:val="00230458"/>
    <w:rsid w:val="00230666"/>
    <w:rsid w:val="00231153"/>
    <w:rsid w:val="00232144"/>
    <w:rsid w:val="0023252E"/>
    <w:rsid w:val="00240450"/>
    <w:rsid w:val="00241C31"/>
    <w:rsid w:val="00243145"/>
    <w:rsid w:val="0025298B"/>
    <w:rsid w:val="00254988"/>
    <w:rsid w:val="0026104C"/>
    <w:rsid w:val="00263C52"/>
    <w:rsid w:val="002667CC"/>
    <w:rsid w:val="002714FD"/>
    <w:rsid w:val="00272BE8"/>
    <w:rsid w:val="00275F94"/>
    <w:rsid w:val="00281B9C"/>
    <w:rsid w:val="00282BA8"/>
    <w:rsid w:val="00284C9B"/>
    <w:rsid w:val="002908FC"/>
    <w:rsid w:val="00295421"/>
    <w:rsid w:val="002A141B"/>
    <w:rsid w:val="002A26B6"/>
    <w:rsid w:val="002A3E1C"/>
    <w:rsid w:val="002A557E"/>
    <w:rsid w:val="002A6A4E"/>
    <w:rsid w:val="002B08B6"/>
    <w:rsid w:val="002B108C"/>
    <w:rsid w:val="002B5A85"/>
    <w:rsid w:val="002B63A7"/>
    <w:rsid w:val="002C4D47"/>
    <w:rsid w:val="002C5543"/>
    <w:rsid w:val="002D0F7F"/>
    <w:rsid w:val="002D1A7C"/>
    <w:rsid w:val="002D1E60"/>
    <w:rsid w:val="002D3316"/>
    <w:rsid w:val="002D514F"/>
    <w:rsid w:val="002E0198"/>
    <w:rsid w:val="002E1D7C"/>
    <w:rsid w:val="002E2475"/>
    <w:rsid w:val="002E2AA7"/>
    <w:rsid w:val="002E44B8"/>
    <w:rsid w:val="002F201C"/>
    <w:rsid w:val="002F2860"/>
    <w:rsid w:val="002F3AB3"/>
    <w:rsid w:val="002F449B"/>
    <w:rsid w:val="002F4D86"/>
    <w:rsid w:val="002F7C77"/>
    <w:rsid w:val="00302A20"/>
    <w:rsid w:val="0030394B"/>
    <w:rsid w:val="00315BBD"/>
    <w:rsid w:val="0031753A"/>
    <w:rsid w:val="00320FDE"/>
    <w:rsid w:val="00322CC2"/>
    <w:rsid w:val="003307C8"/>
    <w:rsid w:val="00331C46"/>
    <w:rsid w:val="00334B54"/>
    <w:rsid w:val="00343733"/>
    <w:rsid w:val="00344FDD"/>
    <w:rsid w:val="00346B4E"/>
    <w:rsid w:val="00352B6B"/>
    <w:rsid w:val="00353D19"/>
    <w:rsid w:val="00355761"/>
    <w:rsid w:val="00355886"/>
    <w:rsid w:val="00356814"/>
    <w:rsid w:val="00363484"/>
    <w:rsid w:val="003720DD"/>
    <w:rsid w:val="00377BC2"/>
    <w:rsid w:val="00382071"/>
    <w:rsid w:val="003908D4"/>
    <w:rsid w:val="003A0470"/>
    <w:rsid w:val="003A2F25"/>
    <w:rsid w:val="003A497F"/>
    <w:rsid w:val="003A4D3E"/>
    <w:rsid w:val="003A534B"/>
    <w:rsid w:val="003A78DC"/>
    <w:rsid w:val="003B2807"/>
    <w:rsid w:val="003B28AF"/>
    <w:rsid w:val="003B5CC5"/>
    <w:rsid w:val="003B7E7C"/>
    <w:rsid w:val="003D4500"/>
    <w:rsid w:val="003D4AF3"/>
    <w:rsid w:val="003D4EFB"/>
    <w:rsid w:val="003D5CFB"/>
    <w:rsid w:val="003E0316"/>
    <w:rsid w:val="003E0BF2"/>
    <w:rsid w:val="003E2636"/>
    <w:rsid w:val="003E2E12"/>
    <w:rsid w:val="003E5CD4"/>
    <w:rsid w:val="003E721B"/>
    <w:rsid w:val="003F0EA4"/>
    <w:rsid w:val="003F39CE"/>
    <w:rsid w:val="00401108"/>
    <w:rsid w:val="00402927"/>
    <w:rsid w:val="00403AE9"/>
    <w:rsid w:val="00411833"/>
    <w:rsid w:val="00412F64"/>
    <w:rsid w:val="00415218"/>
    <w:rsid w:val="00417BEB"/>
    <w:rsid w:val="004247DD"/>
    <w:rsid w:val="00431779"/>
    <w:rsid w:val="004324FF"/>
    <w:rsid w:val="00432A55"/>
    <w:rsid w:val="00434B62"/>
    <w:rsid w:val="00435468"/>
    <w:rsid w:val="00436776"/>
    <w:rsid w:val="004374D2"/>
    <w:rsid w:val="0043791F"/>
    <w:rsid w:val="0044260A"/>
    <w:rsid w:val="00444D82"/>
    <w:rsid w:val="004564C6"/>
    <w:rsid w:val="004610CC"/>
    <w:rsid w:val="00465464"/>
    <w:rsid w:val="00465E87"/>
    <w:rsid w:val="004725D3"/>
    <w:rsid w:val="00475FD3"/>
    <w:rsid w:val="0047678D"/>
    <w:rsid w:val="0047786A"/>
    <w:rsid w:val="00477A65"/>
    <w:rsid w:val="00480278"/>
    <w:rsid w:val="00482DB3"/>
    <w:rsid w:val="0048380B"/>
    <w:rsid w:val="00494F7A"/>
    <w:rsid w:val="0049707A"/>
    <w:rsid w:val="004A0236"/>
    <w:rsid w:val="004A369A"/>
    <w:rsid w:val="004A3B3E"/>
    <w:rsid w:val="004A7A79"/>
    <w:rsid w:val="004B20C7"/>
    <w:rsid w:val="004B3B86"/>
    <w:rsid w:val="004B3D47"/>
    <w:rsid w:val="004B53A4"/>
    <w:rsid w:val="004C294E"/>
    <w:rsid w:val="004C4D4A"/>
    <w:rsid w:val="004C7E25"/>
    <w:rsid w:val="004D00F0"/>
    <w:rsid w:val="004D0173"/>
    <w:rsid w:val="004D0274"/>
    <w:rsid w:val="004D0960"/>
    <w:rsid w:val="004D1056"/>
    <w:rsid w:val="004D2909"/>
    <w:rsid w:val="004E293F"/>
    <w:rsid w:val="004E3173"/>
    <w:rsid w:val="004E7922"/>
    <w:rsid w:val="004F0DFC"/>
    <w:rsid w:val="004F16F9"/>
    <w:rsid w:val="004F41B2"/>
    <w:rsid w:val="004F45BF"/>
    <w:rsid w:val="004F4AFC"/>
    <w:rsid w:val="004F52A5"/>
    <w:rsid w:val="00500C8C"/>
    <w:rsid w:val="00501375"/>
    <w:rsid w:val="00501D7E"/>
    <w:rsid w:val="005022C9"/>
    <w:rsid w:val="00502D66"/>
    <w:rsid w:val="0050633E"/>
    <w:rsid w:val="0050779D"/>
    <w:rsid w:val="00510435"/>
    <w:rsid w:val="00520BBB"/>
    <w:rsid w:val="00522120"/>
    <w:rsid w:val="00525456"/>
    <w:rsid w:val="00531650"/>
    <w:rsid w:val="00532236"/>
    <w:rsid w:val="00537CD2"/>
    <w:rsid w:val="00541DFE"/>
    <w:rsid w:val="00543E6C"/>
    <w:rsid w:val="00551152"/>
    <w:rsid w:val="005552FD"/>
    <w:rsid w:val="0055648C"/>
    <w:rsid w:val="005600E5"/>
    <w:rsid w:val="00564E8F"/>
    <w:rsid w:val="005728A4"/>
    <w:rsid w:val="00572AE4"/>
    <w:rsid w:val="005763FC"/>
    <w:rsid w:val="00576EB4"/>
    <w:rsid w:val="00582768"/>
    <w:rsid w:val="00583461"/>
    <w:rsid w:val="005856A4"/>
    <w:rsid w:val="005871B3"/>
    <w:rsid w:val="00590730"/>
    <w:rsid w:val="00593075"/>
    <w:rsid w:val="0059347A"/>
    <w:rsid w:val="005A3051"/>
    <w:rsid w:val="005A53FE"/>
    <w:rsid w:val="005B5D31"/>
    <w:rsid w:val="005B7D22"/>
    <w:rsid w:val="005C029E"/>
    <w:rsid w:val="005C116C"/>
    <w:rsid w:val="005D4B1F"/>
    <w:rsid w:val="005E085D"/>
    <w:rsid w:val="005E1B17"/>
    <w:rsid w:val="005E3FA7"/>
    <w:rsid w:val="005E7963"/>
    <w:rsid w:val="005E7AA9"/>
    <w:rsid w:val="005E7B8E"/>
    <w:rsid w:val="005F218C"/>
    <w:rsid w:val="006005F2"/>
    <w:rsid w:val="00601D4D"/>
    <w:rsid w:val="006021B4"/>
    <w:rsid w:val="006062D8"/>
    <w:rsid w:val="00606827"/>
    <w:rsid w:val="0061779E"/>
    <w:rsid w:val="00617DCC"/>
    <w:rsid w:val="00620262"/>
    <w:rsid w:val="00620A76"/>
    <w:rsid w:val="00621001"/>
    <w:rsid w:val="00621B4C"/>
    <w:rsid w:val="00623DD4"/>
    <w:rsid w:val="00627C52"/>
    <w:rsid w:val="00630937"/>
    <w:rsid w:val="0063220A"/>
    <w:rsid w:val="006452A6"/>
    <w:rsid w:val="00653B84"/>
    <w:rsid w:val="00655DF8"/>
    <w:rsid w:val="006561C7"/>
    <w:rsid w:val="0066018E"/>
    <w:rsid w:val="00662E92"/>
    <w:rsid w:val="00663CEB"/>
    <w:rsid w:val="00665B41"/>
    <w:rsid w:val="00670614"/>
    <w:rsid w:val="006722B7"/>
    <w:rsid w:val="00672911"/>
    <w:rsid w:val="006763B0"/>
    <w:rsid w:val="00681CDB"/>
    <w:rsid w:val="0068369D"/>
    <w:rsid w:val="00685CD1"/>
    <w:rsid w:val="006865C8"/>
    <w:rsid w:val="00686B48"/>
    <w:rsid w:val="00687038"/>
    <w:rsid w:val="0068714E"/>
    <w:rsid w:val="0069297B"/>
    <w:rsid w:val="006929F7"/>
    <w:rsid w:val="0069374A"/>
    <w:rsid w:val="006A2334"/>
    <w:rsid w:val="006B2C51"/>
    <w:rsid w:val="006B6361"/>
    <w:rsid w:val="006C3896"/>
    <w:rsid w:val="006C7844"/>
    <w:rsid w:val="006D0511"/>
    <w:rsid w:val="006D360C"/>
    <w:rsid w:val="006D5AC9"/>
    <w:rsid w:val="006D66ED"/>
    <w:rsid w:val="006D7199"/>
    <w:rsid w:val="006E1C1A"/>
    <w:rsid w:val="006E46BD"/>
    <w:rsid w:val="006E4CBF"/>
    <w:rsid w:val="006E786B"/>
    <w:rsid w:val="006F1DC8"/>
    <w:rsid w:val="006F613A"/>
    <w:rsid w:val="007002B1"/>
    <w:rsid w:val="00704EB7"/>
    <w:rsid w:val="00705742"/>
    <w:rsid w:val="00705D85"/>
    <w:rsid w:val="007104FE"/>
    <w:rsid w:val="00713981"/>
    <w:rsid w:val="007176D6"/>
    <w:rsid w:val="007177E6"/>
    <w:rsid w:val="0072403D"/>
    <w:rsid w:val="00727D54"/>
    <w:rsid w:val="00731952"/>
    <w:rsid w:val="007344C5"/>
    <w:rsid w:val="00734959"/>
    <w:rsid w:val="00747004"/>
    <w:rsid w:val="00750531"/>
    <w:rsid w:val="00764B08"/>
    <w:rsid w:val="00766E7D"/>
    <w:rsid w:val="00767D11"/>
    <w:rsid w:val="00777F70"/>
    <w:rsid w:val="00781AB4"/>
    <w:rsid w:val="007923B7"/>
    <w:rsid w:val="00792616"/>
    <w:rsid w:val="007926BB"/>
    <w:rsid w:val="007928F3"/>
    <w:rsid w:val="00796960"/>
    <w:rsid w:val="007A0283"/>
    <w:rsid w:val="007A3B56"/>
    <w:rsid w:val="007A6B45"/>
    <w:rsid w:val="007B0DD8"/>
    <w:rsid w:val="007B37A7"/>
    <w:rsid w:val="007B4E17"/>
    <w:rsid w:val="007B7B12"/>
    <w:rsid w:val="007C2DC1"/>
    <w:rsid w:val="007D06C4"/>
    <w:rsid w:val="007D1063"/>
    <w:rsid w:val="007D3A2E"/>
    <w:rsid w:val="007D6652"/>
    <w:rsid w:val="007E343D"/>
    <w:rsid w:val="007E75AF"/>
    <w:rsid w:val="007F0607"/>
    <w:rsid w:val="007F4383"/>
    <w:rsid w:val="007F6406"/>
    <w:rsid w:val="00801601"/>
    <w:rsid w:val="008017AB"/>
    <w:rsid w:val="0080221B"/>
    <w:rsid w:val="00802F12"/>
    <w:rsid w:val="008043C8"/>
    <w:rsid w:val="00805F11"/>
    <w:rsid w:val="008131F7"/>
    <w:rsid w:val="00813BF5"/>
    <w:rsid w:val="008141DE"/>
    <w:rsid w:val="00814A9B"/>
    <w:rsid w:val="00814F66"/>
    <w:rsid w:val="00817C9E"/>
    <w:rsid w:val="008205AF"/>
    <w:rsid w:val="008225E5"/>
    <w:rsid w:val="00826AC9"/>
    <w:rsid w:val="00831053"/>
    <w:rsid w:val="008314D2"/>
    <w:rsid w:val="0083254D"/>
    <w:rsid w:val="00832A16"/>
    <w:rsid w:val="00836249"/>
    <w:rsid w:val="00836F00"/>
    <w:rsid w:val="008458D6"/>
    <w:rsid w:val="00846192"/>
    <w:rsid w:val="00850806"/>
    <w:rsid w:val="00856A1B"/>
    <w:rsid w:val="00861F82"/>
    <w:rsid w:val="008621C3"/>
    <w:rsid w:val="00865486"/>
    <w:rsid w:val="0087159F"/>
    <w:rsid w:val="00872E34"/>
    <w:rsid w:val="00873248"/>
    <w:rsid w:val="00876275"/>
    <w:rsid w:val="00882B99"/>
    <w:rsid w:val="00883CA1"/>
    <w:rsid w:val="0088510E"/>
    <w:rsid w:val="008A295B"/>
    <w:rsid w:val="008A2A28"/>
    <w:rsid w:val="008A6343"/>
    <w:rsid w:val="008A6604"/>
    <w:rsid w:val="008A6840"/>
    <w:rsid w:val="008A7A7F"/>
    <w:rsid w:val="008A7FDB"/>
    <w:rsid w:val="008B2BA1"/>
    <w:rsid w:val="008B5482"/>
    <w:rsid w:val="008B7693"/>
    <w:rsid w:val="008C11F4"/>
    <w:rsid w:val="008C2BEC"/>
    <w:rsid w:val="008C4E35"/>
    <w:rsid w:val="008C6D0E"/>
    <w:rsid w:val="008D09D2"/>
    <w:rsid w:val="008D39C5"/>
    <w:rsid w:val="008E1D89"/>
    <w:rsid w:val="008E3E3E"/>
    <w:rsid w:val="008F56F0"/>
    <w:rsid w:val="008F5F87"/>
    <w:rsid w:val="00900A34"/>
    <w:rsid w:val="009043B8"/>
    <w:rsid w:val="00907073"/>
    <w:rsid w:val="0091040F"/>
    <w:rsid w:val="00911EF0"/>
    <w:rsid w:val="009204F1"/>
    <w:rsid w:val="009208F5"/>
    <w:rsid w:val="009243AA"/>
    <w:rsid w:val="00930B65"/>
    <w:rsid w:val="0093149D"/>
    <w:rsid w:val="00932051"/>
    <w:rsid w:val="00932862"/>
    <w:rsid w:val="00935D60"/>
    <w:rsid w:val="009447BB"/>
    <w:rsid w:val="00946335"/>
    <w:rsid w:val="00946F3D"/>
    <w:rsid w:val="009513C4"/>
    <w:rsid w:val="00955E55"/>
    <w:rsid w:val="00960279"/>
    <w:rsid w:val="00962200"/>
    <w:rsid w:val="00966F54"/>
    <w:rsid w:val="00973D72"/>
    <w:rsid w:val="00975E61"/>
    <w:rsid w:val="00976E31"/>
    <w:rsid w:val="00977C63"/>
    <w:rsid w:val="00980087"/>
    <w:rsid w:val="00980C0B"/>
    <w:rsid w:val="00985226"/>
    <w:rsid w:val="009900F1"/>
    <w:rsid w:val="00990904"/>
    <w:rsid w:val="00990EDD"/>
    <w:rsid w:val="00992714"/>
    <w:rsid w:val="0099618E"/>
    <w:rsid w:val="009963CD"/>
    <w:rsid w:val="00996894"/>
    <w:rsid w:val="009A2C8B"/>
    <w:rsid w:val="009B266D"/>
    <w:rsid w:val="009B5CBF"/>
    <w:rsid w:val="009C1788"/>
    <w:rsid w:val="009C184A"/>
    <w:rsid w:val="009C4AE2"/>
    <w:rsid w:val="009D0DDB"/>
    <w:rsid w:val="009D2C69"/>
    <w:rsid w:val="009E3F5E"/>
    <w:rsid w:val="009F08D1"/>
    <w:rsid w:val="009F1665"/>
    <w:rsid w:val="009F3F89"/>
    <w:rsid w:val="009F480E"/>
    <w:rsid w:val="00A022A2"/>
    <w:rsid w:val="00A027B6"/>
    <w:rsid w:val="00A02D15"/>
    <w:rsid w:val="00A11403"/>
    <w:rsid w:val="00A25B76"/>
    <w:rsid w:val="00A26B0D"/>
    <w:rsid w:val="00A36459"/>
    <w:rsid w:val="00A42F1B"/>
    <w:rsid w:val="00A46FD9"/>
    <w:rsid w:val="00A546BC"/>
    <w:rsid w:val="00A60DD9"/>
    <w:rsid w:val="00A759F8"/>
    <w:rsid w:val="00A75CD5"/>
    <w:rsid w:val="00A77062"/>
    <w:rsid w:val="00A80D31"/>
    <w:rsid w:val="00A8169D"/>
    <w:rsid w:val="00A832AF"/>
    <w:rsid w:val="00A952AB"/>
    <w:rsid w:val="00A95FC3"/>
    <w:rsid w:val="00AA45E6"/>
    <w:rsid w:val="00AB1F81"/>
    <w:rsid w:val="00AB489C"/>
    <w:rsid w:val="00AB6936"/>
    <w:rsid w:val="00AB6E15"/>
    <w:rsid w:val="00AC0C3B"/>
    <w:rsid w:val="00AC2D63"/>
    <w:rsid w:val="00AD03D8"/>
    <w:rsid w:val="00AD0711"/>
    <w:rsid w:val="00AD189F"/>
    <w:rsid w:val="00AE5FE0"/>
    <w:rsid w:val="00AE60B7"/>
    <w:rsid w:val="00AF2AB7"/>
    <w:rsid w:val="00AF2B1C"/>
    <w:rsid w:val="00AF2DFE"/>
    <w:rsid w:val="00AF3B58"/>
    <w:rsid w:val="00AF4D3F"/>
    <w:rsid w:val="00AF5308"/>
    <w:rsid w:val="00B02014"/>
    <w:rsid w:val="00B0300B"/>
    <w:rsid w:val="00B05457"/>
    <w:rsid w:val="00B128A0"/>
    <w:rsid w:val="00B1435C"/>
    <w:rsid w:val="00B157D3"/>
    <w:rsid w:val="00B15BB2"/>
    <w:rsid w:val="00B20240"/>
    <w:rsid w:val="00B23281"/>
    <w:rsid w:val="00B24E08"/>
    <w:rsid w:val="00B26574"/>
    <w:rsid w:val="00B27571"/>
    <w:rsid w:val="00B3002B"/>
    <w:rsid w:val="00B3217D"/>
    <w:rsid w:val="00B3527C"/>
    <w:rsid w:val="00B4164B"/>
    <w:rsid w:val="00B5409A"/>
    <w:rsid w:val="00B55574"/>
    <w:rsid w:val="00B55D4D"/>
    <w:rsid w:val="00B63913"/>
    <w:rsid w:val="00B6525D"/>
    <w:rsid w:val="00B65ABA"/>
    <w:rsid w:val="00B6790F"/>
    <w:rsid w:val="00B70111"/>
    <w:rsid w:val="00B71B3B"/>
    <w:rsid w:val="00B73701"/>
    <w:rsid w:val="00B77D66"/>
    <w:rsid w:val="00B82CE3"/>
    <w:rsid w:val="00B833E0"/>
    <w:rsid w:val="00B85C16"/>
    <w:rsid w:val="00B87D61"/>
    <w:rsid w:val="00B93948"/>
    <w:rsid w:val="00BA4BC7"/>
    <w:rsid w:val="00BA55B7"/>
    <w:rsid w:val="00BA7D57"/>
    <w:rsid w:val="00BB18D1"/>
    <w:rsid w:val="00BB2E18"/>
    <w:rsid w:val="00BB3330"/>
    <w:rsid w:val="00BB47D7"/>
    <w:rsid w:val="00BB4845"/>
    <w:rsid w:val="00BB4A62"/>
    <w:rsid w:val="00BB787D"/>
    <w:rsid w:val="00BC01C1"/>
    <w:rsid w:val="00BC1A16"/>
    <w:rsid w:val="00BD39CF"/>
    <w:rsid w:val="00BD6E05"/>
    <w:rsid w:val="00BE21AC"/>
    <w:rsid w:val="00BE54D0"/>
    <w:rsid w:val="00BE575E"/>
    <w:rsid w:val="00BF0F1D"/>
    <w:rsid w:val="00BF6358"/>
    <w:rsid w:val="00BF7251"/>
    <w:rsid w:val="00BF7F28"/>
    <w:rsid w:val="00C05787"/>
    <w:rsid w:val="00C05A69"/>
    <w:rsid w:val="00C141EA"/>
    <w:rsid w:val="00C156D4"/>
    <w:rsid w:val="00C167A3"/>
    <w:rsid w:val="00C2232A"/>
    <w:rsid w:val="00C24D34"/>
    <w:rsid w:val="00C2657D"/>
    <w:rsid w:val="00C34AB7"/>
    <w:rsid w:val="00C416E1"/>
    <w:rsid w:val="00C45AAF"/>
    <w:rsid w:val="00C47BF8"/>
    <w:rsid w:val="00C47D53"/>
    <w:rsid w:val="00C5334F"/>
    <w:rsid w:val="00C535F3"/>
    <w:rsid w:val="00C53DCE"/>
    <w:rsid w:val="00C5409F"/>
    <w:rsid w:val="00C601CF"/>
    <w:rsid w:val="00C655F2"/>
    <w:rsid w:val="00C65B61"/>
    <w:rsid w:val="00C66E32"/>
    <w:rsid w:val="00C70525"/>
    <w:rsid w:val="00C70E53"/>
    <w:rsid w:val="00C72979"/>
    <w:rsid w:val="00C73A05"/>
    <w:rsid w:val="00C73D14"/>
    <w:rsid w:val="00C7481E"/>
    <w:rsid w:val="00C80D0F"/>
    <w:rsid w:val="00C81529"/>
    <w:rsid w:val="00C81BA6"/>
    <w:rsid w:val="00C8377C"/>
    <w:rsid w:val="00C85809"/>
    <w:rsid w:val="00C877CD"/>
    <w:rsid w:val="00C902E9"/>
    <w:rsid w:val="00C908B7"/>
    <w:rsid w:val="00C96517"/>
    <w:rsid w:val="00CA097C"/>
    <w:rsid w:val="00CA0FEC"/>
    <w:rsid w:val="00CA4871"/>
    <w:rsid w:val="00CA6722"/>
    <w:rsid w:val="00CA6D4E"/>
    <w:rsid w:val="00CA7B4B"/>
    <w:rsid w:val="00CB52DD"/>
    <w:rsid w:val="00CC23FB"/>
    <w:rsid w:val="00CC4F64"/>
    <w:rsid w:val="00CD058C"/>
    <w:rsid w:val="00CD3B98"/>
    <w:rsid w:val="00CD4216"/>
    <w:rsid w:val="00CD574B"/>
    <w:rsid w:val="00CD733F"/>
    <w:rsid w:val="00CE0942"/>
    <w:rsid w:val="00CE7CA5"/>
    <w:rsid w:val="00CE7F8E"/>
    <w:rsid w:val="00CF1D81"/>
    <w:rsid w:val="00CF1E45"/>
    <w:rsid w:val="00CF2DC9"/>
    <w:rsid w:val="00D064DC"/>
    <w:rsid w:val="00D16AA4"/>
    <w:rsid w:val="00D311AB"/>
    <w:rsid w:val="00D32BBE"/>
    <w:rsid w:val="00D332E1"/>
    <w:rsid w:val="00D442AD"/>
    <w:rsid w:val="00D45159"/>
    <w:rsid w:val="00D45A15"/>
    <w:rsid w:val="00D45C08"/>
    <w:rsid w:val="00D4664B"/>
    <w:rsid w:val="00D5431D"/>
    <w:rsid w:val="00D5784B"/>
    <w:rsid w:val="00D57908"/>
    <w:rsid w:val="00D61D91"/>
    <w:rsid w:val="00D63EFB"/>
    <w:rsid w:val="00D658AF"/>
    <w:rsid w:val="00D65EEF"/>
    <w:rsid w:val="00D67F2D"/>
    <w:rsid w:val="00D747D6"/>
    <w:rsid w:val="00D81F78"/>
    <w:rsid w:val="00D83DE9"/>
    <w:rsid w:val="00D8450D"/>
    <w:rsid w:val="00D9040C"/>
    <w:rsid w:val="00D91A94"/>
    <w:rsid w:val="00D95AF9"/>
    <w:rsid w:val="00DA09C9"/>
    <w:rsid w:val="00DA1822"/>
    <w:rsid w:val="00DB3DF3"/>
    <w:rsid w:val="00DB5E1F"/>
    <w:rsid w:val="00DB6DD1"/>
    <w:rsid w:val="00DC2613"/>
    <w:rsid w:val="00DC4512"/>
    <w:rsid w:val="00DC79C9"/>
    <w:rsid w:val="00DE24E6"/>
    <w:rsid w:val="00DE4CC1"/>
    <w:rsid w:val="00DE7ACD"/>
    <w:rsid w:val="00DF07AD"/>
    <w:rsid w:val="00DF3364"/>
    <w:rsid w:val="00DF453D"/>
    <w:rsid w:val="00DF5ACB"/>
    <w:rsid w:val="00E055BB"/>
    <w:rsid w:val="00E05EDC"/>
    <w:rsid w:val="00E102FE"/>
    <w:rsid w:val="00E10C93"/>
    <w:rsid w:val="00E11988"/>
    <w:rsid w:val="00E13684"/>
    <w:rsid w:val="00E15703"/>
    <w:rsid w:val="00E15DA9"/>
    <w:rsid w:val="00E2095D"/>
    <w:rsid w:val="00E22BB8"/>
    <w:rsid w:val="00E27B33"/>
    <w:rsid w:val="00E27E99"/>
    <w:rsid w:val="00E30414"/>
    <w:rsid w:val="00E33028"/>
    <w:rsid w:val="00E36ADE"/>
    <w:rsid w:val="00E40769"/>
    <w:rsid w:val="00E60F12"/>
    <w:rsid w:val="00E62903"/>
    <w:rsid w:val="00E652FB"/>
    <w:rsid w:val="00E754B8"/>
    <w:rsid w:val="00E7635F"/>
    <w:rsid w:val="00E90882"/>
    <w:rsid w:val="00E90F49"/>
    <w:rsid w:val="00E917CD"/>
    <w:rsid w:val="00E92A81"/>
    <w:rsid w:val="00EA0819"/>
    <w:rsid w:val="00EA66AE"/>
    <w:rsid w:val="00EB6552"/>
    <w:rsid w:val="00EB65D4"/>
    <w:rsid w:val="00EC18E6"/>
    <w:rsid w:val="00EC1984"/>
    <w:rsid w:val="00EC3682"/>
    <w:rsid w:val="00ED3529"/>
    <w:rsid w:val="00EE397B"/>
    <w:rsid w:val="00EE6CD3"/>
    <w:rsid w:val="00EE75E1"/>
    <w:rsid w:val="00EF20D7"/>
    <w:rsid w:val="00EF3419"/>
    <w:rsid w:val="00F02BDB"/>
    <w:rsid w:val="00F036B2"/>
    <w:rsid w:val="00F037E3"/>
    <w:rsid w:val="00F0441B"/>
    <w:rsid w:val="00F049DC"/>
    <w:rsid w:val="00F07623"/>
    <w:rsid w:val="00F20479"/>
    <w:rsid w:val="00F3136B"/>
    <w:rsid w:val="00F314F1"/>
    <w:rsid w:val="00F327EA"/>
    <w:rsid w:val="00F34379"/>
    <w:rsid w:val="00F3468C"/>
    <w:rsid w:val="00F42842"/>
    <w:rsid w:val="00F46E40"/>
    <w:rsid w:val="00F4760A"/>
    <w:rsid w:val="00F52B0E"/>
    <w:rsid w:val="00F52B8E"/>
    <w:rsid w:val="00F53C33"/>
    <w:rsid w:val="00F53CFD"/>
    <w:rsid w:val="00F54AF5"/>
    <w:rsid w:val="00F557E3"/>
    <w:rsid w:val="00F5599C"/>
    <w:rsid w:val="00F61E78"/>
    <w:rsid w:val="00F635C5"/>
    <w:rsid w:val="00F736E3"/>
    <w:rsid w:val="00F767E8"/>
    <w:rsid w:val="00F86A3F"/>
    <w:rsid w:val="00F91297"/>
    <w:rsid w:val="00F97730"/>
    <w:rsid w:val="00FA6383"/>
    <w:rsid w:val="00FA7DFE"/>
    <w:rsid w:val="00FB32A4"/>
    <w:rsid w:val="00FB594D"/>
    <w:rsid w:val="00FC2FC7"/>
    <w:rsid w:val="00FC32EA"/>
    <w:rsid w:val="00FC49BB"/>
    <w:rsid w:val="00FD2412"/>
    <w:rsid w:val="00FD46F5"/>
    <w:rsid w:val="00FD616B"/>
    <w:rsid w:val="00FE33CE"/>
    <w:rsid w:val="00FE34F1"/>
    <w:rsid w:val="00FE51D3"/>
    <w:rsid w:val="00FE61D3"/>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66467"/>
  <w15:docId w15:val="{0D9597DB-1BC4-41CB-9EB9-8A3B2C55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832A16"/>
    <w:pPr>
      <w:keepNext/>
      <w:keepLines/>
      <w:spacing w:before="120" w:after="240"/>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32A16"/>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8131F7"/>
    <w:pPr>
      <w:keepLines/>
      <w:tabs>
        <w:tab w:val="right" w:leader="dot" w:pos="9299"/>
      </w:tabs>
      <w:spacing w:before="200" w:after="60"/>
      <w:ind w:right="680"/>
    </w:pPr>
    <w:rPr>
      <w:rFonts w:asciiTheme="minorHAnsi" w:hAnsiTheme="minorHAnsi"/>
      <w:b/>
      <w:noProof/>
      <w:sz w:val="22"/>
      <w:szCs w:val="22"/>
      <w:lang w:eastAsia="en-US"/>
    </w:rPr>
  </w:style>
  <w:style w:type="paragraph" w:styleId="TOC2">
    <w:name w:val="toc 2"/>
    <w:uiPriority w:val="39"/>
    <w:rsid w:val="00C45AAF"/>
    <w:pPr>
      <w:keepLines/>
      <w:tabs>
        <w:tab w:val="right" w:pos="9299"/>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131F7"/>
    <w:pPr>
      <w:tabs>
        <w:tab w:val="right" w:leader="dot" w:pos="9299"/>
      </w:tabs>
    </w:pPr>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E754B8"/>
    <w:pPr>
      <w:numPr>
        <w:numId w:val="1"/>
      </w:numPr>
      <w:spacing w:after="60"/>
      <w:ind w:left="284"/>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6"/>
      </w:numPr>
    </w:pPr>
  </w:style>
  <w:style w:type="paragraph" w:customStyle="1" w:styleId="DPCnumberdigitindent">
    <w:name w:val="DPC number digit indent"/>
    <w:basedOn w:val="Normal"/>
    <w:uiPriority w:val="4"/>
    <w:qFormat/>
    <w:rsid w:val="00E36ADE"/>
    <w:pPr>
      <w:numPr>
        <w:ilvl w:val="1"/>
        <w:numId w:val="6"/>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11"/>
      </w:numPr>
    </w:pPr>
  </w:style>
  <w:style w:type="numbering" w:customStyle="1" w:styleId="ZZNumbersdigit">
    <w:name w:val="ZZ Numbers digit"/>
    <w:basedOn w:val="NoList"/>
    <w:uiPriority w:val="99"/>
    <w:rsid w:val="00E36ADE"/>
    <w:pPr>
      <w:numPr>
        <w:numId w:val="6"/>
      </w:numPr>
    </w:pPr>
  </w:style>
  <w:style w:type="paragraph" w:customStyle="1" w:styleId="DPCbulletafternumbers1">
    <w:name w:val="DPC bullet after numbers 1"/>
    <w:basedOn w:val="DPCbody"/>
    <w:rsid w:val="00E36ADE"/>
    <w:pPr>
      <w:numPr>
        <w:ilvl w:val="2"/>
        <w:numId w:val="6"/>
      </w:numPr>
    </w:pPr>
  </w:style>
  <w:style w:type="paragraph" w:customStyle="1" w:styleId="DPCbulletafternumbers2">
    <w:name w:val="DPC bullet after numbers 2"/>
    <w:basedOn w:val="DPCbody"/>
    <w:rsid w:val="00E36ADE"/>
    <w:pPr>
      <w:numPr>
        <w:ilvl w:val="3"/>
        <w:numId w:val="6"/>
      </w:numPr>
    </w:pPr>
  </w:style>
  <w:style w:type="paragraph" w:customStyle="1" w:styleId="DPCnumberloweralpha">
    <w:name w:val="DPC number lower alpha"/>
    <w:basedOn w:val="DPCbody"/>
    <w:uiPriority w:val="3"/>
    <w:rsid w:val="00E36ADE"/>
    <w:pPr>
      <w:numPr>
        <w:numId w:val="13"/>
      </w:numPr>
    </w:pPr>
    <w:rPr>
      <w:rFonts w:ascii="Arial" w:hAnsi="Arial"/>
    </w:rPr>
  </w:style>
  <w:style w:type="paragraph" w:customStyle="1" w:styleId="DPCnumberloweralphaindent">
    <w:name w:val="DPC number lower alpha indent"/>
    <w:basedOn w:val="DPCbody"/>
    <w:uiPriority w:val="3"/>
    <w:rsid w:val="00E36ADE"/>
    <w:pPr>
      <w:numPr>
        <w:ilvl w:val="1"/>
        <w:numId w:val="13"/>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BalloonText">
    <w:name w:val="Balloon Text"/>
    <w:basedOn w:val="Normal"/>
    <w:link w:val="BalloonTextChar"/>
    <w:uiPriority w:val="99"/>
    <w:semiHidden/>
    <w:unhideWhenUsed/>
    <w:rsid w:val="002B108C"/>
    <w:rPr>
      <w:rFonts w:ascii="Tahoma" w:hAnsi="Tahoma" w:cs="Tahoma"/>
      <w:sz w:val="16"/>
      <w:szCs w:val="16"/>
    </w:rPr>
  </w:style>
  <w:style w:type="character" w:customStyle="1" w:styleId="BalloonTextChar">
    <w:name w:val="Balloon Text Char"/>
    <w:basedOn w:val="DefaultParagraphFont"/>
    <w:link w:val="BalloonText"/>
    <w:uiPriority w:val="99"/>
    <w:semiHidden/>
    <w:rsid w:val="002B108C"/>
    <w:rPr>
      <w:rFonts w:ascii="Tahoma" w:hAnsi="Tahoma" w:cs="Tahoma"/>
      <w:sz w:val="16"/>
      <w:szCs w:val="16"/>
      <w:lang w:eastAsia="en-US"/>
    </w:rPr>
  </w:style>
  <w:style w:type="character" w:styleId="CommentReference">
    <w:name w:val="annotation reference"/>
    <w:basedOn w:val="DefaultParagraphFont"/>
    <w:uiPriority w:val="99"/>
    <w:semiHidden/>
    <w:unhideWhenUsed/>
    <w:rsid w:val="00475FD3"/>
    <w:rPr>
      <w:sz w:val="16"/>
      <w:szCs w:val="16"/>
    </w:rPr>
  </w:style>
  <w:style w:type="paragraph" w:styleId="CommentText">
    <w:name w:val="annotation text"/>
    <w:basedOn w:val="Normal"/>
    <w:link w:val="CommentTextChar"/>
    <w:uiPriority w:val="99"/>
    <w:semiHidden/>
    <w:unhideWhenUsed/>
    <w:rsid w:val="00475FD3"/>
  </w:style>
  <w:style w:type="character" w:customStyle="1" w:styleId="CommentTextChar">
    <w:name w:val="Comment Text Char"/>
    <w:basedOn w:val="DefaultParagraphFont"/>
    <w:link w:val="CommentText"/>
    <w:uiPriority w:val="99"/>
    <w:semiHidden/>
    <w:rsid w:val="00475FD3"/>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75FD3"/>
    <w:rPr>
      <w:b/>
      <w:bCs/>
    </w:rPr>
  </w:style>
  <w:style w:type="character" w:customStyle="1" w:styleId="CommentSubjectChar">
    <w:name w:val="Comment Subject Char"/>
    <w:basedOn w:val="CommentTextChar"/>
    <w:link w:val="CommentSubject"/>
    <w:uiPriority w:val="99"/>
    <w:semiHidden/>
    <w:rsid w:val="00475FD3"/>
    <w:rPr>
      <w:rFonts w:ascii="Cambria" w:hAnsi="Cambria"/>
      <w:b/>
      <w:bCs/>
      <w:lang w:eastAsia="en-US"/>
    </w:rPr>
  </w:style>
  <w:style w:type="table" w:styleId="ColorfulGrid-Accent1">
    <w:name w:val="Colorful Grid Accent 1"/>
    <w:basedOn w:val="TableNormal"/>
    <w:uiPriority w:val="29"/>
    <w:qFormat/>
    <w:rsid w:val="00502D66"/>
    <w:rPr>
      <w:color w:val="000000" w:themeColor="text1"/>
    </w:rPr>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List2-Accent1">
    <w:name w:val="Medium List 2 Accent 1"/>
    <w:basedOn w:val="TableNormal"/>
    <w:uiPriority w:val="61"/>
    <w:rsid w:val="00502D66"/>
    <w:rPr>
      <w:rFonts w:asciiTheme="majorHAnsi" w:eastAsiaTheme="majorEastAsia" w:hAnsiTheme="majorHAnsi" w:cstheme="majorBidi"/>
      <w:color w:val="000000" w:themeColor="text1"/>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6"/>
    <w:rsid w:val="00502D66"/>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customStyle="1" w:styleId="DPCbulletindent">
    <w:name w:val="DPC bullet indent"/>
    <w:basedOn w:val="DPCbody"/>
    <w:rsid w:val="001D60C1"/>
    <w:pPr>
      <w:spacing w:after="60"/>
      <w:ind w:left="680" w:hanging="283"/>
    </w:pPr>
  </w:style>
  <w:style w:type="paragraph" w:customStyle="1" w:styleId="DPCbullet1lastline">
    <w:name w:val="DPC bullet 1 last line"/>
    <w:basedOn w:val="DPCbullet1"/>
    <w:qFormat/>
    <w:rsid w:val="001D60C1"/>
    <w:pPr>
      <w:numPr>
        <w:numId w:val="0"/>
      </w:numPr>
      <w:spacing w:after="160"/>
      <w:ind w:left="284" w:hanging="284"/>
    </w:pPr>
  </w:style>
  <w:style w:type="paragraph" w:customStyle="1" w:styleId="DPCbullet2lastline">
    <w:name w:val="DPC bullet 2 last line"/>
    <w:basedOn w:val="DPCbullet2"/>
    <w:uiPriority w:val="2"/>
    <w:rsid w:val="001D60C1"/>
    <w:pPr>
      <w:numPr>
        <w:ilvl w:val="0"/>
        <w:numId w:val="0"/>
      </w:numPr>
      <w:spacing w:after="160"/>
      <w:ind w:left="567" w:hanging="283"/>
    </w:pPr>
  </w:style>
  <w:style w:type="numbering" w:customStyle="1" w:styleId="Bullets">
    <w:name w:val="Bullets"/>
    <w:rsid w:val="001D60C1"/>
    <w:pPr>
      <w:numPr>
        <w:numId w:val="34"/>
      </w:numPr>
    </w:pPr>
  </w:style>
  <w:style w:type="paragraph" w:customStyle="1" w:styleId="DPCbulletindentlastline">
    <w:name w:val="DPC bullet indent last line"/>
    <w:basedOn w:val="DPCbody"/>
    <w:rsid w:val="001D60C1"/>
    <w:pPr>
      <w:ind w:left="680" w:hanging="283"/>
    </w:pPr>
  </w:style>
  <w:style w:type="table" w:styleId="MediumShading1-Accent6">
    <w:name w:val="Medium Shading 1 Accent 6"/>
    <w:basedOn w:val="TableNormal"/>
    <w:uiPriority w:val="68"/>
    <w:rsid w:val="00EA0819"/>
    <w:tblPr>
      <w:tblStyleRowBandSize w:val="1"/>
      <w:tblStyleColBandSize w:val="1"/>
      <w:tbl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single" w:sz="8" w:space="0" w:color="D64951" w:themeColor="accent6" w:themeTint="BF"/>
      </w:tblBorders>
    </w:tblPr>
    <w:tblStylePr w:type="firstRow">
      <w:pPr>
        <w:spacing w:before="0" w:after="0" w:line="240" w:lineRule="auto"/>
      </w:pPr>
      <w:rPr>
        <w:b/>
        <w:bCs/>
        <w:color w:val="FFFFFF" w:themeColor="background1"/>
      </w:rPr>
      <w:tblPr/>
      <w:tcPr>
        <w:tc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shd w:val="clear" w:color="auto" w:fill="AF272F" w:themeFill="accent6"/>
      </w:tcPr>
    </w:tblStylePr>
    <w:tblStylePr w:type="lastRow">
      <w:pPr>
        <w:spacing w:before="0" w:after="0" w:line="240" w:lineRule="auto"/>
      </w:pPr>
      <w:rPr>
        <w:b/>
        <w:bCs/>
      </w:rPr>
      <w:tblPr/>
      <w:tcPr>
        <w:tcBorders>
          <w:top w:val="double" w:sz="6"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6" w:themeFillTint="3F"/>
      </w:tcPr>
    </w:tblStylePr>
    <w:tblStylePr w:type="band1Horz">
      <w:tblPr/>
      <w:tcPr>
        <w:tcBorders>
          <w:insideH w:val="nil"/>
          <w:insideV w:val="nil"/>
        </w:tcBorders>
        <w:shd w:val="clear" w:color="auto" w:fill="F1C3C5" w:themeFill="accent6" w:themeFillTint="3F"/>
      </w:tcPr>
    </w:tblStylePr>
    <w:tblStylePr w:type="band2Horz">
      <w:tblPr/>
      <w:tcPr>
        <w:tcBorders>
          <w:insideH w:val="nil"/>
          <w:insideV w:val="nil"/>
        </w:tcBorders>
      </w:tcPr>
    </w:tblStylePr>
  </w:style>
  <w:style w:type="paragraph" w:customStyle="1" w:styleId="VGNNumbering">
    <w:name w:val="VGN Numbering"/>
    <w:basedOn w:val="ListParagraph"/>
    <w:rsid w:val="00EA0819"/>
    <w:pPr>
      <w:numPr>
        <w:numId w:val="36"/>
      </w:numPr>
      <w:tabs>
        <w:tab w:val="num" w:pos="397"/>
      </w:tabs>
      <w:spacing w:before="60" w:after="120" w:line="240" w:lineRule="exact"/>
      <w:ind w:left="397" w:hanging="397"/>
      <w:contextualSpacing w:val="0"/>
    </w:pPr>
    <w:rPr>
      <w:rFonts w:ascii="Arial" w:eastAsia="Cambria" w:hAnsi="Arial"/>
      <w:bCs/>
      <w:szCs w:val="24"/>
      <w:lang w:val="en-US"/>
    </w:rPr>
  </w:style>
  <w:style w:type="paragraph" w:styleId="ListParagraph">
    <w:name w:val="List Paragraph"/>
    <w:basedOn w:val="Normal"/>
    <w:uiPriority w:val="72"/>
    <w:qFormat/>
    <w:rsid w:val="00EA0819"/>
    <w:pPr>
      <w:ind w:left="720"/>
      <w:contextualSpacing/>
    </w:pPr>
  </w:style>
  <w:style w:type="table" w:styleId="MediumShading1-Accent1">
    <w:name w:val="Medium Shading 1 Accent 1"/>
    <w:basedOn w:val="TableNormal"/>
    <w:uiPriority w:val="68"/>
    <w:rsid w:val="002908FC"/>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7"/>
    <w:rsid w:val="002908FC"/>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paragraph" w:styleId="TOCHeading">
    <w:name w:val="TOC Heading"/>
    <w:basedOn w:val="Heading1"/>
    <w:next w:val="Normal"/>
    <w:uiPriority w:val="39"/>
    <w:semiHidden/>
    <w:unhideWhenUsed/>
    <w:qFormat/>
    <w:rsid w:val="008131F7"/>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0B24E5"/>
    <w:rPr>
      <w:color w:val="808080"/>
      <w:shd w:val="clear" w:color="auto" w:fill="E6E6E6"/>
    </w:rPr>
  </w:style>
  <w:style w:type="character" w:customStyle="1" w:styleId="FooterChar">
    <w:name w:val="Footer Char"/>
    <w:basedOn w:val="DefaultParagraphFont"/>
    <w:link w:val="Footer"/>
    <w:uiPriority w:val="99"/>
    <w:rsid w:val="006E4CBF"/>
    <w:rPr>
      <w:rFonts w:asciiTheme="majorHAnsi" w:hAnsiTheme="majorHAns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ombudsman.vic.gov.au/getattachment/d5e69dd1-400d-42cd-a570-9c6b21c4bb1e" TargetMode="External"/><Relationship Id="rId26" Type="http://schemas.openxmlformats.org/officeDocument/2006/relationships/hyperlink" Target="https://www.dtf.vic.gov.au/infrastructure-investment/investment-lifecycle-and-high-value-high-risk-guidelines"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nterprisesolutions.vic.gov.au/it-strategy/" TargetMode="External"/><Relationship Id="rId25" Type="http://schemas.openxmlformats.org/officeDocument/2006/relationships/hyperlink" Target="https://www.dtf.vic.gov.au/gateway-review-process/book-gateway-review"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dtf.vic.gov.au/infrastructure-investment/high-value-high-risk-framework" TargetMode="External"/><Relationship Id="rId20" Type="http://schemas.openxmlformats.org/officeDocument/2006/relationships/image" Target="media/image2.png"/><Relationship Id="rId29" Type="http://schemas.openxmlformats.org/officeDocument/2006/relationships/hyperlink" Target="https://www.vic.gov.au/digital-capability-uplif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digital.transformation@dpc.vic.gov.au" TargetMode="External"/><Relationship Id="rId32" Type="http://schemas.openxmlformats.org/officeDocument/2006/relationships/hyperlink" Target="mailto:digital.transformation@dpc.vic.gov.au"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procurement.vic.gov.au/State-Purchase-Contracts/Professional-Advisory-Services" TargetMode="External"/><Relationship Id="rId28" Type="http://schemas.openxmlformats.org/officeDocument/2006/relationships/hyperlink" Target="https://www.dtf.vic.gov.au/infrastructure-investment/high-value-high-risk-framework" TargetMode="Externa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audit.vic.gov.au/sites/default/files/20150415-Digital-dashboard.pdf" TargetMode="External"/><Relationship Id="rId31" Type="http://schemas.openxmlformats.org/officeDocument/2006/relationships/hyperlink" Target="https://innovationnetwork.vic.gov.au/groups/wovg-ict-project-management-community-practic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package" Target="embeddings/Microsoft_Word_Document.docx"/><Relationship Id="rId27" Type="http://schemas.openxmlformats.org/officeDocument/2006/relationships/hyperlink" Target="https://www.dtf.vic.gov.au/infrastructure-investment/investment-management-standard" TargetMode="External"/><Relationship Id="rId30" Type="http://schemas.openxmlformats.org/officeDocument/2006/relationships/hyperlink" Target="https://ictdashboard.enterprisesolutions.vic.gov.au" TargetMode="External"/><Relationship Id="rId35"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4F82-7D8E-4297-ACF3-B6406EBC982F}">
  <ds:schemaRefs>
    <ds:schemaRef ds:uri="http://www.w3.org/2001/XMLSchema"/>
  </ds:schemaRefs>
</ds:datastoreItem>
</file>

<file path=customXml/itemProps2.xml><?xml version="1.0" encoding="utf-8"?>
<ds:datastoreItem xmlns:ds="http://schemas.openxmlformats.org/officeDocument/2006/customXml" ds:itemID="{6D6BE0ED-8088-4C15-BA5C-FDA488DA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2637</Words>
  <Characters>14980</Characters>
  <Application>Microsoft Office Word</Application>
  <DocSecurity>0</DocSecurity>
  <Lines>305</Lines>
  <Paragraphs>195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17422</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Enterprise Solutions</dc:creator>
  <cp:lastModifiedBy>Cindy Cheng (DPC)</cp:lastModifiedBy>
  <cp:revision>7</cp:revision>
  <cp:lastPrinted>2018-12-18T00:59:00Z</cp:lastPrinted>
  <dcterms:created xsi:type="dcterms:W3CDTF">2019-12-19T04:28:00Z</dcterms:created>
  <dcterms:modified xsi:type="dcterms:W3CDTF">2020-07-09T01:22:00Z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acbba09d-cfbf-48c2-b442-3006acee9ceb</vt:lpwstr>
  </property>
  <property fmtid="{D5CDD505-2E9C-101B-9397-08002B2CF9AE}" pid="4" name="Classification">
    <vt:lpwstr>For Official Use Only</vt:lpwstr>
  </property>
  <property fmtid="{D5CDD505-2E9C-101B-9397-08002B2CF9AE}" pid="5" name="PSPFClassification">
    <vt:lpwstr>For Official Use Only</vt:lpwstr>
  </property>
  <property fmtid="{D5CDD505-2E9C-101B-9397-08002B2CF9AE}" pid="6" name="MSIP_Label_7158ebbd-6c5e-441f-bfc9-4eb8c11e3978_Enabled">
    <vt:lpwstr>True</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Owner">
    <vt:lpwstr>cindy.cheng@dpc.vic.gov.au</vt:lpwstr>
  </property>
  <property fmtid="{D5CDD505-2E9C-101B-9397-08002B2CF9AE}" pid="9" name="MSIP_Label_7158ebbd-6c5e-441f-bfc9-4eb8c11e3978_SetDate">
    <vt:lpwstr>2019-12-19T04:22:27.3990150Z</vt:lpwstr>
  </property>
  <property fmtid="{D5CDD505-2E9C-101B-9397-08002B2CF9AE}" pid="10" name="MSIP_Label_7158ebbd-6c5e-441f-bfc9-4eb8c11e3978_Name">
    <vt:lpwstr>OFFICIAL</vt:lpwstr>
  </property>
  <property fmtid="{D5CDD505-2E9C-101B-9397-08002B2CF9AE}" pid="11" name="MSIP_Label_7158ebbd-6c5e-441f-bfc9-4eb8c11e3978_Application">
    <vt:lpwstr>Microsoft Azure Information Protection</vt:lpwstr>
  </property>
  <property fmtid="{D5CDD505-2E9C-101B-9397-08002B2CF9AE}" pid="12" name="MSIP_Label_7158ebbd-6c5e-441f-bfc9-4eb8c11e3978_Extended_MSFT_Method">
    <vt:lpwstr>Manual</vt:lpwstr>
  </property>
  <property fmtid="{D5CDD505-2E9C-101B-9397-08002B2CF9AE}" pid="13" name="Sensitivity">
    <vt:lpwstr>OFFICIAL</vt:lpwstr>
  </property>
</Properties>
</file>