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E8CE" w14:textId="77777777"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p>
    <w:p w14:paraId="7875EB64" w14:textId="77777777" w:rsidR="00306E5F" w:rsidRPr="00B95907" w:rsidRDefault="0075285D" w:rsidP="00C37731">
      <w:pPr>
        <w:pStyle w:val="Spacerparatopoffirstpage"/>
        <w:rPr>
          <w:noProof w:val="0"/>
        </w:rPr>
      </w:pPr>
      <w:r w:rsidRPr="00B95907">
        <w:rPr>
          <w:lang w:eastAsia="en-AU"/>
        </w:rPr>
        <w:drawing>
          <wp:anchor distT="0" distB="0" distL="114300" distR="114300" simplePos="0" relativeHeight="251652608" behindDoc="1" locked="1" layoutInCell="0" allowOverlap="1" wp14:anchorId="3042C344" wp14:editId="0C49E1B2">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B95907" w14:paraId="14F054E9" w14:textId="77777777" w:rsidTr="001B5CC1">
        <w:trPr>
          <w:trHeight w:val="905"/>
        </w:trPr>
        <w:tc>
          <w:tcPr>
            <w:tcW w:w="9987" w:type="dxa"/>
            <w:shd w:val="clear" w:color="auto" w:fill="auto"/>
            <w:vAlign w:val="bottom"/>
          </w:tcPr>
          <w:p w14:paraId="5ED4633F" w14:textId="77777777" w:rsidR="004946F4" w:rsidRPr="00B95907" w:rsidRDefault="00915579" w:rsidP="000D7DEE">
            <w:pPr>
              <w:pStyle w:val="DPCmainheading"/>
            </w:pPr>
            <w:r w:rsidRPr="00B95907">
              <w:t>Data Exchange Framework</w:t>
            </w:r>
          </w:p>
        </w:tc>
      </w:tr>
      <w:tr w:rsidR="005D6597" w:rsidRPr="00B95907" w14:paraId="192E5DED" w14:textId="77777777" w:rsidTr="001B5CC1">
        <w:trPr>
          <w:trHeight w:val="298"/>
        </w:trPr>
        <w:tc>
          <w:tcPr>
            <w:tcW w:w="9987" w:type="dxa"/>
            <w:shd w:val="clear" w:color="auto" w:fill="auto"/>
            <w:tcMar>
              <w:top w:w="284" w:type="dxa"/>
              <w:bottom w:w="454" w:type="dxa"/>
            </w:tcMar>
          </w:tcPr>
          <w:p w14:paraId="62F62D22" w14:textId="77777777" w:rsidR="005D6597" w:rsidRPr="00B95907" w:rsidRDefault="00915579" w:rsidP="00CE750D">
            <w:pPr>
              <w:pStyle w:val="DPCmainsubheading"/>
            </w:pPr>
            <w:r w:rsidRPr="00B95907">
              <w:t>IT Strategy</w:t>
            </w:r>
            <w:r w:rsidR="00C9692A" w:rsidRPr="00B95907">
              <w:t xml:space="preserve"> Action Plan 2017-18</w:t>
            </w:r>
          </w:p>
        </w:tc>
      </w:tr>
    </w:tbl>
    <w:p w14:paraId="22D60825" w14:textId="77777777" w:rsidR="00961FC0" w:rsidRPr="00B95907" w:rsidRDefault="00961FC0" w:rsidP="00961FC0">
      <w:pPr>
        <w:pStyle w:val="IntenseQuote"/>
        <w:rPr>
          <w:rStyle w:val="IntenseEmphasis"/>
          <w:i w:val="0"/>
        </w:rPr>
      </w:pPr>
      <w:bookmarkStart w:id="3" w:name="_Toc503861411"/>
      <w:r w:rsidRPr="00B95907">
        <w:rPr>
          <w:rStyle w:val="IntenseEmphasis"/>
          <w:i w:val="0"/>
        </w:rPr>
        <w:t>Action 6:  Develop a data exchange framework to ease the sharing and/or integration of data between government and third parties and within government (for example via the API Hub).</w:t>
      </w:r>
    </w:p>
    <w:p w14:paraId="08032C04" w14:textId="77777777" w:rsidR="004D502D" w:rsidRPr="00B95907" w:rsidRDefault="004D502D" w:rsidP="00C9692A">
      <w:pPr>
        <w:pStyle w:val="DPCbody"/>
      </w:pPr>
      <w:r w:rsidRPr="00B95907">
        <w:t xml:space="preserve">The </w:t>
      </w:r>
      <w:r w:rsidRPr="00B95907">
        <w:rPr>
          <w:i/>
        </w:rPr>
        <w:t>Victorian Government Information Technology Strategy 2016-2020</w:t>
      </w:r>
      <w:r w:rsidRPr="00B95907">
        <w:t xml:space="preserve"> (IT strategy) aims to enable better information sharing and integration to </w:t>
      </w:r>
      <w:r w:rsidR="005356CC" w:rsidRPr="00B95907">
        <w:t>support</w:t>
      </w:r>
      <w:r w:rsidRPr="00B95907">
        <w:t xml:space="preserve"> better decision-making, better value and better services in a safe and secure IT environment.</w:t>
      </w:r>
    </w:p>
    <w:p w14:paraId="7CBC4E3F" w14:textId="77777777" w:rsidR="00A74816" w:rsidRPr="00B95907" w:rsidRDefault="004D502D" w:rsidP="00C9692A">
      <w:pPr>
        <w:pStyle w:val="DPCbody"/>
      </w:pPr>
      <w:r w:rsidRPr="00B95907">
        <w:t>As part of achieving this, a</w:t>
      </w:r>
      <w:r w:rsidR="00C9692A" w:rsidRPr="00B95907">
        <w:t xml:space="preserve">ction 6 </w:t>
      </w:r>
      <w:r w:rsidR="00B46E0C" w:rsidRPr="00B95907">
        <w:t xml:space="preserve">in </w:t>
      </w:r>
      <w:r w:rsidR="00C9692A" w:rsidRPr="00B95907">
        <w:t xml:space="preserve">the </w:t>
      </w:r>
      <w:r w:rsidRPr="00B95907">
        <w:t xml:space="preserve">IT strategy </w:t>
      </w:r>
      <w:r w:rsidR="00B46E0C" w:rsidRPr="00B95907">
        <w:t xml:space="preserve">2017-18 action plan (year two plan) </w:t>
      </w:r>
      <w:r w:rsidR="00D85FD9" w:rsidRPr="00B95907">
        <w:t>requires</w:t>
      </w:r>
      <w:r w:rsidR="00C9692A" w:rsidRPr="00B95907">
        <w:t xml:space="preserve"> the development of a data exchange framework for the </w:t>
      </w:r>
      <w:r w:rsidR="00EA66BB" w:rsidRPr="00B95907">
        <w:t>government</w:t>
      </w:r>
      <w:r w:rsidR="00C9692A" w:rsidRPr="00B95907">
        <w:t>.</w:t>
      </w:r>
      <w:r w:rsidR="00A74816" w:rsidRPr="00B95907">
        <w:t xml:space="preserve"> </w:t>
      </w:r>
      <w:r w:rsidR="00C9692A" w:rsidRPr="00B95907">
        <w:t>This action support</w:t>
      </w:r>
      <w:r w:rsidR="00A74816" w:rsidRPr="00B95907">
        <w:t>s</w:t>
      </w:r>
      <w:r w:rsidR="005C26FB" w:rsidRPr="00B95907">
        <w:t xml:space="preserve"> the </w:t>
      </w:r>
      <w:r w:rsidR="008052F2" w:rsidRPr="00B95907">
        <w:t>Victorian Centre for Data Insight’s (VCDI)</w:t>
      </w:r>
      <w:r w:rsidR="00B0055A" w:rsidRPr="00B95907">
        <w:t xml:space="preserve"> </w:t>
      </w:r>
      <w:r w:rsidR="005C26FB" w:rsidRPr="00B95907">
        <w:t>Data Reform Strategy</w:t>
      </w:r>
      <w:r w:rsidR="00E358DB" w:rsidRPr="00B95907">
        <w:t>,</w:t>
      </w:r>
      <w:r w:rsidR="005C26FB" w:rsidRPr="00B95907">
        <w:t xml:space="preserve"> </w:t>
      </w:r>
      <w:r w:rsidR="00A74816" w:rsidRPr="00B95907">
        <w:t>a</w:t>
      </w:r>
      <w:r w:rsidR="00C9692A" w:rsidRPr="00B95907">
        <w:t>ction 8</w:t>
      </w:r>
      <w:r w:rsidR="00B46E0C" w:rsidRPr="00B95907">
        <w:t xml:space="preserve"> from the IT strategy year one plan; the </w:t>
      </w:r>
      <w:r w:rsidR="00266DB0" w:rsidRPr="00B95907">
        <w:t xml:space="preserve">API </w:t>
      </w:r>
      <w:r w:rsidR="00E90CD3" w:rsidRPr="00B95907">
        <w:t xml:space="preserve">(application programming interface) </w:t>
      </w:r>
      <w:r w:rsidR="00266DB0" w:rsidRPr="00B95907">
        <w:t>gateway</w:t>
      </w:r>
      <w:r w:rsidR="00B46E0C" w:rsidRPr="00B95907">
        <w:t xml:space="preserve">, and action 9 from year two; the </w:t>
      </w:r>
      <w:r w:rsidR="00266DB0" w:rsidRPr="00B95907">
        <w:t>API platform</w:t>
      </w:r>
      <w:r w:rsidR="00B46E0C" w:rsidRPr="00B95907">
        <w:t>. H</w:t>
      </w:r>
      <w:r w:rsidR="00961FC0" w:rsidRPr="00B95907">
        <w:t xml:space="preserve">owever </w:t>
      </w:r>
      <w:r w:rsidR="00A74816" w:rsidRPr="00B95907">
        <w:t xml:space="preserve">it </w:t>
      </w:r>
      <w:r w:rsidR="00C9692A" w:rsidRPr="00B95907">
        <w:t xml:space="preserve">steps beyond API </w:t>
      </w:r>
      <w:r w:rsidR="00A74816" w:rsidRPr="00B95907">
        <w:t>g</w:t>
      </w:r>
      <w:r w:rsidR="00C9692A" w:rsidRPr="00B95907">
        <w:t>ateway</w:t>
      </w:r>
      <w:r w:rsidR="00A74816" w:rsidRPr="00B95907">
        <w:t>s</w:t>
      </w:r>
      <w:r w:rsidR="00C9692A" w:rsidRPr="00B95907">
        <w:t xml:space="preserve"> to encompass all forms and methods of data exchange and sharing.  </w:t>
      </w:r>
    </w:p>
    <w:p w14:paraId="5F12BAF3" w14:textId="77777777" w:rsidR="00C9692A" w:rsidRPr="00B95907" w:rsidRDefault="00A74816" w:rsidP="00C9692A">
      <w:pPr>
        <w:pStyle w:val="DPCbody"/>
      </w:pPr>
      <w:r w:rsidRPr="00B95907">
        <w:t>Th</w:t>
      </w:r>
      <w:r w:rsidR="00B46E0C" w:rsidRPr="00B95907">
        <w:t>is</w:t>
      </w:r>
      <w:r w:rsidRPr="00B95907">
        <w:t xml:space="preserve"> </w:t>
      </w:r>
      <w:r w:rsidR="00266DB0" w:rsidRPr="00B95907">
        <w:t xml:space="preserve">data exchange framework </w:t>
      </w:r>
      <w:r w:rsidRPr="00B95907">
        <w:t xml:space="preserve">(framework) </w:t>
      </w:r>
      <w:r w:rsidR="00C9692A" w:rsidRPr="00B95907">
        <w:t>create</w:t>
      </w:r>
      <w:r w:rsidRPr="00B95907">
        <w:t>s</w:t>
      </w:r>
      <w:r w:rsidR="00C9692A" w:rsidRPr="00B95907">
        <w:t xml:space="preserve"> a standardised whole of </w:t>
      </w:r>
      <w:r w:rsidR="00E358DB" w:rsidRPr="00B95907">
        <w:t xml:space="preserve">Victorian </w:t>
      </w:r>
      <w:r w:rsidR="00C9692A" w:rsidRPr="00B95907">
        <w:t xml:space="preserve">government </w:t>
      </w:r>
      <w:r w:rsidR="00E358DB" w:rsidRPr="00B95907">
        <w:t xml:space="preserve">(WOVG) </w:t>
      </w:r>
      <w:r w:rsidR="00C9692A" w:rsidRPr="00B95907">
        <w:t>data exchange approach regardless of data</w:t>
      </w:r>
      <w:r w:rsidR="004B230A" w:rsidRPr="00B95907">
        <w:t xml:space="preserve"> type</w:t>
      </w:r>
      <w:r w:rsidR="00C9692A" w:rsidRPr="00B95907">
        <w:t>,</w:t>
      </w:r>
      <w:r w:rsidR="004B2EF7" w:rsidRPr="00B95907">
        <w:t xml:space="preserve"> classification,</w:t>
      </w:r>
      <w:r w:rsidR="00C9692A" w:rsidRPr="00B95907">
        <w:t xml:space="preserve"> </w:t>
      </w:r>
      <w:r w:rsidR="004B230A" w:rsidRPr="00B95907">
        <w:t xml:space="preserve">exchange </w:t>
      </w:r>
      <w:r w:rsidR="00266DB0" w:rsidRPr="00B95907">
        <w:t xml:space="preserve">method, </w:t>
      </w:r>
      <w:r w:rsidR="00C9692A" w:rsidRPr="00B95907">
        <w:t>platform</w:t>
      </w:r>
      <w:r w:rsidRPr="00B95907">
        <w:t xml:space="preserve">, or intended use. It </w:t>
      </w:r>
      <w:r w:rsidR="00C9692A" w:rsidRPr="00B95907">
        <w:t xml:space="preserve">identifies the key steps and components of data exchange and the overarching governance and business rules. </w:t>
      </w:r>
    </w:p>
    <w:p w14:paraId="6C9AE40D" w14:textId="77777777" w:rsidR="00C9692A" w:rsidRPr="00B95907" w:rsidRDefault="00C9692A" w:rsidP="00C9692A">
      <w:pPr>
        <w:pStyle w:val="DPCbody"/>
      </w:pPr>
      <w:r w:rsidRPr="00B95907">
        <w:t xml:space="preserve">The framework balances the need for privacy and legislative compliance with the need for </w:t>
      </w:r>
      <w:r w:rsidR="007C6C56" w:rsidRPr="00B95907">
        <w:t xml:space="preserve">better </w:t>
      </w:r>
      <w:r w:rsidRPr="00B95907">
        <w:t>insight</w:t>
      </w:r>
      <w:r w:rsidR="007C6C56" w:rsidRPr="00B95907">
        <w:t>s</w:t>
      </w:r>
      <w:r w:rsidR="00A74816" w:rsidRPr="00B95907">
        <w:t xml:space="preserve"> (</w:t>
      </w:r>
      <w:r w:rsidRPr="00B95907">
        <w:t>informed decisions</w:t>
      </w:r>
      <w:r w:rsidR="00A74816" w:rsidRPr="00B95907">
        <w:t xml:space="preserve"> and</w:t>
      </w:r>
      <w:r w:rsidRPr="00B95907">
        <w:t xml:space="preserve"> </w:t>
      </w:r>
      <w:r w:rsidR="00225E09" w:rsidRPr="00B95907">
        <w:t>evidence-based</w:t>
      </w:r>
      <w:r w:rsidRPr="00B95907">
        <w:t xml:space="preserve"> policy development</w:t>
      </w:r>
      <w:r w:rsidR="00A74816" w:rsidRPr="00B95907">
        <w:t>)</w:t>
      </w:r>
      <w:r w:rsidR="00EA66BB" w:rsidRPr="00B95907">
        <w:t>, performance reporting</w:t>
      </w:r>
      <w:r w:rsidRPr="00B95907">
        <w:t xml:space="preserve"> and operational efficiency. It provide</w:t>
      </w:r>
      <w:r w:rsidR="004B230A" w:rsidRPr="00B95907">
        <w:t>s</w:t>
      </w:r>
      <w:r w:rsidRPr="00B95907">
        <w:t xml:space="preserve"> an authorising environment to </w:t>
      </w:r>
      <w:r w:rsidR="00EA66BB" w:rsidRPr="00B95907">
        <w:t xml:space="preserve">enable </w:t>
      </w:r>
      <w:r w:rsidRPr="00B95907">
        <w:t xml:space="preserve">data exchange and sharing </w:t>
      </w:r>
      <w:r w:rsidR="00EA66BB" w:rsidRPr="00B95907">
        <w:t>in day to day practice.</w:t>
      </w:r>
    </w:p>
    <w:p w14:paraId="0D2BB685" w14:textId="77777777" w:rsidR="004A36B2" w:rsidRPr="00B95907" w:rsidRDefault="004A36B2" w:rsidP="004A36B2">
      <w:pPr>
        <w:pStyle w:val="DPCbody"/>
      </w:pPr>
      <w:r w:rsidRPr="00B95907">
        <w:t xml:space="preserve">The framework supports the </w:t>
      </w:r>
      <w:r w:rsidR="002A5A13" w:rsidRPr="00B95907">
        <w:t xml:space="preserve">government’s Data Reform Strategy and the </w:t>
      </w:r>
      <w:r w:rsidRPr="00B95907">
        <w:t>IT strategy’s objectives of increasing access to government data by staff and systems</w:t>
      </w:r>
      <w:r w:rsidR="004B2EF7" w:rsidRPr="00B95907">
        <w:t xml:space="preserve"> and</w:t>
      </w:r>
      <w:r w:rsidRPr="00B95907">
        <w:t xml:space="preserve"> managing data holistically to remove duplication and gaps.</w:t>
      </w:r>
    </w:p>
    <w:p w14:paraId="6105C017" w14:textId="77777777" w:rsidR="003E3223" w:rsidRPr="00B95907" w:rsidRDefault="003E3223" w:rsidP="003E3223">
      <w:pPr>
        <w:pStyle w:val="Heading2"/>
      </w:pPr>
      <w:r w:rsidRPr="00B95907">
        <w:t xml:space="preserve">Data exchange </w:t>
      </w:r>
      <w:bookmarkEnd w:id="3"/>
      <w:r w:rsidR="008B6C6A" w:rsidRPr="00B95907">
        <w:t>defined</w:t>
      </w:r>
    </w:p>
    <w:p w14:paraId="34A71FE7" w14:textId="77777777" w:rsidR="00FA4625" w:rsidRPr="00B95907" w:rsidRDefault="0044436B" w:rsidP="00FA4625">
      <w:pPr>
        <w:pStyle w:val="DPCbody"/>
      </w:pPr>
      <w:bookmarkStart w:id="4" w:name="_Toc503861412"/>
      <w:r w:rsidRPr="00B95907">
        <w:t>T</w:t>
      </w:r>
      <w:r w:rsidR="00FA6A31" w:rsidRPr="00B95907">
        <w:t xml:space="preserve">he </w:t>
      </w:r>
      <w:r w:rsidR="00266DB0" w:rsidRPr="00B95907">
        <w:t>IT strategy</w:t>
      </w:r>
      <w:r w:rsidR="00FA6A31" w:rsidRPr="00B95907">
        <w:t xml:space="preserve"> </w:t>
      </w:r>
      <w:r w:rsidRPr="00B95907">
        <w:t xml:space="preserve">defines </w:t>
      </w:r>
      <w:r w:rsidR="007C6C56" w:rsidRPr="00B95907">
        <w:t>‘</w:t>
      </w:r>
      <w:r w:rsidR="00FA4625" w:rsidRPr="00B95907">
        <w:t>data</w:t>
      </w:r>
      <w:r w:rsidR="007C6C56" w:rsidRPr="00B95907">
        <w:t>’</w:t>
      </w:r>
      <w:r w:rsidR="00FA4625" w:rsidRPr="00B95907">
        <w:t xml:space="preserve"> </w:t>
      </w:r>
      <w:r w:rsidR="00B55F34" w:rsidRPr="00B95907">
        <w:t>as “…a more fundamental component of information. It forms the building blocks of information and needs to have its context formally described to be useful. For information technology purposes, data tends to describe highly structured information (such as in a database). One example is the tables of financial figures in the Budget papers.”</w:t>
      </w:r>
    </w:p>
    <w:p w14:paraId="0A7FA9D4" w14:textId="77777777" w:rsidR="00B55F34" w:rsidRPr="00B95907" w:rsidRDefault="00B55F34" w:rsidP="00FA4625">
      <w:pPr>
        <w:pStyle w:val="DPCbody"/>
      </w:pPr>
      <w:r w:rsidRPr="00B95907">
        <w:t>For the purpose of this framework ‘data exchange’ refers to exchanging or transferring data in a secure, authorised and predefined way whether automated; real time or near real time; system to system; via secure file transfer; bulk uploads or once</w:t>
      </w:r>
      <w:r w:rsidR="007C6C56" w:rsidRPr="00B95907">
        <w:t>-</w:t>
      </w:r>
      <w:r w:rsidRPr="00B95907">
        <w:t>off.</w:t>
      </w:r>
    </w:p>
    <w:p w14:paraId="5EA2D360" w14:textId="77777777" w:rsidR="008B6C6A" w:rsidRPr="00B95907" w:rsidRDefault="008B6C6A" w:rsidP="003E3223">
      <w:pPr>
        <w:pStyle w:val="Heading2"/>
      </w:pPr>
      <w:r w:rsidRPr="00B95907">
        <w:lastRenderedPageBreak/>
        <w:t>Objectives</w:t>
      </w:r>
    </w:p>
    <w:p w14:paraId="2793EDE8" w14:textId="77777777" w:rsidR="008B6C6A" w:rsidRPr="00B95907" w:rsidRDefault="008B6C6A" w:rsidP="008B6C6A">
      <w:pPr>
        <w:pStyle w:val="DPCbody"/>
      </w:pPr>
      <w:r w:rsidRPr="00B95907">
        <w:t>The objectives of the framework are to:</w:t>
      </w:r>
    </w:p>
    <w:p w14:paraId="711AA390" w14:textId="77777777" w:rsidR="002725ED" w:rsidRPr="00B95907" w:rsidRDefault="00501A00" w:rsidP="00464A22">
      <w:pPr>
        <w:pStyle w:val="DPCbody"/>
        <w:numPr>
          <w:ilvl w:val="0"/>
          <w:numId w:val="20"/>
        </w:numPr>
      </w:pPr>
      <w:r w:rsidRPr="00B95907">
        <w:t>Enable</w:t>
      </w:r>
      <w:r w:rsidR="002725ED" w:rsidRPr="00B95907">
        <w:t xml:space="preserve">, </w:t>
      </w:r>
      <w:r w:rsidRPr="00B95907">
        <w:t xml:space="preserve">encourage </w:t>
      </w:r>
      <w:r w:rsidR="002725ED" w:rsidRPr="00B95907">
        <w:t>and authorise data exchange to increase the value of the investment in government data</w:t>
      </w:r>
      <w:r w:rsidR="00AE7E2B" w:rsidRPr="00B95907">
        <w:t xml:space="preserve"> and </w:t>
      </w:r>
      <w:r w:rsidR="00464A22" w:rsidRPr="00B95907">
        <w:t>ease the sharing and/or integration of data between government</w:t>
      </w:r>
      <w:r w:rsidR="000556B4" w:rsidRPr="00B95907">
        <w:t xml:space="preserve"> (inter/intra department and agencies), </w:t>
      </w:r>
      <w:r w:rsidR="00464A22" w:rsidRPr="00B95907">
        <w:t>third parties</w:t>
      </w:r>
      <w:r w:rsidR="000556B4" w:rsidRPr="00B95907">
        <w:t xml:space="preserve"> (managing information on behalf of government) and other jurisdictions.</w:t>
      </w:r>
    </w:p>
    <w:p w14:paraId="2601B3B1" w14:textId="77777777" w:rsidR="00185B83" w:rsidRPr="00B95907" w:rsidRDefault="002725ED" w:rsidP="00B23858">
      <w:pPr>
        <w:pStyle w:val="DPCbody"/>
        <w:numPr>
          <w:ilvl w:val="0"/>
          <w:numId w:val="20"/>
        </w:numPr>
      </w:pPr>
      <w:r w:rsidRPr="00B95907">
        <w:t>R</w:t>
      </w:r>
      <w:r w:rsidR="00501A00" w:rsidRPr="00B95907">
        <w:t xml:space="preserve">educe the cost and resource intensity of data exchange by creating a standardised </w:t>
      </w:r>
      <w:r w:rsidR="007C6C56" w:rsidRPr="00B95907">
        <w:t xml:space="preserve">WOVG </w:t>
      </w:r>
      <w:r w:rsidR="00501A00" w:rsidRPr="00B95907">
        <w:t>data exchange approach (regardless of data</w:t>
      </w:r>
      <w:r w:rsidR="00604664" w:rsidRPr="00B95907">
        <w:t xml:space="preserve"> type</w:t>
      </w:r>
      <w:r w:rsidR="00501A00" w:rsidRPr="00B95907">
        <w:t xml:space="preserve">, </w:t>
      </w:r>
      <w:r w:rsidR="00604664" w:rsidRPr="00B95907">
        <w:t xml:space="preserve">data exchange </w:t>
      </w:r>
      <w:r w:rsidR="00501A00" w:rsidRPr="00B95907">
        <w:t>method or platform</w:t>
      </w:r>
      <w:r w:rsidR="00464A22" w:rsidRPr="00B95907">
        <w:t xml:space="preserve"> or intended </w:t>
      </w:r>
      <w:r w:rsidR="00B55F34" w:rsidRPr="00B95907">
        <w:t>use</w:t>
      </w:r>
      <w:r w:rsidR="00501A00" w:rsidRPr="00B95907">
        <w:t>)</w:t>
      </w:r>
      <w:r w:rsidR="00B23858" w:rsidRPr="00B95907">
        <w:t xml:space="preserve"> and ensure responsibilities for the data after exchange are clear and agreed prior to exchange.</w:t>
      </w:r>
    </w:p>
    <w:p w14:paraId="2A5741D4" w14:textId="77777777" w:rsidR="00D379B5" w:rsidRPr="00B95907" w:rsidRDefault="009B5F3B" w:rsidP="00D379B5">
      <w:pPr>
        <w:pStyle w:val="DPCbody"/>
        <w:numPr>
          <w:ilvl w:val="0"/>
          <w:numId w:val="20"/>
        </w:numPr>
      </w:pPr>
      <w:r w:rsidRPr="00B95907">
        <w:t>Retain data integrity</w:t>
      </w:r>
      <w:r w:rsidR="00D379B5" w:rsidRPr="00B95907">
        <w:t xml:space="preserve"> by considering the </w:t>
      </w:r>
      <w:r w:rsidRPr="00B95907">
        <w:t xml:space="preserve">quality, </w:t>
      </w:r>
      <w:r w:rsidR="00D379B5" w:rsidRPr="00B95907">
        <w:t>value and authenticity of the data being exchanged.</w:t>
      </w:r>
    </w:p>
    <w:p w14:paraId="70852227" w14:textId="77777777" w:rsidR="002725ED" w:rsidRPr="00B95907" w:rsidRDefault="002725ED" w:rsidP="002725ED">
      <w:pPr>
        <w:pStyle w:val="DPCbody"/>
        <w:numPr>
          <w:ilvl w:val="0"/>
          <w:numId w:val="20"/>
        </w:numPr>
      </w:pPr>
      <w:r w:rsidRPr="00B95907">
        <w:t xml:space="preserve">Balance the need for safety and transparency in data exchange with the need for better informed decisions, </w:t>
      </w:r>
      <w:r w:rsidR="008D274C" w:rsidRPr="00B95907">
        <w:t>evidence-based</w:t>
      </w:r>
      <w:r w:rsidRPr="00B95907">
        <w:t xml:space="preserve"> policy development, performance reporting and operational efficiency.</w:t>
      </w:r>
    </w:p>
    <w:p w14:paraId="3E7C1E97" w14:textId="77777777" w:rsidR="006F203A" w:rsidRPr="00B95907" w:rsidRDefault="007C6C56" w:rsidP="006F203A">
      <w:pPr>
        <w:pStyle w:val="DPCbody"/>
        <w:numPr>
          <w:ilvl w:val="0"/>
          <w:numId w:val="20"/>
        </w:numPr>
      </w:pPr>
      <w:r w:rsidRPr="00B95907">
        <w:t>E</w:t>
      </w:r>
      <w:r w:rsidR="006F203A" w:rsidRPr="00B95907">
        <w:t>nsure data exchanges are fit-for-purpose (i.e. meet business needs) and able to be supported.</w:t>
      </w:r>
    </w:p>
    <w:p w14:paraId="3AAE5A67" w14:textId="77777777" w:rsidR="000044BF" w:rsidRPr="00B95907" w:rsidRDefault="000044BF" w:rsidP="000044BF">
      <w:pPr>
        <w:pStyle w:val="Heading2"/>
      </w:pPr>
      <w:r w:rsidRPr="00B95907">
        <w:t>Target audience</w:t>
      </w:r>
    </w:p>
    <w:p w14:paraId="4DCEE933" w14:textId="77777777" w:rsidR="000044BF" w:rsidRPr="00B95907" w:rsidRDefault="000044BF" w:rsidP="000044BF">
      <w:pPr>
        <w:pStyle w:val="DPCbody"/>
      </w:pPr>
      <w:r w:rsidRPr="00B95907">
        <w:t>The framework is targeted at data owners</w:t>
      </w:r>
      <w:r w:rsidR="00C45BB0" w:rsidRPr="00B95907">
        <w:t xml:space="preserve"> and</w:t>
      </w:r>
      <w:r w:rsidRPr="00B95907">
        <w:t xml:space="preserve"> data custodians</w:t>
      </w:r>
      <w:r w:rsidR="00C45BB0" w:rsidRPr="00B95907">
        <w:t xml:space="preserve"> (from within the business)</w:t>
      </w:r>
      <w:r w:rsidRPr="00B95907">
        <w:t xml:space="preserve">, data exchange requestors, data and information management practitioners and information technology specialists.  </w:t>
      </w:r>
    </w:p>
    <w:p w14:paraId="15D523D2" w14:textId="77777777" w:rsidR="00291CE3" w:rsidRPr="00B95907" w:rsidRDefault="008B6C6A" w:rsidP="003E3223">
      <w:pPr>
        <w:pStyle w:val="Heading2"/>
      </w:pPr>
      <w:r w:rsidRPr="00B95907">
        <w:t>Scope</w:t>
      </w:r>
      <w:r w:rsidR="00D46777" w:rsidRPr="00B95907">
        <w:t xml:space="preserve"> of the framework</w:t>
      </w:r>
    </w:p>
    <w:p w14:paraId="2CCBDE0C" w14:textId="77777777" w:rsidR="008B6C6A" w:rsidRPr="00B95907" w:rsidRDefault="008B6C6A" w:rsidP="008B6C6A">
      <w:pPr>
        <w:pStyle w:val="DPCbody"/>
      </w:pPr>
      <w:r w:rsidRPr="00B95907">
        <w:t>The scope of the framework is:</w:t>
      </w:r>
    </w:p>
    <w:p w14:paraId="24123306" w14:textId="77777777" w:rsidR="00185B83" w:rsidRPr="00B95907" w:rsidRDefault="00D545E2" w:rsidP="00604664">
      <w:pPr>
        <w:pStyle w:val="DPCbody"/>
        <w:numPr>
          <w:ilvl w:val="0"/>
          <w:numId w:val="21"/>
        </w:numPr>
      </w:pPr>
      <w:r w:rsidRPr="00B95907">
        <w:t xml:space="preserve">exchange </w:t>
      </w:r>
      <w:r w:rsidR="00F20252" w:rsidRPr="00B95907">
        <w:t xml:space="preserve">and transfer </w:t>
      </w:r>
      <w:r w:rsidRPr="00B95907">
        <w:t xml:space="preserve">of </w:t>
      </w:r>
      <w:r w:rsidR="00604664" w:rsidRPr="00B95907">
        <w:t>s</w:t>
      </w:r>
      <w:r w:rsidR="00501A00" w:rsidRPr="00B95907">
        <w:t>tructured data</w:t>
      </w:r>
    </w:p>
    <w:p w14:paraId="693C3DA7" w14:textId="77777777" w:rsidR="00185B83" w:rsidRPr="00B95907" w:rsidRDefault="00604664" w:rsidP="00604664">
      <w:pPr>
        <w:pStyle w:val="DPCbody"/>
        <w:numPr>
          <w:ilvl w:val="0"/>
          <w:numId w:val="21"/>
        </w:numPr>
      </w:pPr>
      <w:r w:rsidRPr="00B95907">
        <w:t>s</w:t>
      </w:r>
      <w:r w:rsidR="00501A00" w:rsidRPr="00B95907">
        <w:t>ystem</w:t>
      </w:r>
      <w:r w:rsidR="001B4A43" w:rsidRPr="00B95907">
        <w:t>-</w:t>
      </w:r>
      <w:r w:rsidR="00501A00" w:rsidRPr="00B95907">
        <w:t>to</w:t>
      </w:r>
      <w:r w:rsidR="001B4A43" w:rsidRPr="00B95907">
        <w:t>-</w:t>
      </w:r>
      <w:r w:rsidR="00501A00" w:rsidRPr="00B95907">
        <w:t>system</w:t>
      </w:r>
      <w:r w:rsidRPr="00B95907">
        <w:t xml:space="preserve"> </w:t>
      </w:r>
      <w:r w:rsidR="00501A00" w:rsidRPr="00B95907">
        <w:t>exchange</w:t>
      </w:r>
      <w:r w:rsidR="00464A22" w:rsidRPr="00B95907">
        <w:t xml:space="preserve"> or file transfer</w:t>
      </w:r>
      <w:r w:rsidR="00501A00" w:rsidRPr="00B95907">
        <w:t xml:space="preserve"> including bulk uploads,</w:t>
      </w:r>
      <w:r w:rsidR="00464A22" w:rsidRPr="00B95907">
        <w:t xml:space="preserve"> once off,</w:t>
      </w:r>
      <w:r w:rsidR="00501A00" w:rsidRPr="00B95907">
        <w:t xml:space="preserve"> automated</w:t>
      </w:r>
      <w:r w:rsidR="00464A22" w:rsidRPr="00B95907">
        <w:t xml:space="preserve">, </w:t>
      </w:r>
      <w:r w:rsidR="00501A00" w:rsidRPr="00B95907">
        <w:t>real</w:t>
      </w:r>
      <w:r w:rsidR="001B4A43" w:rsidRPr="00B95907">
        <w:t xml:space="preserve"> </w:t>
      </w:r>
      <w:r w:rsidR="00501A00" w:rsidRPr="00B95907">
        <w:t xml:space="preserve">time </w:t>
      </w:r>
      <w:r w:rsidR="00464A22" w:rsidRPr="00B95907">
        <w:t>and near</w:t>
      </w:r>
      <w:r w:rsidR="001B4A43" w:rsidRPr="00B95907">
        <w:t>-</w:t>
      </w:r>
      <w:r w:rsidR="00464A22" w:rsidRPr="00B95907">
        <w:t>real</w:t>
      </w:r>
      <w:r w:rsidR="001B4A43" w:rsidRPr="00B95907">
        <w:t xml:space="preserve"> </w:t>
      </w:r>
      <w:r w:rsidR="00464A22" w:rsidRPr="00B95907">
        <w:t xml:space="preserve">time </w:t>
      </w:r>
    </w:p>
    <w:p w14:paraId="47160CA7" w14:textId="77777777" w:rsidR="00291CE3" w:rsidRPr="00B95907" w:rsidRDefault="009F7221" w:rsidP="00604664">
      <w:pPr>
        <w:pStyle w:val="DPCbody"/>
        <w:numPr>
          <w:ilvl w:val="0"/>
          <w:numId w:val="21"/>
        </w:numPr>
        <w:rPr>
          <w:lang w:eastAsia="en-AU"/>
        </w:rPr>
      </w:pPr>
      <w:r w:rsidRPr="00B95907">
        <w:t xml:space="preserve">data exchange </w:t>
      </w:r>
      <w:r w:rsidR="008B6C6A" w:rsidRPr="00B95907">
        <w:t xml:space="preserve">inter/intra </w:t>
      </w:r>
      <w:r w:rsidR="00501A00" w:rsidRPr="00B95907">
        <w:t xml:space="preserve">department, </w:t>
      </w:r>
      <w:r w:rsidRPr="00B95907">
        <w:t xml:space="preserve">with </w:t>
      </w:r>
      <w:r w:rsidR="00501A00" w:rsidRPr="00B95907">
        <w:t xml:space="preserve">agencies, </w:t>
      </w:r>
      <w:r w:rsidR="00464A22" w:rsidRPr="00B95907">
        <w:t>third parties</w:t>
      </w:r>
      <w:r w:rsidR="000556B4" w:rsidRPr="00B95907">
        <w:t xml:space="preserve"> (managing information on behalf of government) </w:t>
      </w:r>
      <w:r w:rsidR="00501A00" w:rsidRPr="00B95907">
        <w:t>and other jurisdictions</w:t>
      </w:r>
      <w:r w:rsidR="008B6C6A" w:rsidRPr="00B95907">
        <w:t>.</w:t>
      </w:r>
      <w:r w:rsidR="00291CE3" w:rsidRPr="00B95907">
        <w:t xml:space="preserve"> </w:t>
      </w:r>
    </w:p>
    <w:p w14:paraId="33F04C78" w14:textId="77777777" w:rsidR="008E5D74" w:rsidRPr="00B95907" w:rsidRDefault="008E5D74" w:rsidP="00196B4A">
      <w:pPr>
        <w:pStyle w:val="DPCbody"/>
        <w:rPr>
          <w:lang w:eastAsia="en-AU"/>
        </w:rPr>
      </w:pPr>
      <w:r w:rsidRPr="00B95907">
        <w:rPr>
          <w:noProof/>
          <w:lang w:eastAsia="en-AU"/>
        </w:rPr>
        <w:drawing>
          <wp:anchor distT="0" distB="0" distL="114300" distR="114300" simplePos="0" relativeHeight="251667456" behindDoc="1" locked="1" layoutInCell="1" allowOverlap="0" wp14:anchorId="096422EA" wp14:editId="619C15CA">
            <wp:simplePos x="0" y="0"/>
            <wp:positionH relativeFrom="column">
              <wp:posOffset>-18415</wp:posOffset>
            </wp:positionH>
            <wp:positionV relativeFrom="paragraph">
              <wp:posOffset>26035</wp:posOffset>
            </wp:positionV>
            <wp:extent cx="449580" cy="356235"/>
            <wp:effectExtent l="0" t="0" r="7620" b="5715"/>
            <wp:wrapTight wrapText="bothSides">
              <wp:wrapPolygon edited="0">
                <wp:start x="0" y="0"/>
                <wp:lineTo x="0" y="20791"/>
                <wp:lineTo x="21051" y="20791"/>
                <wp:lineTo x="2105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6">
                      <a:extLst>
                        <a:ext uri="{28A0092B-C50C-407E-A947-70E740481C1C}">
                          <a14:useLocalDpi xmlns:a14="http://schemas.microsoft.com/office/drawing/2010/main" val="0"/>
                        </a:ext>
                      </a:extLst>
                    </a:blip>
                    <a:stretch>
                      <a:fillRect/>
                    </a:stretch>
                  </pic:blipFill>
                  <pic:spPr>
                    <a:xfrm>
                      <a:off x="0" y="0"/>
                      <a:ext cx="449580" cy="356235"/>
                    </a:xfrm>
                    <a:prstGeom prst="rect">
                      <a:avLst/>
                    </a:prstGeom>
                  </pic:spPr>
                </pic:pic>
              </a:graphicData>
            </a:graphic>
            <wp14:sizeRelH relativeFrom="margin">
              <wp14:pctWidth>0</wp14:pctWidth>
            </wp14:sizeRelH>
            <wp14:sizeRelV relativeFrom="margin">
              <wp14:pctHeight>0</wp14:pctHeight>
            </wp14:sizeRelV>
          </wp:anchor>
        </w:drawing>
      </w:r>
      <w:r w:rsidR="008851ED" w:rsidRPr="00B95907">
        <w:t xml:space="preserve">The framework should be applied to new data exchange arrangements or existing data exchange arrangements that are being re-negotiated.  </w:t>
      </w:r>
    </w:p>
    <w:p w14:paraId="24B25D5B" w14:textId="77777777" w:rsidR="001B4A43" w:rsidRPr="00B95907" w:rsidRDefault="001B4A43">
      <w:pPr>
        <w:rPr>
          <w:rFonts w:asciiTheme="majorHAnsi" w:eastAsia="MS Gothic" w:hAnsiTheme="majorHAnsi"/>
          <w:bCs/>
          <w:iCs/>
          <w:color w:val="0072CE"/>
          <w:sz w:val="36"/>
          <w:szCs w:val="36"/>
        </w:rPr>
      </w:pPr>
      <w:r w:rsidRPr="00B95907">
        <w:br w:type="page"/>
      </w:r>
    </w:p>
    <w:p w14:paraId="69B423A7" w14:textId="77777777" w:rsidR="003E3223" w:rsidRPr="00B95907" w:rsidRDefault="003E3223" w:rsidP="003E3223">
      <w:pPr>
        <w:pStyle w:val="Heading2"/>
      </w:pPr>
      <w:r w:rsidRPr="00B95907">
        <w:lastRenderedPageBreak/>
        <w:t>Principles</w:t>
      </w:r>
      <w:bookmarkEnd w:id="4"/>
    </w:p>
    <w:p w14:paraId="3EC8B554" w14:textId="77777777" w:rsidR="0077716A" w:rsidRPr="00B95907" w:rsidRDefault="008E5D74" w:rsidP="00291CE3">
      <w:pPr>
        <w:pStyle w:val="DPCbody"/>
      </w:pPr>
      <w:r w:rsidRPr="00B95907">
        <w:t xml:space="preserve">Victorian </w:t>
      </w:r>
      <w:r w:rsidR="001B4A43" w:rsidRPr="00B95907">
        <w:t>g</w:t>
      </w:r>
      <w:r w:rsidRPr="00B95907">
        <w:t>overnment data exchange</w:t>
      </w:r>
      <w:r w:rsidR="0077716A" w:rsidRPr="00B95907">
        <w:t xml:space="preserve"> will be based on the following principles</w:t>
      </w:r>
      <w:r w:rsidR="0047161D" w:rsidRPr="00B95907">
        <w:rPr>
          <w:rStyle w:val="FootnoteReference"/>
        </w:rPr>
        <w:footnoteReference w:id="1"/>
      </w:r>
      <w:r w:rsidR="0077716A" w:rsidRPr="00B95907">
        <w:t>:</w:t>
      </w:r>
    </w:p>
    <w:tbl>
      <w:tblPr>
        <w:tblStyle w:val="TableGrid"/>
        <w:tblW w:w="0" w:type="auto"/>
        <w:tblLook w:val="04A0" w:firstRow="1" w:lastRow="0" w:firstColumn="1" w:lastColumn="0" w:noHBand="0" w:noVBand="1"/>
      </w:tblPr>
      <w:tblGrid>
        <w:gridCol w:w="3544"/>
        <w:gridCol w:w="6203"/>
      </w:tblGrid>
      <w:tr w:rsidR="006E1AB5" w:rsidRPr="00B95907" w14:paraId="2C849077" w14:textId="77777777" w:rsidTr="00A245A2">
        <w:tc>
          <w:tcPr>
            <w:tcW w:w="3544" w:type="dxa"/>
          </w:tcPr>
          <w:p w14:paraId="5F4071D7" w14:textId="77777777" w:rsidR="006E1AB5" w:rsidRPr="00B95907" w:rsidRDefault="00A245A2" w:rsidP="00A245A2">
            <w:pPr>
              <w:pStyle w:val="DPCbody"/>
              <w:numPr>
                <w:ilvl w:val="0"/>
                <w:numId w:val="9"/>
              </w:numPr>
            </w:pPr>
            <w:r w:rsidRPr="00B95907">
              <w:t>Transparent and c</w:t>
            </w:r>
            <w:r w:rsidR="006E1AB5" w:rsidRPr="00B95907">
              <w:t xml:space="preserve">ollaborative </w:t>
            </w:r>
            <w:r w:rsidR="00B55F34" w:rsidRPr="00B95907">
              <w:t>accountability</w:t>
            </w:r>
          </w:p>
        </w:tc>
        <w:tc>
          <w:tcPr>
            <w:tcW w:w="6203" w:type="dxa"/>
          </w:tcPr>
          <w:p w14:paraId="465C22B1" w14:textId="77777777" w:rsidR="00B55F34" w:rsidRPr="00B95907" w:rsidRDefault="00B55F34" w:rsidP="00EC6C5C">
            <w:pPr>
              <w:pStyle w:val="DPCbody"/>
            </w:pPr>
            <w:r w:rsidRPr="00B95907">
              <w:t xml:space="preserve">Parties to a data exchange will collaboratively work together to ensure a </w:t>
            </w:r>
            <w:r w:rsidR="0047161D" w:rsidRPr="00B95907">
              <w:t xml:space="preserve">secure, authorised, predefined </w:t>
            </w:r>
            <w:r w:rsidRPr="00B95907">
              <w:t xml:space="preserve">and transparent data exchange. </w:t>
            </w:r>
          </w:p>
          <w:p w14:paraId="57ABB51E" w14:textId="77777777" w:rsidR="0047161D" w:rsidRPr="00B95907" w:rsidRDefault="00B55F34" w:rsidP="0047161D">
            <w:pPr>
              <w:pStyle w:val="DPCbody"/>
            </w:pPr>
            <w:r w:rsidRPr="00B95907">
              <w:t>R</w:t>
            </w:r>
            <w:r w:rsidR="006E1AB5" w:rsidRPr="00B95907">
              <w:t xml:space="preserve">oles and responsibilities for all parties involved in the </w:t>
            </w:r>
            <w:r w:rsidRPr="00B95907">
              <w:t>data</w:t>
            </w:r>
            <w:r w:rsidR="00EC6C5C" w:rsidRPr="00B95907">
              <w:t xml:space="preserve"> exchange</w:t>
            </w:r>
            <w:r w:rsidRPr="00B95907">
              <w:t xml:space="preserve"> are clearly define</w:t>
            </w:r>
            <w:r w:rsidR="00EC6C5C" w:rsidRPr="00B95907">
              <w:t>d and communicated.</w:t>
            </w:r>
          </w:p>
          <w:p w14:paraId="7150316A" w14:textId="77777777" w:rsidR="00D36A52" w:rsidRPr="00B95907" w:rsidRDefault="00B55F34" w:rsidP="0047161D">
            <w:pPr>
              <w:pStyle w:val="DPCbody"/>
            </w:pPr>
            <w:r w:rsidRPr="00B95907">
              <w:t>Data ownership and accountability throughout the data exchange process is understood.</w:t>
            </w:r>
          </w:p>
        </w:tc>
      </w:tr>
      <w:tr w:rsidR="00240C7B" w:rsidRPr="00B95907" w14:paraId="242BCF08" w14:textId="77777777" w:rsidTr="00A245A2">
        <w:tc>
          <w:tcPr>
            <w:tcW w:w="3544" w:type="dxa"/>
          </w:tcPr>
          <w:p w14:paraId="74A700DD" w14:textId="77777777" w:rsidR="00240C7B" w:rsidRPr="00B95907" w:rsidRDefault="00240C7B" w:rsidP="00E222B0">
            <w:pPr>
              <w:pStyle w:val="DPCbody"/>
              <w:numPr>
                <w:ilvl w:val="0"/>
                <w:numId w:val="9"/>
              </w:numPr>
            </w:pPr>
            <w:r w:rsidRPr="00B95907">
              <w:t xml:space="preserve">Enabled </w:t>
            </w:r>
            <w:r w:rsidR="00B55F34" w:rsidRPr="00B95907">
              <w:t>exchange</w:t>
            </w:r>
          </w:p>
        </w:tc>
        <w:tc>
          <w:tcPr>
            <w:tcW w:w="6203" w:type="dxa"/>
          </w:tcPr>
          <w:p w14:paraId="45D9241B" w14:textId="77777777" w:rsidR="00240C7B" w:rsidRPr="00B95907" w:rsidRDefault="00240C7B" w:rsidP="00EC6C5C">
            <w:pPr>
              <w:pStyle w:val="DPCbody"/>
            </w:pPr>
            <w:r w:rsidRPr="00B95907">
              <w:t>Data from different sources is </w:t>
            </w:r>
            <w:r w:rsidRPr="00B95907">
              <w:rPr>
                <w:bCs/>
              </w:rPr>
              <w:t>able to be exchanged</w:t>
            </w:r>
            <w:r w:rsidRPr="00B95907">
              <w:t> and used appropriately</w:t>
            </w:r>
            <w:r w:rsidR="00EC6C5C" w:rsidRPr="00B95907">
              <w:t>.</w:t>
            </w:r>
          </w:p>
          <w:p w14:paraId="364B0989" w14:textId="77777777" w:rsidR="00F7693B" w:rsidRPr="00B95907" w:rsidRDefault="00F7693B" w:rsidP="00EC6C5C">
            <w:pPr>
              <w:pStyle w:val="DPCbody"/>
            </w:pPr>
            <w:r w:rsidRPr="00B95907">
              <w:t>All data requests are managed and responded to within a timely and accommodating manner.</w:t>
            </w:r>
          </w:p>
          <w:p w14:paraId="77B98B8E" w14:textId="77777777" w:rsidR="0047161D" w:rsidRPr="00B95907" w:rsidRDefault="00EC6C5C" w:rsidP="00EC6C5C">
            <w:pPr>
              <w:pStyle w:val="DPCbody"/>
            </w:pPr>
            <w:r w:rsidRPr="00B95907">
              <w:t>Departments proactively seek and provide data via data exchange arrangements.</w:t>
            </w:r>
          </w:p>
        </w:tc>
      </w:tr>
      <w:tr w:rsidR="00240C7B" w:rsidRPr="00B95907" w14:paraId="4EB0DFAC" w14:textId="77777777" w:rsidTr="00A245A2">
        <w:tc>
          <w:tcPr>
            <w:tcW w:w="3544" w:type="dxa"/>
          </w:tcPr>
          <w:p w14:paraId="3FB236E7" w14:textId="77777777" w:rsidR="00240C7B" w:rsidRPr="00B95907" w:rsidRDefault="0047161D" w:rsidP="00EC6C5C">
            <w:pPr>
              <w:pStyle w:val="DPCbody"/>
              <w:numPr>
                <w:ilvl w:val="0"/>
                <w:numId w:val="9"/>
              </w:numPr>
            </w:pPr>
            <w:proofErr w:type="spellStart"/>
            <w:r w:rsidRPr="00B95907">
              <w:rPr>
                <w:lang w:val="en-US"/>
              </w:rPr>
              <w:t>Authorised</w:t>
            </w:r>
            <w:proofErr w:type="spellEnd"/>
            <w:r w:rsidR="00EC6C5C" w:rsidRPr="00B95907">
              <w:rPr>
                <w:lang w:val="en-US"/>
              </w:rPr>
              <w:t xml:space="preserve"> exchange</w:t>
            </w:r>
          </w:p>
        </w:tc>
        <w:tc>
          <w:tcPr>
            <w:tcW w:w="6203" w:type="dxa"/>
          </w:tcPr>
          <w:p w14:paraId="32F12352" w14:textId="77777777" w:rsidR="00EC6C5C" w:rsidRPr="00B95907" w:rsidRDefault="00EC6C5C" w:rsidP="00EC6C5C">
            <w:pPr>
              <w:pStyle w:val="DPCbody"/>
            </w:pPr>
            <w:r w:rsidRPr="00B95907">
              <w:t>The authority</w:t>
            </w:r>
            <w:r w:rsidR="0047161D" w:rsidRPr="00B95907">
              <w:t xml:space="preserve"> (and approval)</w:t>
            </w:r>
            <w:r w:rsidRPr="00B95907">
              <w:t xml:space="preserve"> to exchange data is understood by all parties involved.</w:t>
            </w:r>
          </w:p>
          <w:p w14:paraId="67E4CDBD" w14:textId="77777777" w:rsidR="00240C7B" w:rsidRPr="00B95907" w:rsidRDefault="00F7693B" w:rsidP="00EC6C5C">
            <w:pPr>
              <w:pStyle w:val="DPCbody"/>
            </w:pPr>
            <w:r w:rsidRPr="00B95907">
              <w:t>D</w:t>
            </w:r>
            <w:r w:rsidR="00EC6C5C" w:rsidRPr="00B95907">
              <w:t xml:space="preserve">ata privacy, confidentiality, security and intellectual property </w:t>
            </w:r>
            <w:r w:rsidR="0047161D" w:rsidRPr="00B95907">
              <w:t>is</w:t>
            </w:r>
            <w:r w:rsidR="00EC6C5C" w:rsidRPr="00B95907">
              <w:t xml:space="preserve"> respected and protected</w:t>
            </w:r>
            <w:r w:rsidR="004E394A" w:rsidRPr="00B95907">
              <w:t xml:space="preserve"> during and after the exchange of date.</w:t>
            </w:r>
          </w:p>
          <w:p w14:paraId="4FB5BA67" w14:textId="77777777" w:rsidR="00F7693B" w:rsidRPr="00B95907" w:rsidRDefault="0047161D" w:rsidP="00EC6C5C">
            <w:pPr>
              <w:pStyle w:val="DPCbody"/>
            </w:pPr>
            <w:r w:rsidRPr="00B95907">
              <w:t>Limitations to data exchange are understood, managed and communicated.</w:t>
            </w:r>
          </w:p>
          <w:p w14:paraId="09BCED18" w14:textId="77777777" w:rsidR="004E394A" w:rsidRPr="00B95907" w:rsidRDefault="0047161D" w:rsidP="00D36A52">
            <w:pPr>
              <w:pStyle w:val="DPCbody"/>
            </w:pPr>
            <w:r w:rsidRPr="00B95907">
              <w:t xml:space="preserve">Data exchange business </w:t>
            </w:r>
            <w:r w:rsidR="00D36A52" w:rsidRPr="00B95907">
              <w:t>requirements</w:t>
            </w:r>
            <w:r w:rsidRPr="00B95907">
              <w:t xml:space="preserve"> are understood and applied.</w:t>
            </w:r>
          </w:p>
          <w:p w14:paraId="2FE065DF" w14:textId="77777777" w:rsidR="0015129A" w:rsidRPr="00B95907" w:rsidRDefault="00970078" w:rsidP="00970078">
            <w:pPr>
              <w:pStyle w:val="DPCbody"/>
            </w:pPr>
            <w:r w:rsidRPr="00B95907">
              <w:t>Data is exchanged with a</w:t>
            </w:r>
            <w:r w:rsidR="0015129A" w:rsidRPr="00B95907">
              <w:t>ssurance provided for the appropriate use of data after the exchange.</w:t>
            </w:r>
          </w:p>
        </w:tc>
      </w:tr>
    </w:tbl>
    <w:p w14:paraId="7281A425" w14:textId="77777777" w:rsidR="0047161D" w:rsidRPr="00B95907" w:rsidRDefault="004E394A" w:rsidP="000044BF">
      <w:pPr>
        <w:pStyle w:val="DPCbody"/>
      </w:pPr>
      <w:r w:rsidRPr="00B95907">
        <w:tab/>
      </w:r>
    </w:p>
    <w:p w14:paraId="72831766" w14:textId="77777777" w:rsidR="00D40F7F" w:rsidRPr="00B95907" w:rsidRDefault="00D40F7F" w:rsidP="00D40F7F">
      <w:pPr>
        <w:pStyle w:val="Heading2"/>
      </w:pPr>
      <w:r w:rsidRPr="00B95907">
        <w:lastRenderedPageBreak/>
        <w:t xml:space="preserve">Data exchange </w:t>
      </w:r>
      <w:r w:rsidR="00291CE3" w:rsidRPr="00B95907">
        <w:t>framework</w:t>
      </w:r>
    </w:p>
    <w:p w14:paraId="2A259CEA" w14:textId="77777777" w:rsidR="00065839" w:rsidRPr="00B95907" w:rsidRDefault="00065839" w:rsidP="00065839">
      <w:pPr>
        <w:pStyle w:val="Heading3"/>
      </w:pPr>
      <w:r w:rsidRPr="00B95907">
        <w:t>Overview</w:t>
      </w:r>
    </w:p>
    <w:p w14:paraId="00019667" w14:textId="77777777" w:rsidR="00987B38" w:rsidRPr="00B95907" w:rsidRDefault="00A245A2" w:rsidP="00987B38">
      <w:pPr>
        <w:pStyle w:val="DPCbody"/>
        <w:keepNext/>
        <w:jc w:val="center"/>
      </w:pPr>
      <w:r w:rsidRPr="00B95907">
        <w:rPr>
          <w:noProof/>
          <w:lang w:eastAsia="en-AU"/>
        </w:rPr>
        <w:drawing>
          <wp:inline distT="0" distB="0" distL="0" distR="0" wp14:anchorId="3BFCDBB9" wp14:editId="6E860CEA">
            <wp:extent cx="5119650" cy="2902527"/>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9650" cy="2902527"/>
                    </a:xfrm>
                    <a:prstGeom prst="rect">
                      <a:avLst/>
                    </a:prstGeom>
                    <a:noFill/>
                  </pic:spPr>
                </pic:pic>
              </a:graphicData>
            </a:graphic>
          </wp:inline>
        </w:drawing>
      </w:r>
    </w:p>
    <w:p w14:paraId="57F39547" w14:textId="77777777" w:rsidR="00987B38" w:rsidRPr="00B95907" w:rsidRDefault="00987B38" w:rsidP="00987B38">
      <w:pPr>
        <w:pStyle w:val="Caption"/>
      </w:pPr>
      <w:bookmarkStart w:id="5" w:name="_Ref507673931"/>
      <w:r w:rsidRPr="00B95907">
        <w:t xml:space="preserve">Figure </w:t>
      </w:r>
      <w:r w:rsidR="00273627">
        <w:fldChar w:fldCharType="begin"/>
      </w:r>
      <w:r w:rsidR="00273627">
        <w:instrText xml:space="preserve"> SEQ Figure \* ARABIC </w:instrText>
      </w:r>
      <w:r w:rsidR="00273627">
        <w:fldChar w:fldCharType="separate"/>
      </w:r>
      <w:r w:rsidR="00A245A2" w:rsidRPr="00B95907">
        <w:rPr>
          <w:noProof/>
        </w:rPr>
        <w:t>1</w:t>
      </w:r>
      <w:r w:rsidR="00273627">
        <w:rPr>
          <w:noProof/>
        </w:rPr>
        <w:fldChar w:fldCharType="end"/>
      </w:r>
      <w:r w:rsidRPr="00B95907">
        <w:t xml:space="preserve"> - Data exchange model</w:t>
      </w:r>
      <w:bookmarkEnd w:id="5"/>
    </w:p>
    <w:p w14:paraId="36B2B6E9" w14:textId="77777777" w:rsidR="00463857" w:rsidRPr="00B95907" w:rsidRDefault="00463857" w:rsidP="009F7221">
      <w:pPr>
        <w:pStyle w:val="DPCbody"/>
      </w:pPr>
    </w:p>
    <w:p w14:paraId="011FE27D" w14:textId="77777777" w:rsidR="009F7221" w:rsidRPr="00B95907" w:rsidRDefault="009F7221" w:rsidP="009F7221">
      <w:pPr>
        <w:pStyle w:val="DPCbody"/>
      </w:pPr>
      <w:r w:rsidRPr="00B95907">
        <w:t>The data exchange model (</w:t>
      </w:r>
      <w:r w:rsidR="001B4A43" w:rsidRPr="00B95907">
        <w:t>figure 1</w:t>
      </w:r>
      <w:r w:rsidRPr="00B95907">
        <w:t xml:space="preserve">) articulates the journey from </w:t>
      </w:r>
      <w:r w:rsidR="00EA1443" w:rsidRPr="00B95907">
        <w:t xml:space="preserve">managing data requests, </w:t>
      </w:r>
      <w:r w:rsidRPr="00B95907">
        <w:t xml:space="preserve">assessing readiness and right to exchange to carrying out the exchange of data.  </w:t>
      </w:r>
    </w:p>
    <w:p w14:paraId="3F4080B8" w14:textId="77777777" w:rsidR="00A64C96" w:rsidRPr="00B95907" w:rsidRDefault="00A64C96" w:rsidP="00151524">
      <w:pPr>
        <w:pStyle w:val="DPCbody"/>
      </w:pPr>
      <w:r w:rsidRPr="00B95907">
        <w:t xml:space="preserve">The framework provides </w:t>
      </w:r>
      <w:r w:rsidR="00E032A9" w:rsidRPr="00B95907">
        <w:t xml:space="preserve">a </w:t>
      </w:r>
      <w:r w:rsidR="00225E09" w:rsidRPr="00B95907">
        <w:t>high-level</w:t>
      </w:r>
      <w:r w:rsidRPr="00B95907">
        <w:t xml:space="preserve"> </w:t>
      </w:r>
      <w:r w:rsidR="00EE309C" w:rsidRPr="00B95907">
        <w:t xml:space="preserve">overview </w:t>
      </w:r>
      <w:r w:rsidR="00B7770E" w:rsidRPr="00B95907">
        <w:t xml:space="preserve">of </w:t>
      </w:r>
      <w:r w:rsidRPr="00B95907">
        <w:t xml:space="preserve">the </w:t>
      </w:r>
      <w:r w:rsidR="00151524" w:rsidRPr="00B95907">
        <w:t>data exchange process</w:t>
      </w:r>
      <w:r w:rsidR="001B4A43" w:rsidRPr="00B95907">
        <w:t>,</w:t>
      </w:r>
      <w:r w:rsidR="00EE309C" w:rsidRPr="00B95907">
        <w:t xml:space="preserve"> its </w:t>
      </w:r>
      <w:r w:rsidR="002725ED" w:rsidRPr="00B95907">
        <w:t>key components</w:t>
      </w:r>
      <w:r w:rsidR="008A300C" w:rsidRPr="00B95907">
        <w:t xml:space="preserve"> </w:t>
      </w:r>
      <w:r w:rsidR="002725ED" w:rsidRPr="00B95907">
        <w:t xml:space="preserve">and the overarching governance and business rules. It is a living record and high-level road-map for the development of the key process components.  </w:t>
      </w:r>
    </w:p>
    <w:p w14:paraId="2896EC3C" w14:textId="77777777" w:rsidR="00463857" w:rsidRPr="00B95907" w:rsidRDefault="00463857" w:rsidP="00151524">
      <w:pPr>
        <w:pStyle w:val="DPCbody"/>
      </w:pPr>
    </w:p>
    <w:p w14:paraId="40F1937C" w14:textId="77777777" w:rsidR="008A300C" w:rsidRPr="00B95907" w:rsidRDefault="008A300C" w:rsidP="008A300C">
      <w:pPr>
        <w:pStyle w:val="IntenseQuote"/>
        <w:rPr>
          <w:rStyle w:val="IntenseEmphasis"/>
          <w:i w:val="0"/>
        </w:rPr>
      </w:pPr>
      <w:r w:rsidRPr="00B95907">
        <w:rPr>
          <w:rStyle w:val="IntenseEmphasis"/>
          <w:i w:val="0"/>
        </w:rPr>
        <w:t xml:space="preserve">It is expected that over time the framework will evolve and change as its components are defined and government capability grows. </w:t>
      </w:r>
    </w:p>
    <w:p w14:paraId="0EB3E626" w14:textId="77777777" w:rsidR="00463857" w:rsidRPr="00B95907" w:rsidRDefault="00463857" w:rsidP="00A64C96">
      <w:pPr>
        <w:pStyle w:val="DPCbody"/>
      </w:pPr>
    </w:p>
    <w:p w14:paraId="2690FB13" w14:textId="77777777" w:rsidR="00A64C96" w:rsidRPr="00B95907" w:rsidRDefault="00A64C96" w:rsidP="00A64C96">
      <w:pPr>
        <w:pStyle w:val="DPCbody"/>
      </w:pPr>
      <w:r w:rsidRPr="00B95907">
        <w:t xml:space="preserve">The framework will not </w:t>
      </w:r>
      <w:r w:rsidR="00A245A2" w:rsidRPr="00B95907">
        <w:t>contradict</w:t>
      </w:r>
      <w:r w:rsidR="00A77F8F" w:rsidRPr="00B95907">
        <w:t xml:space="preserve"> or</w:t>
      </w:r>
      <w:r w:rsidR="00A245A2" w:rsidRPr="00B95907">
        <w:t xml:space="preserve"> </w:t>
      </w:r>
      <w:r w:rsidRPr="00B95907">
        <w:t xml:space="preserve">reinvent existing policy, advice or deliverables (across </w:t>
      </w:r>
      <w:r w:rsidR="001B4A43" w:rsidRPr="00B95907">
        <w:t>WOVG</w:t>
      </w:r>
      <w:r w:rsidRPr="00B95907">
        <w:t>)</w:t>
      </w:r>
      <w:r w:rsidR="001B4A43" w:rsidRPr="00B95907">
        <w:t xml:space="preserve">. Instead it will </w:t>
      </w:r>
      <w:r w:rsidRPr="00B95907">
        <w:t>link to and bring together the subject matter expertise into the one environment to support streamlined</w:t>
      </w:r>
      <w:r w:rsidR="00F810D8" w:rsidRPr="00B95907">
        <w:t>, safe and authorised</w:t>
      </w:r>
      <w:r w:rsidRPr="00B95907">
        <w:t xml:space="preserve"> data exchange.</w:t>
      </w:r>
    </w:p>
    <w:p w14:paraId="22FCD561" w14:textId="77777777" w:rsidR="00463857" w:rsidRPr="00B95907" w:rsidRDefault="00463857">
      <w:pPr>
        <w:rPr>
          <w:rFonts w:asciiTheme="majorHAnsi" w:eastAsia="MS Gothic" w:hAnsiTheme="majorHAnsi"/>
          <w:b/>
          <w:bCs/>
          <w:iCs/>
          <w:color w:val="0072CE"/>
          <w:sz w:val="28"/>
          <w:szCs w:val="36"/>
        </w:rPr>
      </w:pPr>
      <w:r w:rsidRPr="00B95907">
        <w:br w:type="page"/>
      </w:r>
    </w:p>
    <w:p w14:paraId="5892BD08" w14:textId="77777777" w:rsidR="00F810D8" w:rsidRPr="00B95907" w:rsidRDefault="00065839" w:rsidP="00007A4A">
      <w:pPr>
        <w:pStyle w:val="Heading3"/>
      </w:pPr>
      <w:r w:rsidRPr="00B95907">
        <w:lastRenderedPageBreak/>
        <w:t>The steps</w:t>
      </w:r>
    </w:p>
    <w:p w14:paraId="106AD119" w14:textId="77777777" w:rsidR="00065839" w:rsidRPr="00B95907" w:rsidRDefault="00065839"/>
    <w:p w14:paraId="6CE462DA" w14:textId="77777777" w:rsidR="00374F56" w:rsidRPr="00B95907" w:rsidRDefault="00EF56E1" w:rsidP="004902E8">
      <w:pPr>
        <w:spacing w:after="120"/>
      </w:pPr>
      <w:r w:rsidRPr="00B95907">
        <w:rPr>
          <w:noProof/>
          <w:lang w:eastAsia="en-AU"/>
        </w:rPr>
        <w:drawing>
          <wp:inline distT="0" distB="0" distL="0" distR="0" wp14:anchorId="27AA5C81" wp14:editId="4DAB7F21">
            <wp:extent cx="363600" cy="38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600" cy="381600"/>
                    </a:xfrm>
                    <a:prstGeom prst="rect">
                      <a:avLst/>
                    </a:prstGeom>
                    <a:noFill/>
                  </pic:spPr>
                </pic:pic>
              </a:graphicData>
            </a:graphic>
          </wp:inline>
        </w:drawing>
      </w:r>
      <w:r w:rsidRPr="00B95907">
        <w:t xml:space="preserve">  </w:t>
      </w:r>
      <w:r w:rsidRPr="00B95907">
        <w:rPr>
          <w:rStyle w:val="Heading4Char"/>
        </w:rPr>
        <w:t xml:space="preserve">Step </w:t>
      </w:r>
      <w:r w:rsidR="004F362A" w:rsidRPr="00B95907">
        <w:rPr>
          <w:rStyle w:val="Heading4Char"/>
        </w:rPr>
        <w:t>1</w:t>
      </w:r>
      <w:r w:rsidRPr="00B95907">
        <w:rPr>
          <w:rStyle w:val="Heading4Char"/>
        </w:rPr>
        <w:t xml:space="preserve"> – </w:t>
      </w:r>
      <w:r w:rsidR="00A245A2" w:rsidRPr="00B95907">
        <w:rPr>
          <w:rStyle w:val="Heading4Char"/>
        </w:rPr>
        <w:t>Manage data requests, a</w:t>
      </w:r>
      <w:r w:rsidRPr="00B95907">
        <w:rPr>
          <w:rStyle w:val="Heading4Char"/>
        </w:rPr>
        <w:t xml:space="preserve">ssess </w:t>
      </w:r>
      <w:r w:rsidR="004F362A" w:rsidRPr="00B95907">
        <w:rPr>
          <w:rStyle w:val="Heading4Char"/>
        </w:rPr>
        <w:t xml:space="preserve">readiness and </w:t>
      </w:r>
      <w:r w:rsidR="00A245A2" w:rsidRPr="00B95907">
        <w:rPr>
          <w:rStyle w:val="Heading4Char"/>
        </w:rPr>
        <w:t>authority</w:t>
      </w:r>
      <w:r w:rsidRPr="00B95907">
        <w:rPr>
          <w:rStyle w:val="Heading4Char"/>
        </w:rPr>
        <w:t xml:space="preserve"> to exchange</w:t>
      </w:r>
    </w:p>
    <w:p w14:paraId="10B13CEF" w14:textId="77777777" w:rsidR="004800A3" w:rsidRPr="00B95907" w:rsidRDefault="002516BC" w:rsidP="00792420">
      <w:pPr>
        <w:pStyle w:val="DPCbody"/>
      </w:pPr>
      <w:r w:rsidRPr="00B95907">
        <w:t xml:space="preserve">Critical to </w:t>
      </w:r>
      <w:r w:rsidR="00DB119C" w:rsidRPr="00B95907">
        <w:t xml:space="preserve">successful </w:t>
      </w:r>
      <w:r w:rsidRPr="00B95907">
        <w:t xml:space="preserve">data exchange or transfer is </w:t>
      </w:r>
      <w:r w:rsidR="00DB119C" w:rsidRPr="00B95907">
        <w:t xml:space="preserve">appropriately managing data requests (both requests </w:t>
      </w:r>
      <w:r w:rsidR="00B70EBB" w:rsidRPr="00B95907">
        <w:t>received</w:t>
      </w:r>
      <w:r w:rsidR="00DB119C" w:rsidRPr="00B95907">
        <w:t xml:space="preserve"> and requests sent), </w:t>
      </w:r>
      <w:r w:rsidRPr="00B95907">
        <w:t>assessing whether the data is ready to be shared</w:t>
      </w:r>
      <w:r w:rsidR="00DB119C" w:rsidRPr="00B95907">
        <w:t xml:space="preserve"> and whether </w:t>
      </w:r>
      <w:r w:rsidR="007D4BF1" w:rsidRPr="00B95907">
        <w:t xml:space="preserve">you have the </w:t>
      </w:r>
      <w:r w:rsidR="00A245A2" w:rsidRPr="00B95907">
        <w:t>authority (</w:t>
      </w:r>
      <w:r w:rsidR="003C356E" w:rsidRPr="00B95907">
        <w:t xml:space="preserve">the </w:t>
      </w:r>
      <w:r w:rsidR="007D4BF1" w:rsidRPr="00B95907">
        <w:t>right</w:t>
      </w:r>
      <w:r w:rsidR="00A245A2" w:rsidRPr="00B95907">
        <w:t>)</w:t>
      </w:r>
      <w:r w:rsidR="00DB119C" w:rsidRPr="00B95907">
        <w:t xml:space="preserve"> </w:t>
      </w:r>
      <w:r w:rsidR="007D4BF1" w:rsidRPr="00B95907">
        <w:t xml:space="preserve">to </w:t>
      </w:r>
      <w:r w:rsidR="00DB119C" w:rsidRPr="00B95907">
        <w:t>share</w:t>
      </w:r>
      <w:r w:rsidR="007D4BF1" w:rsidRPr="00B95907">
        <w:t xml:space="preserve"> it</w:t>
      </w:r>
      <w:r w:rsidRPr="00B95907">
        <w:t xml:space="preserve">. This is about </w:t>
      </w:r>
      <w:r w:rsidR="00A77F8F" w:rsidRPr="00B95907">
        <w:t xml:space="preserve">enabling </w:t>
      </w:r>
      <w:r w:rsidRPr="00B95907">
        <w:t>data exchange</w:t>
      </w:r>
      <w:r w:rsidR="00A77F8F" w:rsidRPr="00B95907">
        <w:t>:</w:t>
      </w:r>
      <w:r w:rsidRPr="00B95907">
        <w:t xml:space="preserve"> ensuring the exchange </w:t>
      </w:r>
      <w:r w:rsidR="004800A3" w:rsidRPr="00B95907">
        <w:t xml:space="preserve">(or transfer) </w:t>
      </w:r>
      <w:r w:rsidRPr="00B95907">
        <w:t>happens in a secure</w:t>
      </w:r>
      <w:r w:rsidR="004800A3" w:rsidRPr="00B95907">
        <w:t xml:space="preserve">, </w:t>
      </w:r>
      <w:r w:rsidRPr="00B95907">
        <w:t xml:space="preserve">transparent </w:t>
      </w:r>
      <w:r w:rsidR="004800A3" w:rsidRPr="00B95907">
        <w:t xml:space="preserve">and compliant </w:t>
      </w:r>
      <w:r w:rsidR="00A77F8F" w:rsidRPr="00B95907">
        <w:t>manner and sufficiently describing the data and its quality to enable the data recipient to assess fitness for their intended purpose</w:t>
      </w:r>
      <w:r w:rsidR="004800A3" w:rsidRPr="00B95907">
        <w:t>.</w:t>
      </w:r>
    </w:p>
    <w:tbl>
      <w:tblPr>
        <w:tblStyle w:val="TableGrid"/>
        <w:tblW w:w="10065" w:type="dxa"/>
        <w:tblLayout w:type="fixed"/>
        <w:tblLook w:val="04A0" w:firstRow="1" w:lastRow="0" w:firstColumn="1" w:lastColumn="0" w:noHBand="0" w:noVBand="1"/>
      </w:tblPr>
      <w:tblGrid>
        <w:gridCol w:w="1985"/>
        <w:gridCol w:w="8080"/>
      </w:tblGrid>
      <w:tr w:rsidR="00CB0E26" w:rsidRPr="00B95907" w14:paraId="0ACAB39D" w14:textId="77777777" w:rsidTr="00CB0E26">
        <w:trPr>
          <w:tblHeader/>
        </w:trPr>
        <w:tc>
          <w:tcPr>
            <w:tcW w:w="1985" w:type="dxa"/>
          </w:tcPr>
          <w:p w14:paraId="7A7B5A7D" w14:textId="77777777" w:rsidR="00CB0E26" w:rsidRPr="00B95907" w:rsidRDefault="00CB0E26" w:rsidP="008A300C">
            <w:pPr>
              <w:pStyle w:val="DPCbody"/>
              <w:rPr>
                <w:b/>
                <w:color w:val="auto"/>
              </w:rPr>
            </w:pPr>
            <w:r w:rsidRPr="00B95907">
              <w:rPr>
                <w:b/>
                <w:color w:val="auto"/>
              </w:rPr>
              <w:t>Key component</w:t>
            </w:r>
          </w:p>
        </w:tc>
        <w:tc>
          <w:tcPr>
            <w:tcW w:w="8080" w:type="dxa"/>
          </w:tcPr>
          <w:p w14:paraId="694B5A0E" w14:textId="77777777" w:rsidR="00CB0E26" w:rsidRPr="00B95907" w:rsidRDefault="00CB0E26" w:rsidP="008A300C">
            <w:pPr>
              <w:pStyle w:val="DPCbody"/>
              <w:rPr>
                <w:b/>
                <w:color w:val="auto"/>
              </w:rPr>
            </w:pPr>
            <w:r w:rsidRPr="00B95907">
              <w:rPr>
                <w:b/>
                <w:color w:val="auto"/>
              </w:rPr>
              <w:t>Description</w:t>
            </w:r>
          </w:p>
        </w:tc>
      </w:tr>
      <w:tr w:rsidR="00CB0E26" w:rsidRPr="00B95907" w14:paraId="26A4B189" w14:textId="77777777" w:rsidTr="00CB0E26">
        <w:tc>
          <w:tcPr>
            <w:tcW w:w="1985" w:type="dxa"/>
          </w:tcPr>
          <w:p w14:paraId="1D59506D" w14:textId="77777777" w:rsidR="00CB0E26" w:rsidRPr="00B95907" w:rsidRDefault="00CB0E26" w:rsidP="008A300C">
            <w:pPr>
              <w:pStyle w:val="DPCtabletext"/>
              <w:rPr>
                <w:b/>
              </w:rPr>
            </w:pPr>
            <w:r w:rsidRPr="00B95907">
              <w:rPr>
                <w:b/>
              </w:rPr>
              <w:t>Assess readiness to exchange (guideline)</w:t>
            </w:r>
          </w:p>
        </w:tc>
        <w:tc>
          <w:tcPr>
            <w:tcW w:w="8080" w:type="dxa"/>
          </w:tcPr>
          <w:p w14:paraId="066F1688" w14:textId="77777777" w:rsidR="009D2CB4" w:rsidRPr="00B95907" w:rsidRDefault="00CB0E26" w:rsidP="00433B80">
            <w:pPr>
              <w:pStyle w:val="DPCtabletext"/>
            </w:pPr>
            <w:r w:rsidRPr="00B95907">
              <w:t xml:space="preserve">Outlines the parameters of readiness for data exchange including business value, associated risks, data protection, </w:t>
            </w:r>
            <w:r w:rsidR="006F49F0" w:rsidRPr="00B95907">
              <w:t xml:space="preserve">privacy impact assessments and </w:t>
            </w:r>
            <w:r w:rsidRPr="00B95907">
              <w:t>de-identification</w:t>
            </w:r>
            <w:r w:rsidR="009D2CB4" w:rsidRPr="00B95907">
              <w:t>, adequately described (metadata)</w:t>
            </w:r>
            <w:r w:rsidR="00976A12" w:rsidRPr="00B95907">
              <w:t xml:space="preserve">, </w:t>
            </w:r>
            <w:r w:rsidR="009D2CB4" w:rsidRPr="00B95907">
              <w:t>data quality</w:t>
            </w:r>
            <w:r w:rsidR="0084646D" w:rsidRPr="00B95907">
              <w:t xml:space="preserve"> (data quality statements and the acknowledge</w:t>
            </w:r>
            <w:r w:rsidR="00433B80" w:rsidRPr="00B95907">
              <w:t>ment</w:t>
            </w:r>
            <w:r w:rsidR="0084646D" w:rsidRPr="00B95907">
              <w:t xml:space="preserve"> of data quality limitations) </w:t>
            </w:r>
            <w:r w:rsidR="00976A12" w:rsidRPr="00B95907">
              <w:t xml:space="preserve">accessibility (particularly when the data resides in a legacy system) </w:t>
            </w:r>
            <w:r w:rsidR="003E45BE" w:rsidRPr="00B95907">
              <w:t xml:space="preserve">and systems (performance/load impacts and associated service levels) </w:t>
            </w:r>
            <w:r w:rsidR="009D2CB4" w:rsidRPr="00B95907">
              <w:t>etc.</w:t>
            </w:r>
            <w:r w:rsidRPr="00B95907">
              <w:t xml:space="preserve"> </w:t>
            </w:r>
          </w:p>
          <w:p w14:paraId="6EC003F8" w14:textId="77777777" w:rsidR="00CB0E26" w:rsidRPr="00B95907" w:rsidRDefault="00CB0E26" w:rsidP="00433B80">
            <w:pPr>
              <w:pStyle w:val="DPCtabletext"/>
            </w:pPr>
            <w:r w:rsidRPr="00B95907">
              <w:t>Provides guidance on how to use these parameters to assess readiness, or lack of readiness, to exchange data.</w:t>
            </w:r>
          </w:p>
          <w:p w14:paraId="57653382" w14:textId="77777777" w:rsidR="00CB0E26" w:rsidRPr="00B95907" w:rsidRDefault="00CB0E26" w:rsidP="00CB0E26">
            <w:pPr>
              <w:pStyle w:val="DPCtabletext"/>
            </w:pPr>
          </w:p>
          <w:p w14:paraId="6075EA27" w14:textId="77777777" w:rsidR="00CB0E26" w:rsidRPr="00B95907" w:rsidRDefault="00CB0E26" w:rsidP="005356CC">
            <w:pPr>
              <w:pStyle w:val="DPCtabletext"/>
            </w:pPr>
            <w:r w:rsidRPr="00B95907">
              <w:t xml:space="preserve">A decision tree </w:t>
            </w:r>
            <w:r w:rsidR="00B01CC5" w:rsidRPr="00B95907">
              <w:t xml:space="preserve">and associated use case examples </w:t>
            </w:r>
            <w:r w:rsidRPr="00B95907">
              <w:t>will be provided to help data owners assess readiness to exchange.</w:t>
            </w:r>
            <w:r w:rsidRPr="00B95907">
              <w:rPr>
                <w:noProof/>
                <w:sz w:val="48"/>
                <w:lang w:eastAsia="en-AU"/>
              </w:rPr>
              <w:drawing>
                <wp:anchor distT="0" distB="0" distL="114300" distR="114300" simplePos="0" relativeHeight="251663360" behindDoc="1" locked="1" layoutInCell="1" allowOverlap="0" wp14:anchorId="4738ECA7" wp14:editId="6DDBB06F">
                  <wp:simplePos x="0" y="0"/>
                  <wp:positionH relativeFrom="column">
                    <wp:posOffset>-50165</wp:posOffset>
                  </wp:positionH>
                  <wp:positionV relativeFrom="paragraph">
                    <wp:posOffset>-78740</wp:posOffset>
                  </wp:positionV>
                  <wp:extent cx="449580" cy="356235"/>
                  <wp:effectExtent l="0" t="0" r="7620" b="5715"/>
                  <wp:wrapTight wrapText="bothSides">
                    <wp:wrapPolygon edited="0">
                      <wp:start x="0" y="0"/>
                      <wp:lineTo x="0" y="20791"/>
                      <wp:lineTo x="21051" y="20791"/>
                      <wp:lineTo x="210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6">
                            <a:extLst>
                              <a:ext uri="{28A0092B-C50C-407E-A947-70E740481C1C}">
                                <a14:useLocalDpi xmlns:a14="http://schemas.microsoft.com/office/drawing/2010/main" val="0"/>
                              </a:ext>
                            </a:extLst>
                          </a:blip>
                          <a:stretch>
                            <a:fillRect/>
                          </a:stretch>
                        </pic:blipFill>
                        <pic:spPr>
                          <a:xfrm>
                            <a:off x="0" y="0"/>
                            <a:ext cx="449580" cy="356235"/>
                          </a:xfrm>
                          <a:prstGeom prst="rect">
                            <a:avLst/>
                          </a:prstGeom>
                        </pic:spPr>
                      </pic:pic>
                    </a:graphicData>
                  </a:graphic>
                  <wp14:sizeRelH relativeFrom="margin">
                    <wp14:pctWidth>0</wp14:pctWidth>
                  </wp14:sizeRelH>
                  <wp14:sizeRelV relativeFrom="margin">
                    <wp14:pctHeight>0</wp14:pctHeight>
                  </wp14:sizeRelV>
                </wp:anchor>
              </w:drawing>
            </w:r>
          </w:p>
        </w:tc>
      </w:tr>
      <w:tr w:rsidR="00CB0E26" w:rsidRPr="00B95907" w14:paraId="4EA64C32" w14:textId="77777777" w:rsidTr="00CB0E26">
        <w:tc>
          <w:tcPr>
            <w:tcW w:w="1985" w:type="dxa"/>
          </w:tcPr>
          <w:p w14:paraId="173BA6AB" w14:textId="77777777" w:rsidR="00CB0E26" w:rsidRPr="00B95907" w:rsidRDefault="00CB0E26" w:rsidP="008A300C">
            <w:pPr>
              <w:pStyle w:val="DPCtabletext"/>
              <w:rPr>
                <w:b/>
              </w:rPr>
            </w:pPr>
            <w:r w:rsidRPr="00B95907">
              <w:rPr>
                <w:b/>
              </w:rPr>
              <w:t>Assess the right to exchange (guideline)</w:t>
            </w:r>
          </w:p>
        </w:tc>
        <w:tc>
          <w:tcPr>
            <w:tcW w:w="8080" w:type="dxa"/>
          </w:tcPr>
          <w:p w14:paraId="6675B60D" w14:textId="77777777" w:rsidR="009D2CB4" w:rsidRPr="00B95907" w:rsidRDefault="009D2CB4" w:rsidP="00CB0E26">
            <w:pPr>
              <w:pStyle w:val="DPCtabletext"/>
              <w:ind w:left="14"/>
            </w:pPr>
            <w:r w:rsidRPr="00B95907">
              <w:t xml:space="preserve">Provides guidance on assessing whether </w:t>
            </w:r>
            <w:r w:rsidR="00CB0E26" w:rsidRPr="00B95907">
              <w:t xml:space="preserve">you have the right </w:t>
            </w:r>
            <w:r w:rsidR="00433B80" w:rsidRPr="00B95907">
              <w:t xml:space="preserve">(authority) </w:t>
            </w:r>
            <w:r w:rsidR="00CB0E26" w:rsidRPr="00B95907">
              <w:t xml:space="preserve">to exchange data </w:t>
            </w:r>
            <w:r w:rsidR="0084646D" w:rsidRPr="00B95907">
              <w:t xml:space="preserve">(authorised release) </w:t>
            </w:r>
            <w:r w:rsidR="00CB0E26" w:rsidRPr="00B95907">
              <w:t>including</w:t>
            </w:r>
            <w:r w:rsidRPr="00B95907">
              <w:t>:</w:t>
            </w:r>
          </w:p>
          <w:p w14:paraId="4CD5F8F3" w14:textId="77777777" w:rsidR="009D2CB4" w:rsidRPr="00B95907" w:rsidRDefault="00CB0E26" w:rsidP="009D2CB4">
            <w:pPr>
              <w:pStyle w:val="DPCtablebullet"/>
            </w:pPr>
            <w:r w:rsidRPr="00B95907">
              <w:t>legislative and administrative policy barriers - privacy, security, confidentiality, copyright</w:t>
            </w:r>
            <w:r w:rsidR="009D2CB4" w:rsidRPr="00B95907">
              <w:t xml:space="preserve">, intellectual property rights </w:t>
            </w:r>
          </w:p>
          <w:p w14:paraId="47BC4F27" w14:textId="77777777" w:rsidR="009D2CB4" w:rsidRPr="00B95907" w:rsidRDefault="00CB0E26" w:rsidP="009D2CB4">
            <w:pPr>
              <w:pStyle w:val="DPCtablebullet"/>
            </w:pPr>
            <w:r w:rsidRPr="00B95907">
              <w:t>associated risk</w:t>
            </w:r>
            <w:r w:rsidR="00AE5AA7" w:rsidRPr="00B95907">
              <w:t xml:space="preserve"> to the </w:t>
            </w:r>
            <w:r w:rsidR="00433B80" w:rsidRPr="00B95907">
              <w:t>dep</w:t>
            </w:r>
            <w:r w:rsidR="00E04A11" w:rsidRPr="00B95907">
              <w:t xml:space="preserve">artment, </w:t>
            </w:r>
            <w:r w:rsidR="00AE5AA7" w:rsidRPr="00B95907">
              <w:t xml:space="preserve">government and the Victorian public </w:t>
            </w:r>
          </w:p>
          <w:p w14:paraId="1E3572F2" w14:textId="77777777" w:rsidR="00CB0E26" w:rsidRPr="00B95907" w:rsidRDefault="00CB0E26" w:rsidP="009D2CB4">
            <w:pPr>
              <w:pStyle w:val="DPCtablebullet"/>
            </w:pPr>
            <w:r w:rsidRPr="00B95907">
              <w:t xml:space="preserve">data exchange approval or consent (depending upon the </w:t>
            </w:r>
            <w:r w:rsidR="008851ED" w:rsidRPr="00B95907">
              <w:t>criticality</w:t>
            </w:r>
            <w:r w:rsidRPr="00B95907">
              <w:t xml:space="preserve"> or risk associated with the data</w:t>
            </w:r>
            <w:r w:rsidR="009B5BC0" w:rsidRPr="00B95907">
              <w:t>, use of the data</w:t>
            </w:r>
            <w:r w:rsidRPr="00B95907">
              <w:t xml:space="preserve"> or method of exchange)</w:t>
            </w:r>
          </w:p>
          <w:p w14:paraId="03877759" w14:textId="77777777" w:rsidR="00E04A11" w:rsidRPr="00B95907" w:rsidRDefault="009D2CB4" w:rsidP="00CB0E26">
            <w:pPr>
              <w:pStyle w:val="DPCtabletext"/>
              <w:ind w:left="14"/>
            </w:pPr>
            <w:r w:rsidRPr="00B95907">
              <w:t xml:space="preserve">This guideline will </w:t>
            </w:r>
            <w:r w:rsidR="00AE5AA7" w:rsidRPr="00B95907">
              <w:t xml:space="preserve">also </w:t>
            </w:r>
            <w:r w:rsidRPr="00B95907">
              <w:t xml:space="preserve">help the data owner to build the case </w:t>
            </w:r>
            <w:r w:rsidR="00CB0E26" w:rsidRPr="00B95907">
              <w:t>for data exchange</w:t>
            </w:r>
            <w:r w:rsidR="00AE5AA7" w:rsidRPr="00B95907">
              <w:t xml:space="preserve"> and assess whether the data exchange is in the best interest of the </w:t>
            </w:r>
            <w:r w:rsidR="00E04A11" w:rsidRPr="00B95907">
              <w:t xml:space="preserve">department, </w:t>
            </w:r>
            <w:r w:rsidR="00AE5AA7" w:rsidRPr="00B95907">
              <w:t>government or the Victorian public</w:t>
            </w:r>
            <w:r w:rsidR="00CB0E26" w:rsidRPr="00B95907">
              <w:t xml:space="preserve">. </w:t>
            </w:r>
          </w:p>
          <w:p w14:paraId="7EFA451B" w14:textId="77777777" w:rsidR="00CB0E26" w:rsidRPr="00B95907" w:rsidRDefault="009B5BC0" w:rsidP="00CB0E26">
            <w:pPr>
              <w:pStyle w:val="DPCtabletext"/>
              <w:ind w:left="14"/>
            </w:pPr>
            <w:r w:rsidRPr="00B95907">
              <w:t>It will also consider if the data owner has the authority to withhold the data and the steps a requestor can take to appeal the decision to withhold.</w:t>
            </w:r>
          </w:p>
          <w:p w14:paraId="623A0A5A" w14:textId="77777777" w:rsidR="004800A3" w:rsidRPr="00B95907" w:rsidRDefault="004800A3" w:rsidP="00CB0E26">
            <w:pPr>
              <w:pStyle w:val="DPCtabletext"/>
              <w:ind w:left="14"/>
            </w:pPr>
          </w:p>
          <w:p w14:paraId="67AC0E1D" w14:textId="77777777" w:rsidR="00CB0E26" w:rsidRPr="00B95907" w:rsidRDefault="00CB0E26" w:rsidP="005356CC">
            <w:pPr>
              <w:pStyle w:val="DPCtabletext"/>
            </w:pPr>
            <w:r w:rsidRPr="00B95907">
              <w:rPr>
                <w:noProof/>
                <w:sz w:val="48"/>
                <w:lang w:eastAsia="en-AU"/>
              </w:rPr>
              <w:drawing>
                <wp:anchor distT="0" distB="0" distL="114300" distR="114300" simplePos="0" relativeHeight="251665408" behindDoc="1" locked="1" layoutInCell="1" allowOverlap="0" wp14:anchorId="200C9680" wp14:editId="1DF66FDD">
                  <wp:simplePos x="0" y="0"/>
                  <wp:positionH relativeFrom="column">
                    <wp:posOffset>-60960</wp:posOffset>
                  </wp:positionH>
                  <wp:positionV relativeFrom="paragraph">
                    <wp:posOffset>-21590</wp:posOffset>
                  </wp:positionV>
                  <wp:extent cx="449580" cy="356235"/>
                  <wp:effectExtent l="0" t="0" r="7620" b="5715"/>
                  <wp:wrapTight wrapText="bothSides">
                    <wp:wrapPolygon edited="0">
                      <wp:start x="0" y="0"/>
                      <wp:lineTo x="0" y="20791"/>
                      <wp:lineTo x="21051" y="20791"/>
                      <wp:lineTo x="210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6">
                            <a:extLst>
                              <a:ext uri="{28A0092B-C50C-407E-A947-70E740481C1C}">
                                <a14:useLocalDpi xmlns:a14="http://schemas.microsoft.com/office/drawing/2010/main" val="0"/>
                              </a:ext>
                            </a:extLst>
                          </a:blip>
                          <a:stretch>
                            <a:fillRect/>
                          </a:stretch>
                        </pic:blipFill>
                        <pic:spPr>
                          <a:xfrm>
                            <a:off x="0" y="0"/>
                            <a:ext cx="449580" cy="356235"/>
                          </a:xfrm>
                          <a:prstGeom prst="rect">
                            <a:avLst/>
                          </a:prstGeom>
                        </pic:spPr>
                      </pic:pic>
                    </a:graphicData>
                  </a:graphic>
                  <wp14:sizeRelH relativeFrom="margin">
                    <wp14:pctWidth>0</wp14:pctWidth>
                  </wp14:sizeRelH>
                  <wp14:sizeRelV relativeFrom="margin">
                    <wp14:pctHeight>0</wp14:pctHeight>
                  </wp14:sizeRelV>
                </wp:anchor>
              </w:drawing>
            </w:r>
            <w:r w:rsidRPr="00B95907">
              <w:t xml:space="preserve">A decision tree </w:t>
            </w:r>
            <w:r w:rsidR="00B01CC5" w:rsidRPr="00B95907">
              <w:t xml:space="preserve">and associated use case examples </w:t>
            </w:r>
            <w:r w:rsidRPr="00B95907">
              <w:t>will be provided to help data owners assess their right to exchange.</w:t>
            </w:r>
          </w:p>
        </w:tc>
      </w:tr>
      <w:tr w:rsidR="00A77F8F" w:rsidRPr="00B95907" w14:paraId="4292527E" w14:textId="77777777" w:rsidTr="00A77F8F">
        <w:tc>
          <w:tcPr>
            <w:tcW w:w="1985" w:type="dxa"/>
          </w:tcPr>
          <w:p w14:paraId="5CC5F5F3" w14:textId="77777777" w:rsidR="00A77F8F" w:rsidRPr="00B95907" w:rsidRDefault="00A77F8F" w:rsidP="000E10A8">
            <w:pPr>
              <w:pStyle w:val="DPCtabletext"/>
              <w:rPr>
                <w:b/>
              </w:rPr>
            </w:pPr>
            <w:r w:rsidRPr="00B95907">
              <w:rPr>
                <w:b/>
              </w:rPr>
              <w:t>Managing data requests (guideline)</w:t>
            </w:r>
          </w:p>
        </w:tc>
        <w:tc>
          <w:tcPr>
            <w:tcW w:w="8080" w:type="dxa"/>
          </w:tcPr>
          <w:p w14:paraId="317958AD" w14:textId="77777777" w:rsidR="00A77F8F" w:rsidRPr="00B95907" w:rsidRDefault="00A77F8F" w:rsidP="000E10A8">
            <w:pPr>
              <w:pStyle w:val="DPCtabletext"/>
              <w:ind w:left="14"/>
            </w:pPr>
            <w:r w:rsidRPr="00B95907">
              <w:t>Guidance for making data requests and managing data requests received including:</w:t>
            </w:r>
            <w:r w:rsidRPr="00B95907">
              <w:tab/>
            </w:r>
          </w:p>
          <w:p w14:paraId="174B9FD2" w14:textId="77777777" w:rsidR="00A77F8F" w:rsidRPr="00B95907" w:rsidRDefault="003C356E" w:rsidP="000E10A8">
            <w:pPr>
              <w:pStyle w:val="DPCtablebullet"/>
              <w:ind w:left="459"/>
            </w:pPr>
            <w:r w:rsidRPr="00B95907">
              <w:t>o</w:t>
            </w:r>
            <w:r w:rsidR="00A77F8F" w:rsidRPr="00B95907">
              <w:t>verarching governance including accountability, data ownership, roles and responsibilities</w:t>
            </w:r>
          </w:p>
          <w:p w14:paraId="4B3EECE4" w14:textId="77777777" w:rsidR="00A77F8F" w:rsidRPr="00B95907" w:rsidRDefault="003C356E" w:rsidP="000E10A8">
            <w:pPr>
              <w:pStyle w:val="DPCtablebullet"/>
              <w:ind w:left="459"/>
            </w:pPr>
            <w:r w:rsidRPr="00B95907">
              <w:t>w</w:t>
            </w:r>
            <w:r w:rsidR="00A77F8F" w:rsidRPr="00B95907">
              <w:t>hat data is being requested and why</w:t>
            </w:r>
          </w:p>
          <w:p w14:paraId="4812CA1C" w14:textId="77777777" w:rsidR="00A77F8F" w:rsidRPr="00B95907" w:rsidRDefault="003C356E" w:rsidP="000E10A8">
            <w:pPr>
              <w:pStyle w:val="DPCtablebullet"/>
              <w:ind w:left="459"/>
            </w:pPr>
            <w:r w:rsidRPr="00B95907">
              <w:t>w</w:t>
            </w:r>
            <w:r w:rsidR="00A77F8F" w:rsidRPr="00B95907">
              <w:t>hat to do when a request is received (review, assess and respond)</w:t>
            </w:r>
          </w:p>
          <w:p w14:paraId="13E06180" w14:textId="77777777" w:rsidR="00A77F8F" w:rsidRPr="00B95907" w:rsidRDefault="003C356E" w:rsidP="000E10A8">
            <w:pPr>
              <w:pStyle w:val="DPCtablebullet"/>
              <w:ind w:left="459"/>
            </w:pPr>
            <w:r w:rsidRPr="00B95907">
              <w:t>w</w:t>
            </w:r>
            <w:r w:rsidR="00A77F8F" w:rsidRPr="00B95907">
              <w:t xml:space="preserve">hat to do when requesting data </w:t>
            </w:r>
          </w:p>
          <w:p w14:paraId="2209305C" w14:textId="77777777" w:rsidR="00A77F8F" w:rsidRPr="00B95907" w:rsidRDefault="003C356E" w:rsidP="000E10A8">
            <w:pPr>
              <w:pStyle w:val="DPCtablebullet"/>
              <w:ind w:left="459"/>
            </w:pPr>
            <w:r w:rsidRPr="00B95907">
              <w:t>t</w:t>
            </w:r>
            <w:r w:rsidR="00A77F8F" w:rsidRPr="00B95907">
              <w:t xml:space="preserve">he authorising environment under which the data can be exchanged (see </w:t>
            </w:r>
            <w:r w:rsidR="008851ED" w:rsidRPr="00B95907">
              <w:rPr>
                <w:i/>
              </w:rPr>
              <w:t>Ass</w:t>
            </w:r>
            <w:r w:rsidR="00A77F8F" w:rsidRPr="00B95907">
              <w:rPr>
                <w:i/>
              </w:rPr>
              <w:t>ess readiness to exchange</w:t>
            </w:r>
            <w:r w:rsidR="00A77F8F" w:rsidRPr="00B95907">
              <w:t xml:space="preserve"> and </w:t>
            </w:r>
            <w:r w:rsidR="00A77F8F" w:rsidRPr="00B95907">
              <w:rPr>
                <w:i/>
              </w:rPr>
              <w:t>Assess the right to exchange</w:t>
            </w:r>
            <w:r w:rsidR="00A77F8F" w:rsidRPr="00B95907">
              <w:t>)</w:t>
            </w:r>
          </w:p>
          <w:p w14:paraId="5591107D" w14:textId="77777777" w:rsidR="00A77F8F" w:rsidRPr="00B95907" w:rsidRDefault="003C356E" w:rsidP="000E10A8">
            <w:pPr>
              <w:pStyle w:val="DPCtablebullet"/>
              <w:ind w:left="459"/>
            </w:pPr>
            <w:r w:rsidRPr="00B95907">
              <w:t>w</w:t>
            </w:r>
            <w:r w:rsidR="00A77F8F" w:rsidRPr="00B95907">
              <w:t xml:space="preserve">hether the request is once off or on-going, and the anticipated </w:t>
            </w:r>
            <w:r w:rsidR="008851ED" w:rsidRPr="00B95907">
              <w:t xml:space="preserve">availability, </w:t>
            </w:r>
            <w:r w:rsidR="00A77F8F" w:rsidRPr="00B95907">
              <w:t>volume and frequency of the request</w:t>
            </w:r>
          </w:p>
          <w:p w14:paraId="393267CC" w14:textId="77777777" w:rsidR="008851ED" w:rsidRPr="00B95907" w:rsidRDefault="003C356E" w:rsidP="000E10A8">
            <w:pPr>
              <w:pStyle w:val="DPCtablebullet"/>
              <w:ind w:left="459"/>
            </w:pPr>
            <w:r w:rsidRPr="00B95907">
              <w:t>u</w:t>
            </w:r>
            <w:r w:rsidR="008851ED" w:rsidRPr="00B95907">
              <w:t xml:space="preserve">nderstanding the business processes, scenarios or use cases for which the data </w:t>
            </w:r>
            <w:r w:rsidR="008851ED" w:rsidRPr="00B95907">
              <w:lastRenderedPageBreak/>
              <w:t>will be exchanged</w:t>
            </w:r>
          </w:p>
          <w:p w14:paraId="5DC4D586" w14:textId="77777777" w:rsidR="00A77F8F" w:rsidRPr="00B95907" w:rsidRDefault="003C356E" w:rsidP="000E10A8">
            <w:pPr>
              <w:pStyle w:val="DPCtablebullet"/>
              <w:ind w:left="459"/>
            </w:pPr>
            <w:r w:rsidRPr="00B95907">
              <w:t>h</w:t>
            </w:r>
            <w:r w:rsidR="00A77F8F" w:rsidRPr="00B95907">
              <w:t>ow to use the data request template</w:t>
            </w:r>
          </w:p>
          <w:p w14:paraId="63405C68" w14:textId="77777777" w:rsidR="00970078" w:rsidRPr="00B95907" w:rsidRDefault="00970078" w:rsidP="00970078">
            <w:pPr>
              <w:pStyle w:val="DPCtablebullet"/>
              <w:numPr>
                <w:ilvl w:val="0"/>
                <w:numId w:val="0"/>
              </w:numPr>
              <w:ind w:left="99"/>
            </w:pPr>
          </w:p>
          <w:p w14:paraId="3725DCBF" w14:textId="77777777" w:rsidR="00A77F8F" w:rsidRPr="00B95907" w:rsidRDefault="00970078" w:rsidP="005356CC">
            <w:pPr>
              <w:pStyle w:val="DPCtablebullet"/>
              <w:numPr>
                <w:ilvl w:val="0"/>
                <w:numId w:val="0"/>
              </w:numPr>
              <w:ind w:left="99"/>
            </w:pPr>
            <w:r w:rsidRPr="00B95907">
              <w:rPr>
                <w:noProof/>
                <w:sz w:val="48"/>
                <w:lang w:eastAsia="en-AU"/>
              </w:rPr>
              <w:drawing>
                <wp:anchor distT="0" distB="0" distL="114300" distR="114300" simplePos="0" relativeHeight="251669504" behindDoc="1" locked="1" layoutInCell="1" allowOverlap="0" wp14:anchorId="122E3014" wp14:editId="10F72AFD">
                  <wp:simplePos x="0" y="0"/>
                  <wp:positionH relativeFrom="column">
                    <wp:posOffset>60325</wp:posOffset>
                  </wp:positionH>
                  <wp:positionV relativeFrom="paragraph">
                    <wp:posOffset>-24130</wp:posOffset>
                  </wp:positionV>
                  <wp:extent cx="449580" cy="356235"/>
                  <wp:effectExtent l="0" t="0" r="7620" b="5715"/>
                  <wp:wrapTight wrapText="bothSides">
                    <wp:wrapPolygon edited="0">
                      <wp:start x="0" y="0"/>
                      <wp:lineTo x="0" y="20791"/>
                      <wp:lineTo x="21051" y="20791"/>
                      <wp:lineTo x="210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6">
                            <a:extLst>
                              <a:ext uri="{28A0092B-C50C-407E-A947-70E740481C1C}">
                                <a14:useLocalDpi xmlns:a14="http://schemas.microsoft.com/office/drawing/2010/main" val="0"/>
                              </a:ext>
                            </a:extLst>
                          </a:blip>
                          <a:stretch>
                            <a:fillRect/>
                          </a:stretch>
                        </pic:blipFill>
                        <pic:spPr>
                          <a:xfrm>
                            <a:off x="0" y="0"/>
                            <a:ext cx="449580" cy="356235"/>
                          </a:xfrm>
                          <a:prstGeom prst="rect">
                            <a:avLst/>
                          </a:prstGeom>
                        </pic:spPr>
                      </pic:pic>
                    </a:graphicData>
                  </a:graphic>
                  <wp14:sizeRelH relativeFrom="margin">
                    <wp14:pctWidth>0</wp14:pctWidth>
                  </wp14:sizeRelH>
                  <wp14:sizeRelV relativeFrom="margin">
                    <wp14:pctHeight>0</wp14:pctHeight>
                  </wp14:sizeRelV>
                </wp:anchor>
              </w:drawing>
            </w:r>
            <w:r w:rsidRPr="00B95907">
              <w:t>A decision tree and associated use case examples will be provided to help data owners to manage data requests.</w:t>
            </w:r>
          </w:p>
        </w:tc>
      </w:tr>
    </w:tbl>
    <w:p w14:paraId="02739414" w14:textId="77777777" w:rsidR="005E6648" w:rsidRPr="00B95907" w:rsidRDefault="005E6648" w:rsidP="00792420">
      <w:pPr>
        <w:pStyle w:val="DPCbody"/>
      </w:pPr>
    </w:p>
    <w:p w14:paraId="270470C0" w14:textId="77777777" w:rsidR="00374F56" w:rsidRPr="00B95907" w:rsidRDefault="00EF56E1" w:rsidP="00007A4A">
      <w:pPr>
        <w:pStyle w:val="DPCtabletext"/>
        <w:spacing w:after="120"/>
        <w:rPr>
          <w:rStyle w:val="Heading4Char"/>
        </w:rPr>
      </w:pPr>
      <w:r w:rsidRPr="00B95907">
        <w:rPr>
          <w:noProof/>
          <w:lang w:eastAsia="en-AU"/>
        </w:rPr>
        <w:drawing>
          <wp:inline distT="0" distB="0" distL="0" distR="0" wp14:anchorId="7538D677" wp14:editId="20889A07">
            <wp:extent cx="396000" cy="3816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000" cy="381600"/>
                    </a:xfrm>
                    <a:prstGeom prst="rect">
                      <a:avLst/>
                    </a:prstGeom>
                    <a:noFill/>
                  </pic:spPr>
                </pic:pic>
              </a:graphicData>
            </a:graphic>
          </wp:inline>
        </w:drawing>
      </w:r>
      <w:r w:rsidRPr="00B95907">
        <w:t xml:space="preserve"> </w:t>
      </w:r>
      <w:r w:rsidRPr="00B95907">
        <w:rPr>
          <w:rStyle w:val="Heading4Char"/>
        </w:rPr>
        <w:t xml:space="preserve">Step </w:t>
      </w:r>
      <w:r w:rsidR="004F362A" w:rsidRPr="00B95907">
        <w:rPr>
          <w:rStyle w:val="Heading4Char"/>
        </w:rPr>
        <w:t>2</w:t>
      </w:r>
      <w:r w:rsidRPr="00B95907">
        <w:rPr>
          <w:rStyle w:val="Heading4Char"/>
        </w:rPr>
        <w:t xml:space="preserve"> – Apply business rules</w:t>
      </w:r>
    </w:p>
    <w:p w14:paraId="7066330B" w14:textId="77777777" w:rsidR="00D75DFC" w:rsidRPr="00B95907" w:rsidRDefault="00007A4A" w:rsidP="00007A4A">
      <w:pPr>
        <w:pStyle w:val="DPCbody"/>
      </w:pPr>
      <w:r w:rsidRPr="00B95907">
        <w:t>Identification of business rules will help to ensure reliable</w:t>
      </w:r>
      <w:r w:rsidR="00D75DFC" w:rsidRPr="00B95907">
        <w:t xml:space="preserve">, </w:t>
      </w:r>
      <w:r w:rsidRPr="00B95907">
        <w:t xml:space="preserve">consistent </w:t>
      </w:r>
      <w:r w:rsidR="00D75DFC" w:rsidRPr="00B95907">
        <w:t xml:space="preserve">and sustainable </w:t>
      </w:r>
      <w:r w:rsidRPr="00B95907">
        <w:t xml:space="preserve">data exchange </w:t>
      </w:r>
      <w:r w:rsidR="00D75DFC" w:rsidRPr="00B95907">
        <w:t xml:space="preserve">and </w:t>
      </w:r>
      <w:r w:rsidRPr="00B95907">
        <w:t>decision making.</w:t>
      </w:r>
      <w:r w:rsidR="00D75DFC" w:rsidRPr="00B95907">
        <w:t xml:space="preserve"> Knowing what you can and can’t exchange, </w:t>
      </w:r>
      <w:r w:rsidR="00D72853" w:rsidRPr="00B95907">
        <w:t xml:space="preserve">where accountability starts and finishes and </w:t>
      </w:r>
      <w:r w:rsidR="00D75DFC" w:rsidRPr="00B95907">
        <w:t>how to protect the government as a result of the exchange</w:t>
      </w:r>
      <w:r w:rsidR="00D72853" w:rsidRPr="00B95907">
        <w:t xml:space="preserve"> etc.</w:t>
      </w:r>
      <w:r w:rsidR="00D75DFC" w:rsidRPr="00B95907">
        <w:t xml:space="preserve"> </w:t>
      </w:r>
      <w:r w:rsidR="00D72853" w:rsidRPr="00B95907">
        <w:t>are all critical to successful data exchange outcomes.</w:t>
      </w:r>
    </w:p>
    <w:tbl>
      <w:tblPr>
        <w:tblStyle w:val="TableGrid"/>
        <w:tblW w:w="10065" w:type="dxa"/>
        <w:tblLayout w:type="fixed"/>
        <w:tblLook w:val="04A0" w:firstRow="1" w:lastRow="0" w:firstColumn="1" w:lastColumn="0" w:noHBand="0" w:noVBand="1"/>
      </w:tblPr>
      <w:tblGrid>
        <w:gridCol w:w="2268"/>
        <w:gridCol w:w="7797"/>
      </w:tblGrid>
      <w:tr w:rsidR="001F756D" w:rsidRPr="00B95907" w14:paraId="79AD60BA" w14:textId="77777777" w:rsidTr="001F756D">
        <w:trPr>
          <w:tblHeader/>
        </w:trPr>
        <w:tc>
          <w:tcPr>
            <w:tcW w:w="2268" w:type="dxa"/>
          </w:tcPr>
          <w:p w14:paraId="1BC10DCE" w14:textId="77777777" w:rsidR="001F756D" w:rsidRPr="00B95907" w:rsidRDefault="001F756D" w:rsidP="008A300C">
            <w:pPr>
              <w:pStyle w:val="DPCbody"/>
              <w:rPr>
                <w:b/>
                <w:color w:val="auto"/>
              </w:rPr>
            </w:pPr>
            <w:r w:rsidRPr="00B95907">
              <w:rPr>
                <w:b/>
                <w:color w:val="auto"/>
              </w:rPr>
              <w:t>Key component</w:t>
            </w:r>
          </w:p>
        </w:tc>
        <w:tc>
          <w:tcPr>
            <w:tcW w:w="7797" w:type="dxa"/>
          </w:tcPr>
          <w:p w14:paraId="583B6563" w14:textId="77777777" w:rsidR="001F756D" w:rsidRPr="00B95907" w:rsidRDefault="001F756D" w:rsidP="008A300C">
            <w:pPr>
              <w:pStyle w:val="DPCbody"/>
              <w:rPr>
                <w:b/>
                <w:color w:val="auto"/>
              </w:rPr>
            </w:pPr>
            <w:r w:rsidRPr="00B95907">
              <w:rPr>
                <w:b/>
                <w:color w:val="auto"/>
              </w:rPr>
              <w:t>Description</w:t>
            </w:r>
          </w:p>
        </w:tc>
      </w:tr>
      <w:tr w:rsidR="001F756D" w:rsidRPr="00B95907" w14:paraId="16A52445" w14:textId="77777777" w:rsidTr="001F756D">
        <w:tc>
          <w:tcPr>
            <w:tcW w:w="2268" w:type="dxa"/>
          </w:tcPr>
          <w:p w14:paraId="0B64B0A4" w14:textId="77777777" w:rsidR="001F756D" w:rsidRPr="00B95907" w:rsidRDefault="001F756D" w:rsidP="003A1FDF">
            <w:pPr>
              <w:pStyle w:val="DPCtabletext"/>
            </w:pPr>
            <w:r w:rsidRPr="00B95907">
              <w:t xml:space="preserve">Data </w:t>
            </w:r>
            <w:r w:rsidR="003B6B6C" w:rsidRPr="00B95907">
              <w:t xml:space="preserve">exchange </w:t>
            </w:r>
            <w:r w:rsidRPr="00B95907">
              <w:t>standard/s (business rules)</w:t>
            </w:r>
          </w:p>
        </w:tc>
        <w:tc>
          <w:tcPr>
            <w:tcW w:w="7797" w:type="dxa"/>
          </w:tcPr>
          <w:p w14:paraId="30D93ACD" w14:textId="77777777" w:rsidR="009D2CB4" w:rsidRPr="00B95907" w:rsidRDefault="009D2CB4" w:rsidP="009D2CB4">
            <w:pPr>
              <w:pStyle w:val="DPCtablebullet"/>
              <w:numPr>
                <w:ilvl w:val="0"/>
                <w:numId w:val="0"/>
              </w:numPr>
              <w:ind w:left="34" w:hanging="34"/>
            </w:pPr>
            <w:r w:rsidRPr="00B95907">
              <w:t>A series of standards</w:t>
            </w:r>
            <w:r w:rsidR="00007A4A" w:rsidRPr="00B95907">
              <w:t xml:space="preserve"> (based on industry and open standards) identifying </w:t>
            </w:r>
            <w:r w:rsidRPr="00B95907">
              <w:t xml:space="preserve">the </w:t>
            </w:r>
            <w:r w:rsidR="003B6B6C" w:rsidRPr="00B95907">
              <w:t>business rules for data exchange</w:t>
            </w:r>
            <w:r w:rsidRPr="00B95907">
              <w:t>:</w:t>
            </w:r>
          </w:p>
          <w:p w14:paraId="18B19F4B" w14:textId="77777777" w:rsidR="001F756D" w:rsidRPr="00B95907" w:rsidRDefault="003C356E" w:rsidP="001F756D">
            <w:pPr>
              <w:pStyle w:val="DPCtablebullet"/>
              <w:ind w:left="459"/>
            </w:pPr>
            <w:r w:rsidRPr="00B95907">
              <w:t>c</w:t>
            </w:r>
            <w:r w:rsidR="001F756D" w:rsidRPr="00B95907">
              <w:t>ommon schemas</w:t>
            </w:r>
            <w:r w:rsidR="003B6B6C" w:rsidRPr="00B95907">
              <w:t>, patterns and</w:t>
            </w:r>
            <w:r w:rsidR="001F756D" w:rsidRPr="00B95907">
              <w:t xml:space="preserve"> formats (metadata, common languages</w:t>
            </w:r>
            <w:r w:rsidR="001B4E31" w:rsidRPr="00B95907">
              <w:t>,</w:t>
            </w:r>
            <w:r w:rsidR="00E04A11" w:rsidRPr="00B95907">
              <w:t xml:space="preserve"> comma separated or tab delimited </w:t>
            </w:r>
            <w:r w:rsidR="001F756D" w:rsidRPr="00B95907">
              <w:t>etc.)</w:t>
            </w:r>
          </w:p>
          <w:p w14:paraId="7138CB66" w14:textId="77777777" w:rsidR="003B6B6C" w:rsidRPr="00B95907" w:rsidRDefault="003C356E" w:rsidP="001F756D">
            <w:pPr>
              <w:pStyle w:val="DPCtablebullet"/>
              <w:ind w:left="459"/>
            </w:pPr>
            <w:r w:rsidRPr="00B95907">
              <w:t>d</w:t>
            </w:r>
            <w:r w:rsidR="003B6B6C" w:rsidRPr="00B95907">
              <w:t>ata dictionaries for common data types</w:t>
            </w:r>
            <w:r w:rsidR="0001646B" w:rsidRPr="00B95907">
              <w:t xml:space="preserve"> and schemas</w:t>
            </w:r>
          </w:p>
          <w:p w14:paraId="2ADFE903" w14:textId="77777777" w:rsidR="001F756D" w:rsidRPr="00B95907" w:rsidRDefault="003C356E" w:rsidP="001F756D">
            <w:pPr>
              <w:pStyle w:val="DPCtablebullet"/>
              <w:ind w:left="459"/>
            </w:pPr>
            <w:r w:rsidRPr="00B95907">
              <w:t>m</w:t>
            </w:r>
            <w:r w:rsidR="001F756D" w:rsidRPr="00B95907">
              <w:t xml:space="preserve">anaging and exchanging </w:t>
            </w:r>
            <w:r w:rsidR="003B6B6C" w:rsidRPr="00B95907">
              <w:t>common data types</w:t>
            </w:r>
          </w:p>
          <w:p w14:paraId="6AFAF3BA" w14:textId="77777777" w:rsidR="001F756D" w:rsidRPr="00B95907" w:rsidRDefault="003C356E" w:rsidP="00E04A11">
            <w:pPr>
              <w:pStyle w:val="DPCtablebullet"/>
              <w:ind w:left="459"/>
            </w:pPr>
            <w:r w:rsidRPr="00B95907">
              <w:t>c</w:t>
            </w:r>
            <w:r w:rsidR="003B6B6C" w:rsidRPr="00B95907">
              <w:t xml:space="preserve">ommon data exchange </w:t>
            </w:r>
            <w:r w:rsidR="00961710" w:rsidRPr="00B95907">
              <w:t>methods</w:t>
            </w:r>
            <w:r w:rsidR="00E04A11" w:rsidRPr="00B95907">
              <w:t xml:space="preserve"> including </w:t>
            </w:r>
            <w:r w:rsidR="00B23858" w:rsidRPr="00B95907">
              <w:t>secure file transfer</w:t>
            </w:r>
            <w:r w:rsidR="00E04A11" w:rsidRPr="00B95907">
              <w:t xml:space="preserve">, API gateway (to be covered under the API initiative), system to system, </w:t>
            </w:r>
            <w:r w:rsidR="00B01CC5" w:rsidRPr="00B95907">
              <w:t xml:space="preserve">system to location, </w:t>
            </w:r>
            <w:r w:rsidR="00E04A11" w:rsidRPr="00B95907">
              <w:t>messaging serv</w:t>
            </w:r>
            <w:r w:rsidR="0010187C" w:rsidRPr="00B95907">
              <w:t xml:space="preserve">ices and data exchange services.  Key consideration will be appropriate security based on the classification of the data being transferred and intended use  </w:t>
            </w:r>
          </w:p>
          <w:p w14:paraId="38650608" w14:textId="77777777" w:rsidR="00AC61DF" w:rsidRPr="00B95907" w:rsidRDefault="003C356E" w:rsidP="005356CC">
            <w:pPr>
              <w:pStyle w:val="DPCtablebullet"/>
              <w:ind w:left="459"/>
            </w:pPr>
            <w:r w:rsidRPr="00B95907">
              <w:t>c</w:t>
            </w:r>
            <w:r w:rsidR="00E04A11" w:rsidRPr="00B95907">
              <w:t>onsideration of what not to use when exchanging data i.e. email, CD’s, unsecure cloud services etc.</w:t>
            </w:r>
          </w:p>
        </w:tc>
      </w:tr>
      <w:tr w:rsidR="001F756D" w:rsidRPr="00B95907" w14:paraId="1D4D4D2B" w14:textId="77777777" w:rsidTr="001F756D">
        <w:tc>
          <w:tcPr>
            <w:tcW w:w="2268" w:type="dxa"/>
          </w:tcPr>
          <w:p w14:paraId="586D29DB" w14:textId="77777777" w:rsidR="001F756D" w:rsidRPr="00B95907" w:rsidRDefault="001F756D" w:rsidP="003A1FDF">
            <w:pPr>
              <w:pStyle w:val="DPCtabletext"/>
            </w:pPr>
            <w:r w:rsidRPr="00B95907">
              <w:t>Establishing a data exchange arrangement standard</w:t>
            </w:r>
            <w:r w:rsidR="00D446DE" w:rsidRPr="00B95907">
              <w:t xml:space="preserve"> (business rules)</w:t>
            </w:r>
          </w:p>
        </w:tc>
        <w:tc>
          <w:tcPr>
            <w:tcW w:w="7797" w:type="dxa"/>
          </w:tcPr>
          <w:p w14:paraId="6EEB98A3" w14:textId="77777777" w:rsidR="003A1FDF" w:rsidRPr="00B95907" w:rsidRDefault="003A1FDF" w:rsidP="00501A00">
            <w:pPr>
              <w:pStyle w:val="DPCtabletext"/>
            </w:pPr>
            <w:r w:rsidRPr="00B95907">
              <w:t>Describes the minimum requirements when establishing a data exchange arrangement including:</w:t>
            </w:r>
          </w:p>
          <w:p w14:paraId="5F4B9C80" w14:textId="77777777" w:rsidR="00B01CC5" w:rsidRPr="00B95907" w:rsidRDefault="009A063B" w:rsidP="00B01CC5">
            <w:pPr>
              <w:pStyle w:val="DPCtablebullet"/>
              <w:numPr>
                <w:ilvl w:val="0"/>
                <w:numId w:val="23"/>
              </w:numPr>
            </w:pPr>
            <w:r w:rsidRPr="00B95907">
              <w:t>w</w:t>
            </w:r>
            <w:r w:rsidR="0010187C" w:rsidRPr="00B95907">
              <w:t>hat can be exchange/what can’t be exchanged</w:t>
            </w:r>
          </w:p>
          <w:p w14:paraId="72BFBAEE" w14:textId="77777777" w:rsidR="0001646B" w:rsidRPr="00B95907" w:rsidRDefault="009A063B" w:rsidP="00B01CC5">
            <w:pPr>
              <w:pStyle w:val="DPCtablebullet"/>
              <w:numPr>
                <w:ilvl w:val="0"/>
                <w:numId w:val="23"/>
              </w:numPr>
            </w:pPr>
            <w:r w:rsidRPr="00B95907">
              <w:t>l</w:t>
            </w:r>
            <w:r w:rsidR="0001646B" w:rsidRPr="00B95907">
              <w:t>egislative and administrative obligations</w:t>
            </w:r>
          </w:p>
          <w:p w14:paraId="407333E6" w14:textId="77777777" w:rsidR="00B01CC5" w:rsidRPr="00B95907" w:rsidRDefault="009A063B" w:rsidP="00B01CC5">
            <w:pPr>
              <w:pStyle w:val="DPCtablebullet"/>
              <w:numPr>
                <w:ilvl w:val="0"/>
                <w:numId w:val="23"/>
              </w:numPr>
            </w:pPr>
            <w:r w:rsidRPr="00B95907">
              <w:t>d</w:t>
            </w:r>
            <w:r w:rsidR="00B01CC5" w:rsidRPr="00B95907">
              <w:t xml:space="preserve">ata ownership and sovereignty; at which </w:t>
            </w:r>
            <w:r w:rsidR="004645DC" w:rsidRPr="00B95907">
              <w:t xml:space="preserve">point </w:t>
            </w:r>
            <w:r w:rsidR="00B01CC5" w:rsidRPr="00B95907">
              <w:t>does ownership transfer or not transfer</w:t>
            </w:r>
            <w:r w:rsidR="006F49F0" w:rsidRPr="00B95907">
              <w:t>?</w:t>
            </w:r>
          </w:p>
          <w:p w14:paraId="1E9AC6B7" w14:textId="77777777" w:rsidR="003A1FDF" w:rsidRPr="00B95907" w:rsidRDefault="009A063B" w:rsidP="0010187C">
            <w:pPr>
              <w:pStyle w:val="DPCtabletext"/>
              <w:numPr>
                <w:ilvl w:val="0"/>
                <w:numId w:val="23"/>
              </w:numPr>
            </w:pPr>
            <w:r w:rsidRPr="00B95907">
              <w:t>r</w:t>
            </w:r>
            <w:r w:rsidR="003A1FDF" w:rsidRPr="00B95907">
              <w:t>oles and responsibilities i.e. ownership and</w:t>
            </w:r>
            <w:r w:rsidR="0010187C" w:rsidRPr="00B95907">
              <w:t xml:space="preserve"> accountability</w:t>
            </w:r>
          </w:p>
          <w:p w14:paraId="32C60AE3" w14:textId="77777777" w:rsidR="00AC61DF" w:rsidRPr="00B95907" w:rsidRDefault="009A063B" w:rsidP="0010187C">
            <w:pPr>
              <w:pStyle w:val="DPCtablebullet"/>
              <w:numPr>
                <w:ilvl w:val="0"/>
                <w:numId w:val="23"/>
              </w:numPr>
            </w:pPr>
            <w:r w:rsidRPr="00B95907">
              <w:t>f</w:t>
            </w:r>
            <w:r w:rsidR="0084646D" w:rsidRPr="00B95907">
              <w:t xml:space="preserve">ormalising the arrangement including how </w:t>
            </w:r>
            <w:r w:rsidR="00AC61DF" w:rsidRPr="00B95907">
              <w:t xml:space="preserve">to use the data exchange agreement or statement of intent including how to complete the </w:t>
            </w:r>
            <w:r w:rsidR="00AE5AA7" w:rsidRPr="00B95907">
              <w:t xml:space="preserve">associated </w:t>
            </w:r>
            <w:r w:rsidR="00AC61DF" w:rsidRPr="00B95907">
              <w:t>data schedule</w:t>
            </w:r>
          </w:p>
          <w:p w14:paraId="729C66FA" w14:textId="77777777" w:rsidR="00AC61DF" w:rsidRPr="00B95907" w:rsidRDefault="009A063B" w:rsidP="0010187C">
            <w:pPr>
              <w:pStyle w:val="DPCtabletext"/>
              <w:numPr>
                <w:ilvl w:val="0"/>
                <w:numId w:val="23"/>
              </w:numPr>
            </w:pPr>
            <w:r w:rsidRPr="00B95907">
              <w:t>w</w:t>
            </w:r>
            <w:r w:rsidR="0084646D" w:rsidRPr="00B95907">
              <w:t xml:space="preserve">hen to exchange </w:t>
            </w:r>
            <w:r w:rsidR="001F756D" w:rsidRPr="00B95907">
              <w:t>with</w:t>
            </w:r>
            <w:r w:rsidR="00501A00" w:rsidRPr="00B95907">
              <w:t>out</w:t>
            </w:r>
            <w:r w:rsidR="001F756D" w:rsidRPr="00B95907">
              <w:t xml:space="preserve"> an a</w:t>
            </w:r>
            <w:r w:rsidR="00501A00" w:rsidRPr="00B95907">
              <w:t xml:space="preserve">greement or statement </w:t>
            </w:r>
          </w:p>
          <w:p w14:paraId="75276DB8" w14:textId="77777777" w:rsidR="003A1FDF" w:rsidRPr="00B95907" w:rsidRDefault="009A063B" w:rsidP="0010187C">
            <w:pPr>
              <w:pStyle w:val="DPCtabletext"/>
              <w:numPr>
                <w:ilvl w:val="0"/>
                <w:numId w:val="23"/>
              </w:numPr>
            </w:pPr>
            <w:r w:rsidRPr="00B95907">
              <w:t>l</w:t>
            </w:r>
            <w:r w:rsidR="003A1FDF" w:rsidRPr="00B95907">
              <w:t>icensing of data exchange arrangements</w:t>
            </w:r>
          </w:p>
          <w:p w14:paraId="04A91113" w14:textId="77777777" w:rsidR="003A1FDF" w:rsidRPr="00B95907" w:rsidRDefault="009A063B" w:rsidP="0010187C">
            <w:pPr>
              <w:pStyle w:val="DPCtablebullet"/>
              <w:numPr>
                <w:ilvl w:val="0"/>
                <w:numId w:val="23"/>
              </w:numPr>
            </w:pPr>
            <w:r w:rsidRPr="00B95907">
              <w:t>c</w:t>
            </w:r>
            <w:r w:rsidR="003A1FDF" w:rsidRPr="00B95907">
              <w:t>ross</w:t>
            </w:r>
            <w:r w:rsidRPr="00B95907">
              <w:t>-</w:t>
            </w:r>
            <w:r w:rsidR="003A1FDF" w:rsidRPr="00B95907">
              <w:t>jurisdictio</w:t>
            </w:r>
            <w:r w:rsidR="000556B4" w:rsidRPr="00B95907">
              <w:t>nal, inter and intra department, agencies and third party</w:t>
            </w:r>
            <w:r w:rsidR="003A1FDF" w:rsidRPr="00B95907">
              <w:t xml:space="preserve"> data exchange</w:t>
            </w:r>
          </w:p>
          <w:p w14:paraId="6500C8A9" w14:textId="77777777" w:rsidR="003A1FDF" w:rsidRPr="00B95907" w:rsidRDefault="009A063B" w:rsidP="0010187C">
            <w:pPr>
              <w:pStyle w:val="DPCtablebullet"/>
              <w:numPr>
                <w:ilvl w:val="0"/>
                <w:numId w:val="23"/>
              </w:numPr>
            </w:pPr>
            <w:r w:rsidRPr="00B95907">
              <w:t>m</w:t>
            </w:r>
            <w:r w:rsidR="003A1FDF" w:rsidRPr="00B95907">
              <w:t>anaging data exchange as a record (with a link to the Public Record Office Victoria</w:t>
            </w:r>
            <w:r w:rsidR="00AE5AA7" w:rsidRPr="00B95907">
              <w:t xml:space="preserve"> (PROV)</w:t>
            </w:r>
            <w:r w:rsidR="003A1FDF" w:rsidRPr="00B95907">
              <w:t>)</w:t>
            </w:r>
          </w:p>
          <w:p w14:paraId="6A1EF587" w14:textId="77777777" w:rsidR="003A1FDF" w:rsidRPr="00B95907" w:rsidRDefault="009A063B" w:rsidP="0010187C">
            <w:pPr>
              <w:pStyle w:val="DPCtabletext"/>
              <w:numPr>
                <w:ilvl w:val="0"/>
                <w:numId w:val="23"/>
              </w:numPr>
            </w:pPr>
            <w:r w:rsidRPr="00B95907">
              <w:t>m</w:t>
            </w:r>
            <w:r w:rsidR="003A1FDF" w:rsidRPr="00B95907">
              <w:t xml:space="preserve">anaging risk and compliance including identifiable and sensitive data (with linkages to the Office of the Victorian Information Commissioner </w:t>
            </w:r>
            <w:r w:rsidR="00AE5AA7" w:rsidRPr="00B95907">
              <w:t xml:space="preserve">(OVIC) </w:t>
            </w:r>
            <w:r w:rsidR="003A1FDF" w:rsidRPr="00B95907">
              <w:t xml:space="preserve">and </w:t>
            </w:r>
            <w:r w:rsidR="00AE5AA7" w:rsidRPr="00B95907">
              <w:t>VCDI</w:t>
            </w:r>
            <w:r w:rsidR="00D446DE" w:rsidRPr="00B95907">
              <w:t>)</w:t>
            </w:r>
            <w:r w:rsidR="00AE5AA7" w:rsidRPr="00B95907">
              <w:t xml:space="preserve">  </w:t>
            </w:r>
          </w:p>
          <w:p w14:paraId="40BE18BB" w14:textId="77777777" w:rsidR="00D446DE" w:rsidRPr="00B95907" w:rsidRDefault="009A063B" w:rsidP="0010187C">
            <w:pPr>
              <w:pStyle w:val="DPCtabletext"/>
              <w:numPr>
                <w:ilvl w:val="0"/>
                <w:numId w:val="23"/>
              </w:numPr>
            </w:pPr>
            <w:r w:rsidRPr="00B95907">
              <w:t>c</w:t>
            </w:r>
            <w:r w:rsidR="00D446DE" w:rsidRPr="00B95907">
              <w:t>arrying out a privacy impact assessment of the data</w:t>
            </w:r>
            <w:r w:rsidR="00BB55E6" w:rsidRPr="00B95907">
              <w:t xml:space="preserve"> (both of the data to be exchanged and how it is intended to be used)</w:t>
            </w:r>
          </w:p>
          <w:p w14:paraId="57C78BDC" w14:textId="77777777" w:rsidR="00AC61DF" w:rsidRPr="00B95907" w:rsidRDefault="009A063B" w:rsidP="005356CC">
            <w:pPr>
              <w:pStyle w:val="DPCtabletext"/>
              <w:numPr>
                <w:ilvl w:val="0"/>
                <w:numId w:val="23"/>
              </w:numPr>
            </w:pPr>
            <w:r w:rsidRPr="00B95907">
              <w:rPr>
                <w:rFonts w:cstheme="minorHAnsi"/>
              </w:rPr>
              <w:lastRenderedPageBreak/>
              <w:t>l</w:t>
            </w:r>
            <w:r w:rsidR="00E058A5" w:rsidRPr="00B95907">
              <w:rPr>
                <w:rFonts w:cstheme="minorHAnsi"/>
              </w:rPr>
              <w:t xml:space="preserve">ifecycle and change management i.e. establishing a refresh cycle for frequently changing data or data that has a time limit (e.g. annual datasets </w:t>
            </w:r>
            <w:r w:rsidR="0007318B" w:rsidRPr="00B95907">
              <w:rPr>
                <w:rFonts w:cstheme="minorHAnsi"/>
              </w:rPr>
              <w:t>that expire on a certain data)</w:t>
            </w:r>
          </w:p>
        </w:tc>
      </w:tr>
    </w:tbl>
    <w:p w14:paraId="399620B8" w14:textId="77777777" w:rsidR="001F756D" w:rsidRPr="00B95907" w:rsidRDefault="001F756D"/>
    <w:p w14:paraId="4F72123A" w14:textId="77777777" w:rsidR="005E6648" w:rsidRPr="00B95907" w:rsidRDefault="005E6648">
      <w:pPr>
        <w:rPr>
          <w:rFonts w:asciiTheme="minorHAnsi" w:eastAsia="Times" w:hAnsiTheme="minorHAnsi" w:cs="Arial"/>
          <w:color w:val="000000" w:themeColor="text1"/>
          <w:sz w:val="22"/>
          <w:szCs w:val="22"/>
        </w:rPr>
      </w:pPr>
    </w:p>
    <w:p w14:paraId="66321DAD" w14:textId="77777777" w:rsidR="00374F56" w:rsidRPr="00B95907" w:rsidRDefault="006B19E6" w:rsidP="006B19E6">
      <w:pPr>
        <w:pStyle w:val="DPCbody"/>
        <w:rPr>
          <w:rStyle w:val="Heading4Char"/>
        </w:rPr>
      </w:pPr>
      <w:r w:rsidRPr="00B95907">
        <w:rPr>
          <w:noProof/>
          <w:lang w:eastAsia="en-AU"/>
        </w:rPr>
        <w:drawing>
          <wp:inline distT="0" distB="0" distL="0" distR="0" wp14:anchorId="3389CFB1" wp14:editId="48F18846">
            <wp:extent cx="395605" cy="377190"/>
            <wp:effectExtent l="0" t="0" r="444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605" cy="377190"/>
                    </a:xfrm>
                    <a:prstGeom prst="rect">
                      <a:avLst/>
                    </a:prstGeom>
                    <a:noFill/>
                  </pic:spPr>
                </pic:pic>
              </a:graphicData>
            </a:graphic>
          </wp:inline>
        </w:drawing>
      </w:r>
      <w:r w:rsidRPr="00B95907">
        <w:t xml:space="preserve"> </w:t>
      </w:r>
      <w:r w:rsidRPr="00B95907">
        <w:rPr>
          <w:rStyle w:val="Heading4Char"/>
        </w:rPr>
        <w:t>S</w:t>
      </w:r>
      <w:r w:rsidR="004F362A" w:rsidRPr="00B95907">
        <w:rPr>
          <w:rStyle w:val="Heading4Char"/>
        </w:rPr>
        <w:t>tep 3</w:t>
      </w:r>
      <w:r w:rsidRPr="00B95907">
        <w:rPr>
          <w:rStyle w:val="Heading4Char"/>
        </w:rPr>
        <w:t xml:space="preserve"> – Identi</w:t>
      </w:r>
      <w:r w:rsidR="009A063B" w:rsidRPr="00B95907">
        <w:rPr>
          <w:rStyle w:val="Heading4Char"/>
        </w:rPr>
        <w:t>t</w:t>
      </w:r>
      <w:r w:rsidRPr="00B95907">
        <w:rPr>
          <w:rStyle w:val="Heading4Char"/>
        </w:rPr>
        <w:t>y mechanisms and tools</w:t>
      </w:r>
    </w:p>
    <w:p w14:paraId="2BA95130" w14:textId="77777777" w:rsidR="00374F56" w:rsidRPr="00B95907" w:rsidRDefault="00D72853" w:rsidP="00374F56">
      <w:pPr>
        <w:pStyle w:val="DPCbody"/>
      </w:pPr>
      <w:r w:rsidRPr="00B95907">
        <w:t>Data exchange and transfer is an emerging practice</w:t>
      </w:r>
      <w:r w:rsidR="009A063B" w:rsidRPr="00B95907">
        <w:t xml:space="preserve"> and </w:t>
      </w:r>
      <w:r w:rsidRPr="00B95907">
        <w:t>need within government, supported by a growing number of services and functions</w:t>
      </w:r>
      <w:r w:rsidR="009A063B" w:rsidRPr="00B95907">
        <w:t xml:space="preserve"> and</w:t>
      </w:r>
      <w:r w:rsidRPr="00B95907">
        <w:t xml:space="preserve"> underpinned by compliance with legislative regulations and administrative policies. Knowing what’s available, who to talk to</w:t>
      </w:r>
      <w:r w:rsidR="009A063B" w:rsidRPr="00B95907">
        <w:t>,</w:t>
      </w:r>
      <w:r w:rsidRPr="00B95907">
        <w:t xml:space="preserve"> and which tools and templates to use will support streamlined, safe and authorised data exchange.</w:t>
      </w:r>
    </w:p>
    <w:tbl>
      <w:tblPr>
        <w:tblStyle w:val="TableGrid"/>
        <w:tblW w:w="10065" w:type="dxa"/>
        <w:tblLayout w:type="fixed"/>
        <w:tblLook w:val="04A0" w:firstRow="1" w:lastRow="0" w:firstColumn="1" w:lastColumn="0" w:noHBand="0" w:noVBand="1"/>
      </w:tblPr>
      <w:tblGrid>
        <w:gridCol w:w="2268"/>
        <w:gridCol w:w="7797"/>
      </w:tblGrid>
      <w:tr w:rsidR="001F756D" w:rsidRPr="00B95907" w14:paraId="26C38E18" w14:textId="77777777" w:rsidTr="008A300C">
        <w:trPr>
          <w:tblHeader/>
        </w:trPr>
        <w:tc>
          <w:tcPr>
            <w:tcW w:w="2268" w:type="dxa"/>
          </w:tcPr>
          <w:p w14:paraId="199C6207" w14:textId="77777777" w:rsidR="001F756D" w:rsidRPr="00B95907" w:rsidRDefault="001F756D" w:rsidP="008A300C">
            <w:pPr>
              <w:pStyle w:val="DPCbody"/>
              <w:rPr>
                <w:b/>
                <w:color w:val="auto"/>
              </w:rPr>
            </w:pPr>
            <w:r w:rsidRPr="00B95907">
              <w:rPr>
                <w:b/>
                <w:color w:val="auto"/>
              </w:rPr>
              <w:t>Key component</w:t>
            </w:r>
          </w:p>
        </w:tc>
        <w:tc>
          <w:tcPr>
            <w:tcW w:w="7797" w:type="dxa"/>
          </w:tcPr>
          <w:p w14:paraId="1F6953E0" w14:textId="77777777" w:rsidR="001F756D" w:rsidRPr="00B95907" w:rsidRDefault="001F756D" w:rsidP="008A300C">
            <w:pPr>
              <w:pStyle w:val="DPCbody"/>
              <w:rPr>
                <w:b/>
                <w:color w:val="auto"/>
              </w:rPr>
            </w:pPr>
            <w:r w:rsidRPr="00B95907">
              <w:rPr>
                <w:b/>
                <w:color w:val="auto"/>
              </w:rPr>
              <w:t>Description</w:t>
            </w:r>
          </w:p>
        </w:tc>
      </w:tr>
      <w:tr w:rsidR="001F756D" w:rsidRPr="00B95907" w14:paraId="13A4894F" w14:textId="77777777" w:rsidTr="008A300C">
        <w:tc>
          <w:tcPr>
            <w:tcW w:w="2268" w:type="dxa"/>
          </w:tcPr>
          <w:p w14:paraId="372F00C4" w14:textId="77777777" w:rsidR="001F756D" w:rsidRPr="00B95907" w:rsidRDefault="001F756D" w:rsidP="008A300C">
            <w:pPr>
              <w:pStyle w:val="DPCtabletext"/>
            </w:pPr>
            <w:r w:rsidRPr="00B95907">
              <w:t>Data services and infrastructure</w:t>
            </w:r>
          </w:p>
        </w:tc>
        <w:tc>
          <w:tcPr>
            <w:tcW w:w="7797" w:type="dxa"/>
          </w:tcPr>
          <w:p w14:paraId="213D3513" w14:textId="77777777" w:rsidR="001F756D" w:rsidRPr="00B95907" w:rsidRDefault="001F756D" w:rsidP="005356CC">
            <w:pPr>
              <w:pStyle w:val="DPCtabletext"/>
            </w:pPr>
            <w:r w:rsidRPr="00B95907">
              <w:t>Descriptions of and links to existing data services, data exchange services</w:t>
            </w:r>
            <w:r w:rsidR="003B6B6C" w:rsidRPr="00B95907">
              <w:t>, platforms</w:t>
            </w:r>
            <w:r w:rsidRPr="00B95907">
              <w:t xml:space="preserve"> and infrastructure within and external to government.  For </w:t>
            </w:r>
            <w:r w:rsidR="008A300C" w:rsidRPr="00B95907">
              <w:t>example,</w:t>
            </w:r>
            <w:r w:rsidRPr="00B95907">
              <w:t xml:space="preserve"> </w:t>
            </w:r>
            <w:r w:rsidR="007B2A2F" w:rsidRPr="00B95907">
              <w:t>the VicRoads</w:t>
            </w:r>
            <w:r w:rsidR="008A300C" w:rsidRPr="00B95907">
              <w:t>’</w:t>
            </w:r>
            <w:r w:rsidR="007B2A2F" w:rsidRPr="00B95907">
              <w:t xml:space="preserve"> Data Exchange Platform (under development), other API gateways</w:t>
            </w:r>
            <w:r w:rsidRPr="00B95907">
              <w:t>, the</w:t>
            </w:r>
            <w:r w:rsidR="00F7395D" w:rsidRPr="00B95907">
              <w:t xml:space="preserve"> VCDI</w:t>
            </w:r>
            <w:r w:rsidRPr="00B95907">
              <w:t xml:space="preserve"> Data Hub (under development), </w:t>
            </w:r>
            <w:r w:rsidR="00E058A5" w:rsidRPr="00B95907">
              <w:t xml:space="preserve">Victorian Spatial Data Library, </w:t>
            </w:r>
            <w:proofErr w:type="spellStart"/>
            <w:r w:rsidRPr="00B95907">
              <w:t>health.vic</w:t>
            </w:r>
            <w:proofErr w:type="spellEnd"/>
            <w:r w:rsidRPr="00B95907">
              <w:t xml:space="preserve">, </w:t>
            </w:r>
            <w:proofErr w:type="spellStart"/>
            <w:r w:rsidRPr="00B95907">
              <w:t>Aurin</w:t>
            </w:r>
            <w:proofErr w:type="spellEnd"/>
            <w:r w:rsidRPr="00B95907">
              <w:t xml:space="preserve"> Portal etc.</w:t>
            </w:r>
          </w:p>
          <w:p w14:paraId="4429D386" w14:textId="77777777" w:rsidR="0007318B" w:rsidRPr="00B95907" w:rsidRDefault="001F756D" w:rsidP="005356CC">
            <w:pPr>
              <w:pStyle w:val="DPCtabletext"/>
            </w:pPr>
            <w:r w:rsidRPr="00B95907">
              <w:t>Identification of future technical needs to facilitate data exchange.</w:t>
            </w:r>
          </w:p>
        </w:tc>
      </w:tr>
      <w:tr w:rsidR="001F756D" w:rsidRPr="00B95907" w14:paraId="36D17362" w14:textId="77777777" w:rsidTr="008A300C">
        <w:tc>
          <w:tcPr>
            <w:tcW w:w="2268" w:type="dxa"/>
          </w:tcPr>
          <w:p w14:paraId="2A345612" w14:textId="77777777" w:rsidR="001F756D" w:rsidRPr="00B95907" w:rsidRDefault="001F756D" w:rsidP="008A300C">
            <w:pPr>
              <w:pStyle w:val="DPCtabletext"/>
            </w:pPr>
            <w:r w:rsidRPr="00B95907">
              <w:t>Data sources and schemas</w:t>
            </w:r>
          </w:p>
        </w:tc>
        <w:tc>
          <w:tcPr>
            <w:tcW w:w="7797" w:type="dxa"/>
          </w:tcPr>
          <w:p w14:paraId="34D6B71F" w14:textId="77777777" w:rsidR="001F756D" w:rsidRPr="00B95907" w:rsidRDefault="001F756D" w:rsidP="005356CC">
            <w:pPr>
              <w:pStyle w:val="DPCtabletext"/>
              <w:rPr>
                <w:rFonts w:cstheme="minorHAnsi"/>
              </w:rPr>
            </w:pPr>
            <w:r w:rsidRPr="00B95907">
              <w:rPr>
                <w:rFonts w:cstheme="minorHAnsi"/>
              </w:rPr>
              <w:t>Descriptions of and links to existing data exchange schemas, design patterns and methods within the Victorian Government and externally.</w:t>
            </w:r>
          </w:p>
          <w:p w14:paraId="2C3BFE26" w14:textId="77777777" w:rsidR="0007318B" w:rsidRPr="00B95907" w:rsidRDefault="001F756D" w:rsidP="003B6B6C">
            <w:pPr>
              <w:pStyle w:val="DPCtabletext"/>
            </w:pPr>
            <w:r w:rsidRPr="00B95907">
              <w:rPr>
                <w:rFonts w:cstheme="minorHAnsi"/>
              </w:rPr>
              <w:t>Descriptions</w:t>
            </w:r>
            <w:r w:rsidRPr="00B95907">
              <w:t xml:space="preserve"> of and links to existing dat</w:t>
            </w:r>
            <w:r w:rsidR="003B6B6C" w:rsidRPr="00B95907">
              <w:t>a sources, providers, registers/</w:t>
            </w:r>
            <w:r w:rsidRPr="00B95907">
              <w:t xml:space="preserve">catalogues </w:t>
            </w:r>
            <w:r w:rsidR="003B6B6C" w:rsidRPr="00B95907">
              <w:t xml:space="preserve">and repositories </w:t>
            </w:r>
            <w:r w:rsidRPr="00B95907">
              <w:t>including Data.vic.gov.au,</w:t>
            </w:r>
            <w:r w:rsidR="00F7395D" w:rsidRPr="00B95907">
              <w:t xml:space="preserve"> internal information asset register,</w:t>
            </w:r>
            <w:r w:rsidRPr="00B95907">
              <w:t xml:space="preserve"> reference data, master data </w:t>
            </w:r>
            <w:r w:rsidR="00F7395D" w:rsidRPr="00B95907">
              <w:t>i.e. ‘person’, ‘place’ and ‘economy’ datasets</w:t>
            </w:r>
            <w:r w:rsidR="00F7395D" w:rsidRPr="00B95907">
              <w:rPr>
                <w:rStyle w:val="FootnoteReference"/>
              </w:rPr>
              <w:footnoteReference w:id="2"/>
            </w:r>
            <w:r w:rsidR="00F7395D" w:rsidRPr="00B95907">
              <w:t xml:space="preserve"> </w:t>
            </w:r>
            <w:r w:rsidRPr="00B95907">
              <w:t>etc.</w:t>
            </w:r>
          </w:p>
        </w:tc>
      </w:tr>
      <w:tr w:rsidR="001F756D" w:rsidRPr="00B95907" w14:paraId="39CBB406" w14:textId="77777777" w:rsidTr="008A300C">
        <w:tc>
          <w:tcPr>
            <w:tcW w:w="2268" w:type="dxa"/>
          </w:tcPr>
          <w:p w14:paraId="1C44590F" w14:textId="77777777" w:rsidR="001F756D" w:rsidRPr="00B95907" w:rsidRDefault="001F756D" w:rsidP="008A300C">
            <w:pPr>
              <w:pStyle w:val="DPCtabletext"/>
            </w:pPr>
            <w:r w:rsidRPr="00B95907">
              <w:t>Data experts</w:t>
            </w:r>
          </w:p>
        </w:tc>
        <w:tc>
          <w:tcPr>
            <w:tcW w:w="7797" w:type="dxa"/>
          </w:tcPr>
          <w:p w14:paraId="051961DB" w14:textId="77777777" w:rsidR="0007318B" w:rsidRPr="00B95907" w:rsidRDefault="001F756D" w:rsidP="001F756D">
            <w:pPr>
              <w:pStyle w:val="DPCtabletext"/>
            </w:pPr>
            <w:r w:rsidRPr="00B95907">
              <w:t xml:space="preserve">Links to expert groups within government who have responsibility for data exchange </w:t>
            </w:r>
            <w:r w:rsidR="005C0059" w:rsidRPr="00B95907">
              <w:t>including the Victorian Centre for Data Insights, Health Data Agency and Family Safety etc.</w:t>
            </w:r>
          </w:p>
        </w:tc>
      </w:tr>
      <w:tr w:rsidR="000D0A64" w:rsidRPr="00B95907" w14:paraId="176B77DD" w14:textId="77777777" w:rsidTr="008A300C">
        <w:tc>
          <w:tcPr>
            <w:tcW w:w="2268" w:type="dxa"/>
          </w:tcPr>
          <w:p w14:paraId="56C61D20" w14:textId="77777777" w:rsidR="000D0A64" w:rsidRPr="00B95907" w:rsidRDefault="00E032A9" w:rsidP="008A300C">
            <w:pPr>
              <w:pStyle w:val="DPCtabletext"/>
            </w:pPr>
            <w:r w:rsidRPr="00B95907">
              <w:t>Compliance</w:t>
            </w:r>
          </w:p>
        </w:tc>
        <w:tc>
          <w:tcPr>
            <w:tcW w:w="7797" w:type="dxa"/>
          </w:tcPr>
          <w:p w14:paraId="09583164" w14:textId="77777777" w:rsidR="0007318B" w:rsidRPr="00B95907" w:rsidRDefault="000D0A64" w:rsidP="009B270D">
            <w:pPr>
              <w:pStyle w:val="DPCtabletext"/>
            </w:pPr>
            <w:r w:rsidRPr="00B95907">
              <w:t xml:space="preserve">Descriptions of and links to legislative and administrative policies that impact data exchange including the </w:t>
            </w:r>
            <w:r w:rsidR="009B270D" w:rsidRPr="00B95907">
              <w:rPr>
                <w:i/>
              </w:rPr>
              <w:t>Victorian Privacy and Data Protection Act 2014</w:t>
            </w:r>
            <w:r w:rsidR="009B270D" w:rsidRPr="00B95907">
              <w:t xml:space="preserve">, </w:t>
            </w:r>
            <w:r w:rsidRPr="00B95907">
              <w:rPr>
                <w:i/>
              </w:rPr>
              <w:t>Victorian Data Sharing Act 2017</w:t>
            </w:r>
            <w:r w:rsidRPr="00B95907">
              <w:t xml:space="preserve"> and Victorian Government Intellectual Property Policy etc.</w:t>
            </w:r>
          </w:p>
        </w:tc>
      </w:tr>
      <w:tr w:rsidR="001F756D" w:rsidRPr="00B95907" w14:paraId="70E4EE3D" w14:textId="77777777" w:rsidTr="008A300C">
        <w:tc>
          <w:tcPr>
            <w:tcW w:w="2268" w:type="dxa"/>
          </w:tcPr>
          <w:p w14:paraId="10E2050C" w14:textId="77777777" w:rsidR="001F756D" w:rsidRPr="00B95907" w:rsidRDefault="001F756D" w:rsidP="008A300C">
            <w:pPr>
              <w:pStyle w:val="DPCtabletext"/>
            </w:pPr>
            <w:r w:rsidRPr="00B95907">
              <w:t xml:space="preserve">Data exchange risk assessment model </w:t>
            </w:r>
          </w:p>
        </w:tc>
        <w:tc>
          <w:tcPr>
            <w:tcW w:w="7797" w:type="dxa"/>
          </w:tcPr>
          <w:p w14:paraId="49E853D5" w14:textId="77777777" w:rsidR="0007318B" w:rsidRPr="00B95907" w:rsidRDefault="000D0A64" w:rsidP="00F810D8">
            <w:pPr>
              <w:pStyle w:val="DPCtabletext"/>
            </w:pPr>
            <w:r w:rsidRPr="00B95907">
              <w:t xml:space="preserve">Aligned with the </w:t>
            </w:r>
            <w:hyperlink r:id="rId21" w:history="1">
              <w:r w:rsidRPr="00B95907">
                <w:rPr>
                  <w:rStyle w:val="Hyperlink"/>
                </w:rPr>
                <w:t>Victorian Government Risk Management Framework</w:t>
              </w:r>
            </w:hyperlink>
            <w:r w:rsidR="005C0059" w:rsidRPr="00B95907">
              <w:t xml:space="preserve"> and the </w:t>
            </w:r>
            <w:hyperlink r:id="rId22" w:history="1">
              <w:r w:rsidR="005C0059" w:rsidRPr="00B95907">
                <w:rPr>
                  <w:rStyle w:val="Hyperlink"/>
                </w:rPr>
                <w:t>Victorian Protective Data Security Framework</w:t>
              </w:r>
            </w:hyperlink>
            <w:r w:rsidR="005C0059" w:rsidRPr="00B95907">
              <w:t xml:space="preserve"> </w:t>
            </w:r>
            <w:r w:rsidRPr="00B95907">
              <w:t xml:space="preserve">the Data Exchange Risk Assessment Model will </w:t>
            </w:r>
            <w:r w:rsidR="001F756D" w:rsidRPr="00B95907">
              <w:t xml:space="preserve">help assess </w:t>
            </w:r>
            <w:r w:rsidRPr="00B95907">
              <w:t xml:space="preserve">the </w:t>
            </w:r>
            <w:r w:rsidR="001F756D" w:rsidRPr="00B95907">
              <w:t>risk</w:t>
            </w:r>
            <w:r w:rsidRPr="00B95907">
              <w:t xml:space="preserve"> and apply appropriate controls to data exchange initiatives.  </w:t>
            </w:r>
            <w:r w:rsidR="00F810D8" w:rsidRPr="00B95907">
              <w:t xml:space="preserve">This </w:t>
            </w:r>
            <w:r w:rsidR="005C0059" w:rsidRPr="00B95907">
              <w:t xml:space="preserve">model </w:t>
            </w:r>
            <w:r w:rsidR="00F810D8" w:rsidRPr="00B95907">
              <w:t>will help data owners to assess if the data exchange is in the best interest of the government or of the Victorian people.</w:t>
            </w:r>
          </w:p>
        </w:tc>
      </w:tr>
      <w:tr w:rsidR="001F756D" w:rsidRPr="00B95907" w14:paraId="0E68EE0B" w14:textId="77777777" w:rsidTr="008A300C">
        <w:tc>
          <w:tcPr>
            <w:tcW w:w="2268" w:type="dxa"/>
          </w:tcPr>
          <w:p w14:paraId="19948E87" w14:textId="77777777" w:rsidR="001F756D" w:rsidRPr="00B95907" w:rsidRDefault="001F756D" w:rsidP="008A300C">
            <w:pPr>
              <w:pStyle w:val="DPCtabletext"/>
            </w:pPr>
            <w:r w:rsidRPr="00B95907">
              <w:t>Data request (template)</w:t>
            </w:r>
          </w:p>
        </w:tc>
        <w:tc>
          <w:tcPr>
            <w:tcW w:w="7797" w:type="dxa"/>
          </w:tcPr>
          <w:p w14:paraId="732C87F6" w14:textId="77777777" w:rsidR="0007318B" w:rsidRPr="00B95907" w:rsidRDefault="001F756D" w:rsidP="001F756D">
            <w:pPr>
              <w:pStyle w:val="DPCtabletext"/>
            </w:pPr>
            <w:r w:rsidRPr="00B95907">
              <w:t>A temp</w:t>
            </w:r>
            <w:r w:rsidR="00662F0A" w:rsidRPr="00B95907">
              <w:t>late for data exchange requests including how the data requestor intends to use the data.</w:t>
            </w:r>
          </w:p>
        </w:tc>
      </w:tr>
      <w:tr w:rsidR="004B2EF7" w:rsidRPr="00B95907" w14:paraId="0D04B542" w14:textId="77777777" w:rsidTr="00952F30">
        <w:tc>
          <w:tcPr>
            <w:tcW w:w="2268" w:type="dxa"/>
          </w:tcPr>
          <w:p w14:paraId="6A80D145" w14:textId="77777777" w:rsidR="004B2EF7" w:rsidRPr="00B95907" w:rsidRDefault="004B2EF7" w:rsidP="00952F30">
            <w:pPr>
              <w:pStyle w:val="DPCtabletext"/>
            </w:pPr>
            <w:r w:rsidRPr="00B95907">
              <w:t>Data exchange checklist (template)</w:t>
            </w:r>
          </w:p>
        </w:tc>
        <w:tc>
          <w:tcPr>
            <w:tcW w:w="7797" w:type="dxa"/>
          </w:tcPr>
          <w:p w14:paraId="6AE92386" w14:textId="77777777" w:rsidR="0007318B" w:rsidRPr="00B95907" w:rsidRDefault="004B2EF7" w:rsidP="000556B4">
            <w:pPr>
              <w:pStyle w:val="DPCtabletext"/>
            </w:pPr>
            <w:r w:rsidRPr="00B95907">
              <w:t xml:space="preserve">A checklist that helps the data owner to assess the authority and justification for a data exchange arrangement.  The emphasis of this checklist is not on preventing data exchange but rather on exchanging data in </w:t>
            </w:r>
            <w:r w:rsidR="000556B4" w:rsidRPr="00B95907">
              <w:t xml:space="preserve">a </w:t>
            </w:r>
            <w:r w:rsidRPr="00B95907">
              <w:t>safe</w:t>
            </w:r>
            <w:r w:rsidR="000556B4" w:rsidRPr="00B95907">
              <w:t xml:space="preserve"> (secure)</w:t>
            </w:r>
            <w:r w:rsidRPr="00B95907">
              <w:t xml:space="preserve"> and transparent manner.  </w:t>
            </w:r>
          </w:p>
        </w:tc>
      </w:tr>
      <w:tr w:rsidR="001F756D" w:rsidRPr="00B95907" w14:paraId="7E14EEF8" w14:textId="77777777" w:rsidTr="008A300C">
        <w:tc>
          <w:tcPr>
            <w:tcW w:w="2268" w:type="dxa"/>
          </w:tcPr>
          <w:p w14:paraId="08AA55E9" w14:textId="77777777" w:rsidR="001F756D" w:rsidRPr="00B95907" w:rsidRDefault="001F756D" w:rsidP="008A300C">
            <w:pPr>
              <w:pStyle w:val="DPCtabletext"/>
            </w:pPr>
            <w:r w:rsidRPr="00B95907">
              <w:t>Data exchange agreement (template)</w:t>
            </w:r>
          </w:p>
        </w:tc>
        <w:tc>
          <w:tcPr>
            <w:tcW w:w="7797" w:type="dxa"/>
          </w:tcPr>
          <w:p w14:paraId="09AE7037" w14:textId="77777777" w:rsidR="0007318B" w:rsidRPr="00B95907" w:rsidRDefault="00976A12" w:rsidP="000556B4">
            <w:pPr>
              <w:pStyle w:val="DPCtabletext"/>
            </w:pPr>
            <w:r w:rsidRPr="00B95907">
              <w:t>A s</w:t>
            </w:r>
            <w:r w:rsidR="001F756D" w:rsidRPr="00B95907">
              <w:t xml:space="preserve">tandardised agreement/contract template for data exchange with </w:t>
            </w:r>
            <w:r w:rsidR="000556B4" w:rsidRPr="00B95907">
              <w:t>third parties</w:t>
            </w:r>
            <w:r w:rsidR="001F756D" w:rsidRPr="00B95907">
              <w:t xml:space="preserve"> including RA</w:t>
            </w:r>
            <w:r w:rsidR="000556B4" w:rsidRPr="00B95907">
              <w:t>S</w:t>
            </w:r>
            <w:r w:rsidR="001F756D" w:rsidRPr="00B95907">
              <w:t>CI</w:t>
            </w:r>
            <w:r w:rsidRPr="00B95907">
              <w:rPr>
                <w:rStyle w:val="FootnoteReference"/>
              </w:rPr>
              <w:footnoteReference w:id="3"/>
            </w:r>
            <w:r w:rsidRPr="00B95907">
              <w:t xml:space="preserve">, </w:t>
            </w:r>
            <w:r w:rsidR="001F756D" w:rsidRPr="00B95907">
              <w:t>service level agreement</w:t>
            </w:r>
            <w:r w:rsidR="000044BF" w:rsidRPr="00B95907">
              <w:t>, change management</w:t>
            </w:r>
            <w:r w:rsidRPr="00B95907">
              <w:t xml:space="preserve"> and data schedule (a </w:t>
            </w:r>
            <w:r w:rsidR="008E6289" w:rsidRPr="00B95907">
              <w:t xml:space="preserve">detailed </w:t>
            </w:r>
            <w:r w:rsidRPr="00B95907">
              <w:t>description of the data)</w:t>
            </w:r>
            <w:r w:rsidR="001F756D" w:rsidRPr="00B95907">
              <w:t>.</w:t>
            </w:r>
          </w:p>
        </w:tc>
      </w:tr>
      <w:tr w:rsidR="001F756D" w:rsidRPr="00B95907" w14:paraId="77D94631" w14:textId="77777777" w:rsidTr="008A300C">
        <w:tc>
          <w:tcPr>
            <w:tcW w:w="2268" w:type="dxa"/>
          </w:tcPr>
          <w:p w14:paraId="042096DC" w14:textId="77777777" w:rsidR="001F756D" w:rsidRPr="00B95907" w:rsidRDefault="001F756D" w:rsidP="008A300C">
            <w:pPr>
              <w:pStyle w:val="DPCtabletext"/>
            </w:pPr>
            <w:r w:rsidRPr="00B95907">
              <w:t>Data exchange statement of intent (template)</w:t>
            </w:r>
          </w:p>
        </w:tc>
        <w:tc>
          <w:tcPr>
            <w:tcW w:w="7797" w:type="dxa"/>
          </w:tcPr>
          <w:p w14:paraId="714825A6" w14:textId="77777777" w:rsidR="0007318B" w:rsidRPr="00B95907" w:rsidRDefault="00976A12" w:rsidP="00F810D8">
            <w:pPr>
              <w:pStyle w:val="DPCtabletext"/>
            </w:pPr>
            <w:r w:rsidRPr="00B95907">
              <w:t xml:space="preserve">A </w:t>
            </w:r>
            <w:r w:rsidR="00961710" w:rsidRPr="00B95907">
              <w:t>s</w:t>
            </w:r>
            <w:r w:rsidR="001F756D" w:rsidRPr="00B95907">
              <w:t xml:space="preserve">tandardised data exchange statement of intent (or memorandum of understanding) template for inter and intra department data exchange including </w:t>
            </w:r>
            <w:r w:rsidR="000556B4" w:rsidRPr="00B95907">
              <w:t>RASCI</w:t>
            </w:r>
            <w:r w:rsidRPr="00B95907">
              <w:t>,</w:t>
            </w:r>
            <w:r w:rsidR="001F756D" w:rsidRPr="00B95907">
              <w:t xml:space="preserve"> </w:t>
            </w:r>
            <w:r w:rsidRPr="00B95907">
              <w:t>service level agreement and data schedule.</w:t>
            </w:r>
          </w:p>
        </w:tc>
      </w:tr>
      <w:tr w:rsidR="00E678DF" w:rsidRPr="00B95907" w14:paraId="493EF464" w14:textId="77777777" w:rsidTr="008A300C">
        <w:tc>
          <w:tcPr>
            <w:tcW w:w="2268" w:type="dxa"/>
          </w:tcPr>
          <w:p w14:paraId="6566AD6D" w14:textId="77777777" w:rsidR="00E678DF" w:rsidRPr="00B95907" w:rsidRDefault="00E678DF" w:rsidP="008A300C">
            <w:pPr>
              <w:pStyle w:val="DPCtabletext"/>
            </w:pPr>
            <w:r w:rsidRPr="00B95907">
              <w:lastRenderedPageBreak/>
              <w:t>Data exchange technical specification (template)</w:t>
            </w:r>
          </w:p>
        </w:tc>
        <w:tc>
          <w:tcPr>
            <w:tcW w:w="7797" w:type="dxa"/>
          </w:tcPr>
          <w:p w14:paraId="2F181088" w14:textId="77777777" w:rsidR="00E678DF" w:rsidRPr="00B95907" w:rsidRDefault="00E678DF" w:rsidP="008A300C">
            <w:pPr>
              <w:pStyle w:val="DPCtabletext"/>
            </w:pPr>
            <w:r w:rsidRPr="00B95907">
              <w:t>A template for documenting the technical specifications of a data exchange.</w:t>
            </w:r>
          </w:p>
        </w:tc>
      </w:tr>
    </w:tbl>
    <w:p w14:paraId="0F328902" w14:textId="77777777" w:rsidR="001F756D" w:rsidRPr="00B95907" w:rsidRDefault="001F756D" w:rsidP="00374F56">
      <w:pPr>
        <w:pStyle w:val="DPCbody"/>
      </w:pPr>
    </w:p>
    <w:p w14:paraId="20BEBBB0" w14:textId="77777777" w:rsidR="00374F56" w:rsidRPr="00B95907" w:rsidRDefault="005751F3" w:rsidP="005751F3">
      <w:pPr>
        <w:pStyle w:val="Heading4"/>
      </w:pPr>
      <w:r w:rsidRPr="00B95907">
        <w:rPr>
          <w:noProof/>
          <w:lang w:eastAsia="en-AU"/>
        </w:rPr>
        <w:drawing>
          <wp:inline distT="0" distB="0" distL="0" distR="0" wp14:anchorId="7505D080" wp14:editId="7B1CADFD">
            <wp:extent cx="396000" cy="382408"/>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000" cy="382408"/>
                    </a:xfrm>
                    <a:prstGeom prst="rect">
                      <a:avLst/>
                    </a:prstGeom>
                    <a:noFill/>
                  </pic:spPr>
                </pic:pic>
              </a:graphicData>
            </a:graphic>
          </wp:inline>
        </w:drawing>
      </w:r>
      <w:r w:rsidRPr="00B95907">
        <w:rPr>
          <w:noProof/>
          <w:lang w:eastAsia="en-AU"/>
        </w:rPr>
        <w:t xml:space="preserve"> </w:t>
      </w:r>
      <w:r w:rsidR="004F362A" w:rsidRPr="00B95907">
        <w:rPr>
          <w:noProof/>
          <w:lang w:eastAsia="en-AU"/>
        </w:rPr>
        <w:t>Step 4</w:t>
      </w:r>
      <w:r w:rsidRPr="00B95907">
        <w:rPr>
          <w:noProof/>
          <w:lang w:eastAsia="en-AU"/>
        </w:rPr>
        <w:t xml:space="preserve"> – Exchange data</w:t>
      </w:r>
    </w:p>
    <w:p w14:paraId="50331DFC" w14:textId="77777777" w:rsidR="00F20252" w:rsidRPr="00B95907" w:rsidRDefault="00F20252" w:rsidP="00F20252">
      <w:pPr>
        <w:pStyle w:val="DPCbody"/>
        <w:tabs>
          <w:tab w:val="center" w:pos="4960"/>
        </w:tabs>
      </w:pPr>
      <w:r w:rsidRPr="00B95907">
        <w:t>Each data exchange will differ in its characteristics but be similar in the process of designing, testing and transitioning to business</w:t>
      </w:r>
      <w:r w:rsidR="009A063B" w:rsidRPr="00B95907">
        <w:t>-</w:t>
      </w:r>
      <w:r w:rsidRPr="00B95907">
        <w:t>as</w:t>
      </w:r>
      <w:r w:rsidR="009A063B" w:rsidRPr="00B95907">
        <w:t>-</w:t>
      </w:r>
      <w:r w:rsidRPr="00B95907">
        <w:t>usual (BAU). The following will provide guidance on each stage of the process.</w:t>
      </w:r>
    </w:p>
    <w:tbl>
      <w:tblPr>
        <w:tblStyle w:val="TableGrid"/>
        <w:tblW w:w="10065" w:type="dxa"/>
        <w:tblLook w:val="04A0" w:firstRow="1" w:lastRow="0" w:firstColumn="1" w:lastColumn="0" w:noHBand="0" w:noVBand="1"/>
      </w:tblPr>
      <w:tblGrid>
        <w:gridCol w:w="2268"/>
        <w:gridCol w:w="7797"/>
      </w:tblGrid>
      <w:tr w:rsidR="00374F56" w:rsidRPr="00B95907" w14:paraId="74206249" w14:textId="77777777" w:rsidTr="001C4AD3">
        <w:tc>
          <w:tcPr>
            <w:tcW w:w="2268" w:type="dxa"/>
          </w:tcPr>
          <w:p w14:paraId="54123E96" w14:textId="77777777" w:rsidR="00374F56" w:rsidRPr="00B95907" w:rsidRDefault="00374F56" w:rsidP="00A24C0E">
            <w:pPr>
              <w:pStyle w:val="DPCbody"/>
              <w:rPr>
                <w:b/>
                <w:color w:val="7F7F7F" w:themeColor="text1" w:themeTint="80"/>
              </w:rPr>
            </w:pPr>
            <w:r w:rsidRPr="00B95907">
              <w:rPr>
                <w:b/>
                <w:color w:val="7F7F7F" w:themeColor="text1" w:themeTint="80"/>
              </w:rPr>
              <w:t>Key component</w:t>
            </w:r>
          </w:p>
        </w:tc>
        <w:tc>
          <w:tcPr>
            <w:tcW w:w="7797" w:type="dxa"/>
          </w:tcPr>
          <w:p w14:paraId="5AF7EBDD" w14:textId="77777777" w:rsidR="00374F56" w:rsidRPr="00B95907" w:rsidRDefault="00374F56" w:rsidP="00A24C0E">
            <w:pPr>
              <w:pStyle w:val="DPCbody"/>
              <w:rPr>
                <w:b/>
                <w:color w:val="7F7F7F" w:themeColor="text1" w:themeTint="80"/>
              </w:rPr>
            </w:pPr>
            <w:r w:rsidRPr="00B95907">
              <w:rPr>
                <w:b/>
                <w:color w:val="7F7F7F" w:themeColor="text1" w:themeTint="80"/>
              </w:rPr>
              <w:t>Description</w:t>
            </w:r>
          </w:p>
        </w:tc>
      </w:tr>
      <w:tr w:rsidR="008B6C6A" w:rsidRPr="00B95907" w14:paraId="3889D9DE" w14:textId="77777777" w:rsidTr="001C4AD3">
        <w:tc>
          <w:tcPr>
            <w:tcW w:w="2268" w:type="dxa"/>
          </w:tcPr>
          <w:p w14:paraId="19678508" w14:textId="77777777" w:rsidR="008B6C6A" w:rsidRPr="00B95907" w:rsidRDefault="008B6C6A" w:rsidP="00E90A64">
            <w:pPr>
              <w:pStyle w:val="DPCtabletext"/>
              <w:rPr>
                <w:sz w:val="36"/>
                <w:szCs w:val="36"/>
              </w:rPr>
            </w:pPr>
            <w:r w:rsidRPr="00B95907">
              <w:t>Designing a data exchange (guideline)</w:t>
            </w:r>
          </w:p>
        </w:tc>
        <w:tc>
          <w:tcPr>
            <w:tcW w:w="7797" w:type="dxa"/>
          </w:tcPr>
          <w:p w14:paraId="336736C9" w14:textId="77777777" w:rsidR="00C0713A" w:rsidRPr="00B95907" w:rsidRDefault="008B6C6A" w:rsidP="00C0713A">
            <w:pPr>
              <w:pStyle w:val="DPCtabletext"/>
              <w:divId w:val="1406877653"/>
            </w:pPr>
            <w:r w:rsidRPr="00B95907">
              <w:t xml:space="preserve">Guidance on the </w:t>
            </w:r>
            <w:r w:rsidR="00C0713A" w:rsidRPr="00B95907">
              <w:t xml:space="preserve">process of </w:t>
            </w:r>
            <w:r w:rsidRPr="00B95907">
              <w:t xml:space="preserve">designing and carrying out a data exchange </w:t>
            </w:r>
            <w:r w:rsidR="00C0713A" w:rsidRPr="00B95907">
              <w:t xml:space="preserve">including: </w:t>
            </w:r>
          </w:p>
          <w:p w14:paraId="19AD7D50" w14:textId="77777777" w:rsidR="00C0713A" w:rsidRPr="00B95907" w:rsidRDefault="009A063B" w:rsidP="0007318B">
            <w:pPr>
              <w:pStyle w:val="DPCtabletext"/>
              <w:numPr>
                <w:ilvl w:val="0"/>
                <w:numId w:val="18"/>
              </w:numPr>
              <w:divId w:val="1406877653"/>
              <w:rPr>
                <w:color w:val="auto"/>
                <w:szCs w:val="36"/>
              </w:rPr>
            </w:pPr>
            <w:r w:rsidRPr="00B95907">
              <w:t>d</w:t>
            </w:r>
            <w:r w:rsidR="00C0713A" w:rsidRPr="00B95907">
              <w:t>ata exchange key concepts and terminology</w:t>
            </w:r>
          </w:p>
          <w:p w14:paraId="2FAD13B2" w14:textId="77777777" w:rsidR="008B6C6A" w:rsidRPr="00B95907" w:rsidRDefault="009A063B" w:rsidP="0010187C">
            <w:pPr>
              <w:pStyle w:val="DPCtabletext"/>
              <w:numPr>
                <w:ilvl w:val="0"/>
                <w:numId w:val="18"/>
              </w:numPr>
              <w:divId w:val="1704743311"/>
              <w:rPr>
                <w:color w:val="auto"/>
                <w:szCs w:val="36"/>
              </w:rPr>
            </w:pPr>
            <w:r w:rsidRPr="00B95907">
              <w:t>t</w:t>
            </w:r>
            <w:r w:rsidR="008B6C6A" w:rsidRPr="00B95907">
              <w:t xml:space="preserve">he different types of data exchange </w:t>
            </w:r>
            <w:r w:rsidR="00961710" w:rsidRPr="00B95907">
              <w:t>methods</w:t>
            </w:r>
            <w:r w:rsidR="008B6C6A" w:rsidRPr="00B95907">
              <w:t xml:space="preserve"> e.g. system-to-system, </w:t>
            </w:r>
            <w:r w:rsidR="0010187C" w:rsidRPr="00B95907">
              <w:t>SFTP</w:t>
            </w:r>
            <w:r w:rsidR="008B6C6A" w:rsidRPr="00B95907">
              <w:t>, bulk upload versus</w:t>
            </w:r>
            <w:r w:rsidR="0010187C" w:rsidRPr="00B95907">
              <w:t xml:space="preserve"> single instances,</w:t>
            </w:r>
            <w:r w:rsidR="008B6C6A" w:rsidRPr="00B95907">
              <w:t xml:space="preserve"> real time</w:t>
            </w:r>
            <w:r w:rsidR="00F810D8" w:rsidRPr="00B95907">
              <w:t xml:space="preserve"> versus near real time</w:t>
            </w:r>
            <w:r w:rsidR="008B6C6A" w:rsidRPr="00B95907">
              <w:t xml:space="preserve">, large transactions, </w:t>
            </w:r>
            <w:r w:rsidR="0010187C" w:rsidRPr="00B95907">
              <w:t xml:space="preserve">bulk uploads, </w:t>
            </w:r>
            <w:r w:rsidR="00851318" w:rsidRPr="00B95907">
              <w:t>and one</w:t>
            </w:r>
            <w:r w:rsidR="008B6C6A" w:rsidRPr="00B95907">
              <w:t>-off or scheduled etc.</w:t>
            </w:r>
          </w:p>
          <w:p w14:paraId="1DD95EE5" w14:textId="77777777" w:rsidR="008B6C6A" w:rsidRPr="00B95907" w:rsidRDefault="009A063B" w:rsidP="0007318B">
            <w:pPr>
              <w:pStyle w:val="DPCtabletext"/>
              <w:numPr>
                <w:ilvl w:val="0"/>
                <w:numId w:val="18"/>
              </w:numPr>
              <w:divId w:val="825632018"/>
              <w:rPr>
                <w:color w:val="auto"/>
                <w:szCs w:val="36"/>
              </w:rPr>
            </w:pPr>
            <w:r w:rsidRPr="00B95907">
              <w:t>h</w:t>
            </w:r>
            <w:r w:rsidR="008B6C6A" w:rsidRPr="00B95907">
              <w:t>ow to overcome the barriers to data exchange</w:t>
            </w:r>
          </w:p>
          <w:p w14:paraId="371A38C1" w14:textId="77777777" w:rsidR="00851318" w:rsidRPr="00B95907" w:rsidRDefault="009A063B" w:rsidP="0007318B">
            <w:pPr>
              <w:pStyle w:val="DPCtabletext"/>
              <w:numPr>
                <w:ilvl w:val="0"/>
                <w:numId w:val="18"/>
              </w:numPr>
              <w:divId w:val="1100028136"/>
              <w:rPr>
                <w:color w:val="auto"/>
                <w:szCs w:val="36"/>
              </w:rPr>
            </w:pPr>
            <w:r w:rsidRPr="00B95907">
              <w:t>t</w:t>
            </w:r>
            <w:r w:rsidR="00C0713A" w:rsidRPr="00B95907">
              <w:t xml:space="preserve">he use of process </w:t>
            </w:r>
            <w:r w:rsidR="00851318" w:rsidRPr="00B95907">
              <w:t>flow diagram</w:t>
            </w:r>
            <w:r w:rsidR="00F810D8" w:rsidRPr="00B95907">
              <w:t>s</w:t>
            </w:r>
            <w:r w:rsidR="00851318" w:rsidRPr="00B95907">
              <w:t>, data architecture, modelling and mapping to support data exchange</w:t>
            </w:r>
          </w:p>
          <w:p w14:paraId="04001B7C" w14:textId="77777777" w:rsidR="00C14AD0" w:rsidRPr="00B95907" w:rsidRDefault="009A063B" w:rsidP="00433961">
            <w:pPr>
              <w:pStyle w:val="DPCtabletext"/>
              <w:numPr>
                <w:ilvl w:val="0"/>
                <w:numId w:val="18"/>
              </w:numPr>
              <w:divId w:val="1100028136"/>
              <w:rPr>
                <w:color w:val="auto"/>
                <w:szCs w:val="36"/>
              </w:rPr>
            </w:pPr>
            <w:r w:rsidRPr="00B95907">
              <w:rPr>
                <w:color w:val="auto"/>
                <w:szCs w:val="36"/>
              </w:rPr>
              <w:t>m</w:t>
            </w:r>
            <w:r w:rsidR="00C14AD0" w:rsidRPr="00B95907">
              <w:rPr>
                <w:color w:val="auto"/>
                <w:szCs w:val="36"/>
              </w:rPr>
              <w:t xml:space="preserve">apping interdependencies so there is an understanding of associated complexities </w:t>
            </w:r>
          </w:p>
          <w:p w14:paraId="132B0F95" w14:textId="77777777" w:rsidR="008B6C6A" w:rsidRPr="00B95907" w:rsidRDefault="009A063B" w:rsidP="0007318B">
            <w:pPr>
              <w:pStyle w:val="DPCtabletext"/>
              <w:numPr>
                <w:ilvl w:val="0"/>
                <w:numId w:val="18"/>
              </w:numPr>
              <w:divId w:val="1100028136"/>
              <w:rPr>
                <w:color w:val="auto"/>
                <w:szCs w:val="36"/>
              </w:rPr>
            </w:pPr>
            <w:r w:rsidRPr="00B95907">
              <w:t>d</w:t>
            </w:r>
            <w:r w:rsidR="008B6C6A" w:rsidRPr="00B95907">
              <w:t xml:space="preserve">ata quality in the context of data exchange and links to the </w:t>
            </w:r>
            <w:r w:rsidR="008B6C6A" w:rsidRPr="00B95907">
              <w:rPr>
                <w:i/>
              </w:rPr>
              <w:t>Data Quality Standard</w:t>
            </w:r>
            <w:r w:rsidR="008B6C6A" w:rsidRPr="00B95907">
              <w:t xml:space="preserve"> and associated toolset</w:t>
            </w:r>
          </w:p>
          <w:p w14:paraId="76018F0F" w14:textId="77777777" w:rsidR="008B6C6A" w:rsidRPr="00B95907" w:rsidRDefault="009A063B" w:rsidP="00C0713A">
            <w:pPr>
              <w:pStyle w:val="DPCtabletext"/>
              <w:numPr>
                <w:ilvl w:val="0"/>
                <w:numId w:val="18"/>
              </w:numPr>
              <w:divId w:val="13188567"/>
              <w:rPr>
                <w:color w:val="auto"/>
                <w:szCs w:val="36"/>
              </w:rPr>
            </w:pPr>
            <w:r w:rsidRPr="00B95907">
              <w:t>c</w:t>
            </w:r>
            <w:r w:rsidR="008B6C6A" w:rsidRPr="00B95907">
              <w:t>ommon and recurring schemas, patterns and methods for exchanging da</w:t>
            </w:r>
            <w:r w:rsidR="009B270D" w:rsidRPr="00B95907">
              <w:t>ta including industry standards</w:t>
            </w:r>
          </w:p>
          <w:p w14:paraId="34DA1AAD" w14:textId="77777777" w:rsidR="008B6C6A" w:rsidRPr="00B95907" w:rsidRDefault="009A063B" w:rsidP="00C0713A">
            <w:pPr>
              <w:pStyle w:val="DPCtabletext"/>
              <w:numPr>
                <w:ilvl w:val="0"/>
                <w:numId w:val="18"/>
              </w:numPr>
              <w:divId w:val="964821174"/>
              <w:rPr>
                <w:szCs w:val="36"/>
              </w:rPr>
            </w:pPr>
            <w:r w:rsidRPr="00B95907">
              <w:t>t</w:t>
            </w:r>
            <w:r w:rsidR="008B6C6A" w:rsidRPr="00B95907">
              <w:t xml:space="preserve">echnology </w:t>
            </w:r>
            <w:r w:rsidR="00B01CC5" w:rsidRPr="00B95907">
              <w:t>and data storage considerations</w:t>
            </w:r>
          </w:p>
          <w:p w14:paraId="2E3E2BCD" w14:textId="77777777" w:rsidR="00662F0A" w:rsidRPr="00B95907" w:rsidRDefault="009A063B" w:rsidP="00662F0A">
            <w:pPr>
              <w:pStyle w:val="DPCtabletext"/>
              <w:numPr>
                <w:ilvl w:val="0"/>
                <w:numId w:val="18"/>
              </w:numPr>
              <w:divId w:val="964821174"/>
              <w:rPr>
                <w:szCs w:val="36"/>
              </w:rPr>
            </w:pPr>
            <w:r w:rsidRPr="00B95907">
              <w:t>u</w:t>
            </w:r>
            <w:r w:rsidR="00662F0A" w:rsidRPr="00B95907">
              <w:t>sage considerations including data linkages, integration and transformation</w:t>
            </w:r>
          </w:p>
          <w:p w14:paraId="22231FDB" w14:textId="77777777" w:rsidR="0007318B" w:rsidRPr="00B95907" w:rsidRDefault="009A063B" w:rsidP="005356CC">
            <w:pPr>
              <w:pStyle w:val="DPCtabletext"/>
              <w:numPr>
                <w:ilvl w:val="0"/>
                <w:numId w:val="18"/>
              </w:numPr>
              <w:divId w:val="964821174"/>
              <w:rPr>
                <w:szCs w:val="36"/>
              </w:rPr>
            </w:pPr>
            <w:r w:rsidRPr="00B95907">
              <w:t>c</w:t>
            </w:r>
            <w:r w:rsidR="00B01CC5" w:rsidRPr="00B95907">
              <w:t>ontracts and service level</w:t>
            </w:r>
            <w:r w:rsidR="009B270D" w:rsidRPr="00B95907">
              <w:t xml:space="preserve"> agreement (SLA) considerations</w:t>
            </w:r>
          </w:p>
        </w:tc>
      </w:tr>
      <w:tr w:rsidR="008B6C6A" w:rsidRPr="00B95907" w14:paraId="09441E2D" w14:textId="77777777" w:rsidTr="001C4AD3">
        <w:tc>
          <w:tcPr>
            <w:tcW w:w="2268" w:type="dxa"/>
          </w:tcPr>
          <w:p w14:paraId="1B77F42A" w14:textId="77777777" w:rsidR="008B6C6A" w:rsidRPr="00B95907" w:rsidRDefault="008B6C6A" w:rsidP="00E90A64">
            <w:pPr>
              <w:pStyle w:val="DPCtabletext"/>
              <w:rPr>
                <w:sz w:val="36"/>
                <w:szCs w:val="36"/>
              </w:rPr>
            </w:pPr>
            <w:r w:rsidRPr="00B95907">
              <w:t>Test a data exchange (guideline)</w:t>
            </w:r>
          </w:p>
        </w:tc>
        <w:tc>
          <w:tcPr>
            <w:tcW w:w="7797" w:type="dxa"/>
          </w:tcPr>
          <w:p w14:paraId="63DEB2EB" w14:textId="77777777" w:rsidR="008B6C6A" w:rsidRPr="00B95907" w:rsidRDefault="008B6C6A" w:rsidP="00E90A64">
            <w:pPr>
              <w:pStyle w:val="DPCtabletext"/>
              <w:divId w:val="296762485"/>
              <w:rPr>
                <w:color w:val="auto"/>
                <w:szCs w:val="36"/>
              </w:rPr>
            </w:pPr>
            <w:r w:rsidRPr="00B95907">
              <w:t>Guidance on how to carry out end-to</w:t>
            </w:r>
            <w:r w:rsidR="00C0713A" w:rsidRPr="00B95907">
              <w:t>-end testing of a data exchange including:</w:t>
            </w:r>
            <w:r w:rsidRPr="00B95907">
              <w:t xml:space="preserve">  </w:t>
            </w:r>
          </w:p>
          <w:p w14:paraId="7182BC08" w14:textId="77777777" w:rsidR="008B6C6A" w:rsidRPr="00B95907" w:rsidRDefault="009A063B" w:rsidP="0007318B">
            <w:pPr>
              <w:pStyle w:val="DPCtabletext"/>
              <w:numPr>
                <w:ilvl w:val="0"/>
                <w:numId w:val="19"/>
              </w:numPr>
              <w:ind w:left="382"/>
              <w:divId w:val="1595479398"/>
            </w:pPr>
            <w:r w:rsidRPr="00B95907">
              <w:t>t</w:t>
            </w:r>
            <w:r w:rsidR="008B6C6A" w:rsidRPr="00B95907">
              <w:t xml:space="preserve">ypes </w:t>
            </w:r>
            <w:r w:rsidR="009B270D" w:rsidRPr="00B95907">
              <w:t>of testing and when to use them</w:t>
            </w:r>
          </w:p>
          <w:p w14:paraId="3F7476DE" w14:textId="77777777" w:rsidR="008B6C6A" w:rsidRPr="00B95907" w:rsidRDefault="009A063B" w:rsidP="0007318B">
            <w:pPr>
              <w:pStyle w:val="DPCtabletext"/>
              <w:numPr>
                <w:ilvl w:val="0"/>
                <w:numId w:val="19"/>
              </w:numPr>
              <w:ind w:left="382"/>
              <w:divId w:val="1443770563"/>
            </w:pPr>
            <w:r w:rsidRPr="00B95907">
              <w:t>c</w:t>
            </w:r>
            <w:r w:rsidR="008B6C6A" w:rsidRPr="00B95907">
              <w:t>ommon problems identifi</w:t>
            </w:r>
            <w:r w:rsidR="009B270D" w:rsidRPr="00B95907">
              <w:t>ed during data exchange testing</w:t>
            </w:r>
          </w:p>
          <w:p w14:paraId="7200F524" w14:textId="77777777" w:rsidR="008B6C6A" w:rsidRPr="00B95907" w:rsidRDefault="009A063B" w:rsidP="0007318B">
            <w:pPr>
              <w:pStyle w:val="DPCtabletext"/>
              <w:numPr>
                <w:ilvl w:val="0"/>
                <w:numId w:val="19"/>
              </w:numPr>
              <w:ind w:left="382"/>
              <w:divId w:val="103112775"/>
            </w:pPr>
            <w:r w:rsidRPr="00B95907">
              <w:t>i</w:t>
            </w:r>
            <w:r w:rsidR="008B6C6A" w:rsidRPr="00B95907">
              <w:t>dentifying, documenting and</w:t>
            </w:r>
            <w:r w:rsidR="009B270D" w:rsidRPr="00B95907">
              <w:t xml:space="preserve"> managing issues during testing</w:t>
            </w:r>
          </w:p>
          <w:p w14:paraId="29C965C2" w14:textId="77777777" w:rsidR="009B270D" w:rsidRPr="00B95907" w:rsidRDefault="009A063B" w:rsidP="0007318B">
            <w:pPr>
              <w:pStyle w:val="DPCtabletext"/>
              <w:numPr>
                <w:ilvl w:val="0"/>
                <w:numId w:val="19"/>
              </w:numPr>
              <w:ind w:left="382"/>
              <w:divId w:val="613488295"/>
            </w:pPr>
            <w:r w:rsidRPr="00B95907">
              <w:t>d</w:t>
            </w:r>
            <w:r w:rsidR="008B6C6A" w:rsidRPr="00B95907">
              <w:t xml:space="preserve">ata exchange validation and </w:t>
            </w:r>
            <w:r w:rsidR="00F810D8" w:rsidRPr="00B95907">
              <w:t xml:space="preserve">assessing </w:t>
            </w:r>
            <w:r w:rsidR="008B6C6A" w:rsidRPr="00B95907">
              <w:t>the quality of the data received</w:t>
            </w:r>
          </w:p>
          <w:p w14:paraId="2E518ABC" w14:textId="77777777" w:rsidR="0007318B" w:rsidRPr="00B95907" w:rsidRDefault="009A063B" w:rsidP="005356CC">
            <w:pPr>
              <w:pStyle w:val="DPCtabletext"/>
              <w:numPr>
                <w:ilvl w:val="0"/>
                <w:numId w:val="19"/>
              </w:numPr>
              <w:ind w:left="382"/>
              <w:divId w:val="613488295"/>
              <w:rPr>
                <w:szCs w:val="36"/>
              </w:rPr>
            </w:pPr>
            <w:r w:rsidRPr="00B95907">
              <w:t>d</w:t>
            </w:r>
            <w:r w:rsidR="009B270D" w:rsidRPr="00B95907">
              <w:t>ata handling and disposal during and after testing i.e. data security and preventing privacy breaches</w:t>
            </w:r>
          </w:p>
        </w:tc>
      </w:tr>
      <w:tr w:rsidR="008B6C6A" w:rsidRPr="00B95907" w14:paraId="4610B151" w14:textId="77777777" w:rsidTr="001C4AD3">
        <w:tc>
          <w:tcPr>
            <w:tcW w:w="2268" w:type="dxa"/>
          </w:tcPr>
          <w:p w14:paraId="15464997" w14:textId="77777777" w:rsidR="008B6C6A" w:rsidRPr="00B95907" w:rsidRDefault="008B6C6A" w:rsidP="00AA469F">
            <w:pPr>
              <w:pStyle w:val="DPCtabletext"/>
              <w:rPr>
                <w:sz w:val="36"/>
                <w:szCs w:val="36"/>
              </w:rPr>
            </w:pPr>
            <w:r w:rsidRPr="00B95907">
              <w:t xml:space="preserve">Transition to </w:t>
            </w:r>
            <w:r w:rsidR="009A063B" w:rsidRPr="00B95907">
              <w:t xml:space="preserve">BAU </w:t>
            </w:r>
            <w:r w:rsidRPr="00B95907">
              <w:t>(guideline)</w:t>
            </w:r>
          </w:p>
        </w:tc>
        <w:tc>
          <w:tcPr>
            <w:tcW w:w="7797" w:type="dxa"/>
          </w:tcPr>
          <w:p w14:paraId="4481E3E5" w14:textId="77777777" w:rsidR="0007318B" w:rsidRPr="00B95907" w:rsidRDefault="008B6C6A" w:rsidP="00C0713A">
            <w:pPr>
              <w:pStyle w:val="DPCtabletext"/>
              <w:divId w:val="2112964840"/>
              <w:rPr>
                <w:szCs w:val="36"/>
              </w:rPr>
            </w:pPr>
            <w:r w:rsidRPr="00B95907">
              <w:t xml:space="preserve">Minimum steps for handing over the data exchange arrangement to a </w:t>
            </w:r>
            <w:r w:rsidR="009A063B" w:rsidRPr="00B95907">
              <w:t xml:space="preserve">BAU </w:t>
            </w:r>
            <w:r w:rsidRPr="00B95907">
              <w:t xml:space="preserve">function including exception handling, contract </w:t>
            </w:r>
            <w:r w:rsidR="00C0713A" w:rsidRPr="00B95907">
              <w:t xml:space="preserve">and </w:t>
            </w:r>
            <w:r w:rsidRPr="00B95907">
              <w:t xml:space="preserve">SLA management, security, roles and </w:t>
            </w:r>
            <w:r w:rsidR="00065839" w:rsidRPr="00B95907">
              <w:t>responsibilities, asset</w:t>
            </w:r>
            <w:r w:rsidRPr="00B95907">
              <w:t xml:space="preserve"> management planning</w:t>
            </w:r>
            <w:r w:rsidR="009E36FB" w:rsidRPr="00B95907">
              <w:t xml:space="preserve"> and maintaining data integrity, and o</w:t>
            </w:r>
            <w:r w:rsidR="00662F0A" w:rsidRPr="00B95907">
              <w:t>ngoing monitoring and reporting, re-using exchanges, versioning and retiring.</w:t>
            </w:r>
          </w:p>
        </w:tc>
      </w:tr>
    </w:tbl>
    <w:p w14:paraId="096F4433" w14:textId="77777777" w:rsidR="00B34C9B" w:rsidRPr="00B95907" w:rsidRDefault="00065839" w:rsidP="00B34C9B">
      <w:pPr>
        <w:pStyle w:val="Heading1"/>
      </w:pPr>
      <w:r w:rsidRPr="00B95907">
        <w:lastRenderedPageBreak/>
        <w:t>S</w:t>
      </w:r>
      <w:r w:rsidR="00B34C9B" w:rsidRPr="00B95907">
        <w:t>cope</w:t>
      </w:r>
      <w:r w:rsidRPr="00B95907">
        <w:t xml:space="preserve">, </w:t>
      </w:r>
      <w:r w:rsidR="00B34C9B" w:rsidRPr="00B95907">
        <w:t>glossary</w:t>
      </w:r>
      <w:r w:rsidRPr="00B95907">
        <w:t xml:space="preserve"> and related documents</w:t>
      </w:r>
    </w:p>
    <w:p w14:paraId="0C980EDB" w14:textId="77777777" w:rsidR="00B34C9B" w:rsidRPr="00B95907" w:rsidRDefault="00B34C9B" w:rsidP="00151524">
      <w:pPr>
        <w:pStyle w:val="Heading3"/>
      </w:pPr>
      <w:r w:rsidRPr="00B95907">
        <w:t>Scope</w:t>
      </w:r>
    </w:p>
    <w:p w14:paraId="407E8F1F" w14:textId="77777777" w:rsidR="00B34C9B" w:rsidRPr="00B95907" w:rsidRDefault="00B34C9B" w:rsidP="00B34C9B">
      <w:pPr>
        <w:pStyle w:val="DPCbody"/>
      </w:pPr>
      <w:r w:rsidRPr="00B95907">
        <w:t>The following departments and agencies are formally in scope:</w:t>
      </w:r>
    </w:p>
    <w:p w14:paraId="52456E81" w14:textId="77777777" w:rsidR="00B34C9B" w:rsidRPr="00B95907" w:rsidRDefault="00B34C9B" w:rsidP="00E222B0">
      <w:pPr>
        <w:pStyle w:val="DPCbody"/>
        <w:numPr>
          <w:ilvl w:val="0"/>
          <w:numId w:val="8"/>
        </w:numPr>
      </w:pPr>
      <w:r w:rsidRPr="00B95907">
        <w:t>Department of Economic Development, Jobs, Transport and Resources</w:t>
      </w:r>
    </w:p>
    <w:p w14:paraId="4CAD2753" w14:textId="77777777" w:rsidR="00B34C9B" w:rsidRPr="00B95907" w:rsidRDefault="00B34C9B" w:rsidP="00E222B0">
      <w:pPr>
        <w:pStyle w:val="DPCbody"/>
        <w:numPr>
          <w:ilvl w:val="0"/>
          <w:numId w:val="8"/>
        </w:numPr>
      </w:pPr>
      <w:r w:rsidRPr="00B95907">
        <w:t>Department of Education and Training</w:t>
      </w:r>
    </w:p>
    <w:p w14:paraId="29CA7A8A" w14:textId="77777777" w:rsidR="00B34C9B" w:rsidRPr="00B95907" w:rsidRDefault="00B34C9B" w:rsidP="00E222B0">
      <w:pPr>
        <w:pStyle w:val="DPCbody"/>
        <w:numPr>
          <w:ilvl w:val="0"/>
          <w:numId w:val="8"/>
        </w:numPr>
      </w:pPr>
      <w:r w:rsidRPr="00B95907">
        <w:t>Department of Environment, Land, Water and Planning</w:t>
      </w:r>
    </w:p>
    <w:p w14:paraId="57CBBC60" w14:textId="77777777" w:rsidR="00B34C9B" w:rsidRPr="00B95907" w:rsidRDefault="00B34C9B" w:rsidP="00E222B0">
      <w:pPr>
        <w:pStyle w:val="DPCbody"/>
        <w:numPr>
          <w:ilvl w:val="0"/>
          <w:numId w:val="8"/>
        </w:numPr>
      </w:pPr>
      <w:r w:rsidRPr="00B95907">
        <w:t>Department of Health and Human Services</w:t>
      </w:r>
    </w:p>
    <w:p w14:paraId="3E068A37" w14:textId="77777777" w:rsidR="00B34C9B" w:rsidRPr="00B95907" w:rsidRDefault="00B34C9B" w:rsidP="00E222B0">
      <w:pPr>
        <w:pStyle w:val="DPCbody"/>
        <w:numPr>
          <w:ilvl w:val="0"/>
          <w:numId w:val="8"/>
        </w:numPr>
      </w:pPr>
      <w:r w:rsidRPr="00B95907">
        <w:t>Department of Justice and Regulation</w:t>
      </w:r>
    </w:p>
    <w:p w14:paraId="1BF12391" w14:textId="77777777" w:rsidR="00B34C9B" w:rsidRPr="00B95907" w:rsidRDefault="00B34C9B" w:rsidP="00E222B0">
      <w:pPr>
        <w:pStyle w:val="DPCbody"/>
        <w:numPr>
          <w:ilvl w:val="0"/>
          <w:numId w:val="8"/>
        </w:numPr>
      </w:pPr>
      <w:r w:rsidRPr="00B95907">
        <w:t>Department of Premier and Cabinet</w:t>
      </w:r>
    </w:p>
    <w:p w14:paraId="0CEE4560" w14:textId="77777777" w:rsidR="00B34C9B" w:rsidRPr="00B95907" w:rsidRDefault="00B34C9B" w:rsidP="00E222B0">
      <w:pPr>
        <w:pStyle w:val="DPCbody"/>
        <w:numPr>
          <w:ilvl w:val="0"/>
          <w:numId w:val="8"/>
        </w:numPr>
      </w:pPr>
      <w:r w:rsidRPr="00B95907">
        <w:t>Department of Treasury and Finance</w:t>
      </w:r>
    </w:p>
    <w:p w14:paraId="2BE8233B" w14:textId="77777777" w:rsidR="00B34C9B" w:rsidRPr="00B95907" w:rsidRDefault="00B34C9B" w:rsidP="00E222B0">
      <w:pPr>
        <w:pStyle w:val="DPCbody"/>
        <w:numPr>
          <w:ilvl w:val="0"/>
          <w:numId w:val="8"/>
        </w:numPr>
      </w:pPr>
      <w:r w:rsidRPr="00B95907">
        <w:t>Victoria Police</w:t>
      </w:r>
    </w:p>
    <w:p w14:paraId="039C607C" w14:textId="77777777" w:rsidR="00B34C9B" w:rsidRPr="00B95907" w:rsidRDefault="00B34C9B" w:rsidP="00B34C9B">
      <w:pPr>
        <w:pStyle w:val="DPCbody"/>
      </w:pPr>
      <w:r w:rsidRPr="00B95907">
        <w:t>These are referred to collectively as ‘departments’ in this document.</w:t>
      </w:r>
    </w:p>
    <w:p w14:paraId="212E248E" w14:textId="77777777" w:rsidR="00F37CE6" w:rsidRPr="00B95907" w:rsidRDefault="00F37CE6" w:rsidP="00F37CE6">
      <w:pPr>
        <w:pStyle w:val="DPCbody"/>
      </w:pPr>
      <w:r w:rsidRPr="00B95907">
        <w:t>While not required, the framework may be adopted by agencies and partner organisations, if desired.</w:t>
      </w:r>
    </w:p>
    <w:p w14:paraId="023D1536" w14:textId="77777777" w:rsidR="00FA4625" w:rsidRPr="00B95907" w:rsidRDefault="00FA4625" w:rsidP="00151524">
      <w:pPr>
        <w:pStyle w:val="Heading3"/>
      </w:pPr>
      <w:r w:rsidRPr="00B95907">
        <w:t>Glossary</w:t>
      </w:r>
    </w:p>
    <w:p w14:paraId="7C635FE0" w14:textId="250CE7D9" w:rsidR="00463857" w:rsidRPr="00B95907" w:rsidRDefault="00463857" w:rsidP="00463857">
      <w:pPr>
        <w:pStyle w:val="DPCbody"/>
      </w:pPr>
      <w:r w:rsidRPr="00B95907">
        <w:t xml:space="preserve">The glossary of terms and abbreviations used in this document are defined in the </w:t>
      </w:r>
      <w:hyperlink r:id="rId24" w:anchor="information-management-glossary" w:history="1">
        <w:r w:rsidRPr="00F010A2">
          <w:rPr>
            <w:rStyle w:val="Hyperlink"/>
          </w:rPr>
          <w:t>Information Management Glossary</w:t>
        </w:r>
      </w:hyperlink>
      <w:r w:rsidR="00F010A2">
        <w:t>.</w:t>
      </w:r>
    </w:p>
    <w:p w14:paraId="0B621B7A" w14:textId="77777777" w:rsidR="00FA4625" w:rsidRPr="00B95907" w:rsidRDefault="00FA4625" w:rsidP="00065839">
      <w:pPr>
        <w:pStyle w:val="Heading3"/>
      </w:pPr>
      <w:r w:rsidRPr="00B95907">
        <w:t>Related documents, tools and references</w:t>
      </w:r>
    </w:p>
    <w:p w14:paraId="4DC4CE8B" w14:textId="577C64CA" w:rsidR="00AE7E2B" w:rsidRPr="00B95907" w:rsidRDefault="00273627" w:rsidP="00AE7E2B">
      <w:pPr>
        <w:pStyle w:val="DPCbody"/>
        <w:numPr>
          <w:ilvl w:val="0"/>
          <w:numId w:val="7"/>
        </w:numPr>
        <w:rPr>
          <w:rStyle w:val="Hyperlink"/>
          <w:i/>
          <w:color w:val="000000" w:themeColor="text1"/>
          <w:u w:val="none"/>
        </w:rPr>
      </w:pPr>
      <w:hyperlink r:id="rId25" w:history="1">
        <w:r w:rsidR="00AE7E2B" w:rsidRPr="00B95907">
          <w:rPr>
            <w:rStyle w:val="Hyperlink"/>
            <w:i/>
          </w:rPr>
          <w:t>Victorian Government IT Strategy 2016-2020</w:t>
        </w:r>
      </w:hyperlink>
      <w:r w:rsidR="00AE7E2B" w:rsidRPr="00B95907">
        <w:t xml:space="preserve"> (Department of Premier and Cabinet</w:t>
      </w:r>
      <w:r w:rsidR="00065839" w:rsidRPr="00B95907">
        <w:t xml:space="preserve"> (DPC)</w:t>
      </w:r>
      <w:r w:rsidR="00AE7E2B" w:rsidRPr="00B95907">
        <w:t>)</w:t>
      </w:r>
    </w:p>
    <w:p w14:paraId="12347F51" w14:textId="457E76F1" w:rsidR="00AE7E2B" w:rsidRPr="00B95907" w:rsidRDefault="00273627" w:rsidP="00AE7E2B">
      <w:pPr>
        <w:pStyle w:val="DPCbody"/>
        <w:numPr>
          <w:ilvl w:val="0"/>
          <w:numId w:val="7"/>
        </w:numPr>
        <w:rPr>
          <w:i/>
        </w:rPr>
      </w:pPr>
      <w:hyperlink r:id="rId26" w:anchor="information-management-framework" w:history="1">
        <w:proofErr w:type="spellStart"/>
        <w:r w:rsidR="00AE7E2B" w:rsidRPr="00B95907">
          <w:rPr>
            <w:rStyle w:val="Hyperlink"/>
            <w:i/>
          </w:rPr>
          <w:t>WoVG</w:t>
        </w:r>
        <w:proofErr w:type="spellEnd"/>
        <w:r w:rsidR="00AE7E2B" w:rsidRPr="00B95907">
          <w:rPr>
            <w:rStyle w:val="Hyperlink"/>
            <w:i/>
          </w:rPr>
          <w:t xml:space="preserve"> Information Management Framework</w:t>
        </w:r>
      </w:hyperlink>
      <w:r w:rsidR="00AE7E2B" w:rsidRPr="00B95907">
        <w:t xml:space="preserve"> (DPC)</w:t>
      </w:r>
    </w:p>
    <w:p w14:paraId="03051195" w14:textId="77777777" w:rsidR="00AE7E2B" w:rsidRPr="00B95907" w:rsidRDefault="00AE7E2B" w:rsidP="00AE7E2B">
      <w:pPr>
        <w:pStyle w:val="DPCbody"/>
        <w:numPr>
          <w:ilvl w:val="0"/>
          <w:numId w:val="7"/>
        </w:numPr>
        <w:rPr>
          <w:i/>
        </w:rPr>
      </w:pPr>
      <w:r w:rsidRPr="00B95907">
        <w:t>Data Reform Strategy (DPC)</w:t>
      </w:r>
    </w:p>
    <w:p w14:paraId="74803BB8" w14:textId="56943A1C" w:rsidR="00961710" w:rsidRPr="00B95907" w:rsidRDefault="00273627" w:rsidP="00E222B0">
      <w:pPr>
        <w:pStyle w:val="DPCbody"/>
        <w:numPr>
          <w:ilvl w:val="0"/>
          <w:numId w:val="7"/>
        </w:numPr>
        <w:rPr>
          <w:i/>
        </w:rPr>
      </w:pPr>
      <w:hyperlink r:id="rId27" w:history="1">
        <w:r w:rsidR="00961710" w:rsidRPr="00B95907">
          <w:rPr>
            <w:rStyle w:val="Hyperlink"/>
            <w:i/>
          </w:rPr>
          <w:t>Guidelines for Sha</w:t>
        </w:r>
        <w:r w:rsidR="00961710" w:rsidRPr="00B95907">
          <w:rPr>
            <w:rStyle w:val="Hyperlink"/>
            <w:i/>
          </w:rPr>
          <w:t>r</w:t>
        </w:r>
        <w:r w:rsidR="00961710" w:rsidRPr="00B95907">
          <w:rPr>
            <w:rStyle w:val="Hyperlink"/>
            <w:i/>
          </w:rPr>
          <w:t>ing Personal Information</w:t>
        </w:r>
      </w:hyperlink>
      <w:r w:rsidR="00961710" w:rsidRPr="00B95907">
        <w:t xml:space="preserve"> (OVIC)</w:t>
      </w:r>
    </w:p>
    <w:p w14:paraId="768003B2" w14:textId="31058C95" w:rsidR="00961710" w:rsidRPr="00B95907" w:rsidRDefault="00273627" w:rsidP="00E222B0">
      <w:pPr>
        <w:pStyle w:val="DPCbody"/>
        <w:numPr>
          <w:ilvl w:val="0"/>
          <w:numId w:val="7"/>
        </w:numPr>
        <w:rPr>
          <w:rStyle w:val="Hyperlink"/>
          <w:i/>
          <w:color w:val="000000" w:themeColor="text1"/>
          <w:u w:val="none"/>
        </w:rPr>
      </w:pPr>
      <w:hyperlink r:id="rId28" w:history="1">
        <w:r w:rsidR="00961710" w:rsidRPr="00B95907">
          <w:rPr>
            <w:rStyle w:val="Hyperlink"/>
            <w:i/>
          </w:rPr>
          <w:t>Victorian Protective Data Security Framework</w:t>
        </w:r>
      </w:hyperlink>
      <w:bookmarkStart w:id="6" w:name="_GoBack"/>
      <w:bookmarkEnd w:id="6"/>
      <w:r w:rsidR="00961710" w:rsidRPr="00B95907">
        <w:t xml:space="preserve"> (OVIC)</w:t>
      </w:r>
    </w:p>
    <w:p w14:paraId="281AAC31" w14:textId="77777777" w:rsidR="00FA4625" w:rsidRPr="00B95907" w:rsidRDefault="00FA4625" w:rsidP="00FA4625">
      <w:pPr>
        <w:pStyle w:val="Heading1"/>
      </w:pPr>
      <w:r w:rsidRPr="00B95907">
        <w:t>Further information</w:t>
      </w:r>
    </w:p>
    <w:p w14:paraId="224C9644" w14:textId="77777777" w:rsidR="009849EE" w:rsidRDefault="009849EE" w:rsidP="009849EE">
      <w:pPr>
        <w:pStyle w:val="DPCbody"/>
      </w:pPr>
      <w:bookmarkStart w:id="7" w:name="_Toc470101813"/>
      <w:r>
        <w:t xml:space="preserve">For further information regarding this standard, please contact Digital Strategy and Transformation, Department of Premier and Cabinet, at: </w:t>
      </w:r>
      <w:hyperlink r:id="rId29" w:history="1">
        <w:r w:rsidRPr="00E026D5">
          <w:rPr>
            <w:rStyle w:val="Hyperlink"/>
          </w:rPr>
          <w:t>digital.transformation@dpc.vic.gov.au</w:t>
        </w:r>
      </w:hyperlink>
      <w:r>
        <w:t>.</w:t>
      </w:r>
    </w:p>
    <w:p w14:paraId="6F2D6699" w14:textId="77777777" w:rsidR="00505004" w:rsidRPr="00B95907" w:rsidRDefault="00505004">
      <w:pPr>
        <w:rPr>
          <w:rFonts w:asciiTheme="majorHAnsi" w:eastAsia="MS Gothic" w:hAnsiTheme="majorHAnsi" w:cs="Arial"/>
          <w:bCs/>
          <w:color w:val="0072CE"/>
          <w:kern w:val="32"/>
          <w:sz w:val="44"/>
          <w:szCs w:val="52"/>
        </w:rPr>
      </w:pPr>
      <w:r w:rsidRPr="00B95907">
        <w:br w:type="page"/>
      </w:r>
    </w:p>
    <w:p w14:paraId="3BC5E8C1" w14:textId="77777777" w:rsidR="00374F56" w:rsidRPr="00B95907" w:rsidRDefault="00FA4625" w:rsidP="00374F56">
      <w:pPr>
        <w:pStyle w:val="Heading1"/>
      </w:pPr>
      <w:r w:rsidRPr="00B95907">
        <w:lastRenderedPageBreak/>
        <w:t>Document control</w:t>
      </w:r>
      <w:bookmarkEnd w:id="7"/>
    </w:p>
    <w:tbl>
      <w:tblPr>
        <w:tblStyle w:val="TableGrid"/>
        <w:tblpPr w:leftFromText="180" w:rightFromText="180" w:vertAnchor="text" w:horzAnchor="margin" w:tblpY="73"/>
        <w:tblW w:w="9747" w:type="dxa"/>
        <w:tblInd w:w="0" w:type="dxa"/>
        <w:tblLook w:val="0480" w:firstRow="0" w:lastRow="0" w:firstColumn="1" w:lastColumn="0" w:noHBand="0" w:noVBand="1"/>
      </w:tblPr>
      <w:tblGrid>
        <w:gridCol w:w="1809"/>
        <w:gridCol w:w="2599"/>
        <w:gridCol w:w="1937"/>
        <w:gridCol w:w="3402"/>
      </w:tblGrid>
      <w:tr w:rsidR="00374F56" w:rsidRPr="00B95907" w14:paraId="03F88A8E" w14:textId="77777777" w:rsidTr="00A24C0E">
        <w:tc>
          <w:tcPr>
            <w:tcW w:w="1809" w:type="dxa"/>
          </w:tcPr>
          <w:p w14:paraId="327F009E" w14:textId="77777777" w:rsidR="00374F56" w:rsidRPr="00B95907" w:rsidRDefault="00374F56" w:rsidP="00A24C0E">
            <w:pPr>
              <w:pStyle w:val="DPCtablecolhead"/>
              <w:rPr>
                <w:b w:val="0"/>
              </w:rPr>
            </w:pPr>
            <w:r w:rsidRPr="00B95907">
              <w:t>APPLIES TO</w:t>
            </w:r>
          </w:p>
          <w:p w14:paraId="4D477255" w14:textId="77777777" w:rsidR="00374F56" w:rsidRPr="00B95907" w:rsidRDefault="00374F56" w:rsidP="00A24C0E">
            <w:pPr>
              <w:pStyle w:val="DPCtablecolhead"/>
              <w:rPr>
                <w:b w:val="0"/>
              </w:rPr>
            </w:pPr>
          </w:p>
        </w:tc>
        <w:tc>
          <w:tcPr>
            <w:tcW w:w="2599" w:type="dxa"/>
          </w:tcPr>
          <w:p w14:paraId="48FA04EA" w14:textId="77777777" w:rsidR="00374F56" w:rsidRPr="00B95907" w:rsidRDefault="00374F56" w:rsidP="00E90A64">
            <w:pPr>
              <w:pStyle w:val="DPCtabletext"/>
            </w:pPr>
            <w:r w:rsidRPr="00B95907">
              <w:t xml:space="preserve">All departments and </w:t>
            </w:r>
            <w:r w:rsidRPr="00B95907">
              <w:br/>
              <w:t>Victoria Police</w:t>
            </w:r>
          </w:p>
        </w:tc>
        <w:tc>
          <w:tcPr>
            <w:tcW w:w="1937" w:type="dxa"/>
          </w:tcPr>
          <w:p w14:paraId="3A9B5D46" w14:textId="77777777" w:rsidR="00374F56" w:rsidRPr="00B95907" w:rsidRDefault="00374F56" w:rsidP="00A24C0E">
            <w:pPr>
              <w:pStyle w:val="DPCtablecolhead"/>
            </w:pPr>
            <w:r w:rsidRPr="00B95907">
              <w:t>AUTHORITY</w:t>
            </w:r>
          </w:p>
        </w:tc>
        <w:tc>
          <w:tcPr>
            <w:tcW w:w="3402" w:type="dxa"/>
          </w:tcPr>
          <w:p w14:paraId="75561F37" w14:textId="77777777" w:rsidR="00374F56" w:rsidRPr="00B95907" w:rsidRDefault="00C0713A" w:rsidP="00E90A64">
            <w:pPr>
              <w:pStyle w:val="DPCtabletext"/>
            </w:pPr>
            <w:r w:rsidRPr="00B95907">
              <w:rPr>
                <w:lang w:eastAsia="en-AU"/>
              </w:rPr>
              <w:t>Chief Information Officers Leadership Group</w:t>
            </w:r>
          </w:p>
        </w:tc>
      </w:tr>
      <w:tr w:rsidR="00374F56" w:rsidRPr="00B95907" w14:paraId="7CB79099" w14:textId="77777777" w:rsidTr="00A24C0E">
        <w:trPr>
          <w:trHeight w:val="1039"/>
        </w:trPr>
        <w:tc>
          <w:tcPr>
            <w:tcW w:w="1809" w:type="dxa"/>
          </w:tcPr>
          <w:p w14:paraId="70E80994" w14:textId="77777777" w:rsidR="00374F56" w:rsidRPr="00B95907" w:rsidRDefault="00374F56" w:rsidP="00A24C0E">
            <w:pPr>
              <w:pStyle w:val="DPCtablecolhead"/>
              <w:rPr>
                <w:b w:val="0"/>
              </w:rPr>
            </w:pPr>
            <w:r w:rsidRPr="00B95907">
              <w:t>PERIOD</w:t>
            </w:r>
          </w:p>
        </w:tc>
        <w:tc>
          <w:tcPr>
            <w:tcW w:w="2599" w:type="dxa"/>
          </w:tcPr>
          <w:p w14:paraId="10C4621D" w14:textId="77777777" w:rsidR="00374F56" w:rsidRPr="00B95907" w:rsidRDefault="00374F56" w:rsidP="00E90A64">
            <w:pPr>
              <w:pStyle w:val="DPCtabletext"/>
            </w:pPr>
            <w:r w:rsidRPr="00B95907">
              <w:t>2017 – 2020</w:t>
            </w:r>
          </w:p>
        </w:tc>
        <w:tc>
          <w:tcPr>
            <w:tcW w:w="1937" w:type="dxa"/>
          </w:tcPr>
          <w:p w14:paraId="58F4A303" w14:textId="77777777" w:rsidR="00374F56" w:rsidRPr="00B95907" w:rsidRDefault="00374F56" w:rsidP="00A24C0E">
            <w:pPr>
              <w:pStyle w:val="DPCtablecolhead"/>
            </w:pPr>
            <w:r w:rsidRPr="00B95907">
              <w:t>ADVISED BY</w:t>
            </w:r>
          </w:p>
        </w:tc>
        <w:tc>
          <w:tcPr>
            <w:tcW w:w="3402" w:type="dxa"/>
          </w:tcPr>
          <w:p w14:paraId="3C1E97EF" w14:textId="77777777" w:rsidR="00374F56" w:rsidRPr="00B95907" w:rsidRDefault="009849EE" w:rsidP="00E90A64">
            <w:pPr>
              <w:pStyle w:val="DPCtabletext"/>
            </w:pPr>
            <w:r>
              <w:t>Digital Strategy and Transformation</w:t>
            </w:r>
            <w:r w:rsidR="00374F56" w:rsidRPr="00B95907">
              <w:br/>
              <w:t>Department of Premier and Cabinet</w:t>
            </w:r>
          </w:p>
        </w:tc>
      </w:tr>
      <w:tr w:rsidR="00374F56" w:rsidRPr="00B95907" w14:paraId="152E3921" w14:textId="77777777" w:rsidTr="00A24C0E">
        <w:tc>
          <w:tcPr>
            <w:tcW w:w="1809" w:type="dxa"/>
          </w:tcPr>
          <w:p w14:paraId="2933498D" w14:textId="77777777" w:rsidR="00374F56" w:rsidRPr="00B95907" w:rsidRDefault="00374F56" w:rsidP="00A24C0E">
            <w:pPr>
              <w:pStyle w:val="DPCtablecolhead"/>
              <w:rPr>
                <w:b w:val="0"/>
              </w:rPr>
            </w:pPr>
            <w:r w:rsidRPr="00B95907">
              <w:t>ISSUE DATE</w:t>
            </w:r>
          </w:p>
        </w:tc>
        <w:tc>
          <w:tcPr>
            <w:tcW w:w="2599" w:type="dxa"/>
          </w:tcPr>
          <w:p w14:paraId="2F996563" w14:textId="77777777" w:rsidR="00374F56" w:rsidRPr="00B95907" w:rsidRDefault="00B95907" w:rsidP="00E90A64">
            <w:pPr>
              <w:pStyle w:val="DPCtabletext"/>
            </w:pPr>
            <w:r>
              <w:t>May</w:t>
            </w:r>
            <w:r w:rsidR="00374F56" w:rsidRPr="00B95907">
              <w:t xml:space="preserve"> 201</w:t>
            </w:r>
            <w:r w:rsidR="00C0713A" w:rsidRPr="00B95907">
              <w:t>8</w:t>
            </w:r>
          </w:p>
          <w:p w14:paraId="2AD36587" w14:textId="77777777" w:rsidR="00374F56" w:rsidRPr="00B95907" w:rsidRDefault="00374F56" w:rsidP="00E90A64">
            <w:pPr>
              <w:pStyle w:val="DPCtabletext"/>
            </w:pPr>
          </w:p>
        </w:tc>
        <w:tc>
          <w:tcPr>
            <w:tcW w:w="1937" w:type="dxa"/>
          </w:tcPr>
          <w:p w14:paraId="0AEAA85D" w14:textId="77777777" w:rsidR="00374F56" w:rsidRPr="00B95907" w:rsidRDefault="00374F56" w:rsidP="00A24C0E">
            <w:pPr>
              <w:pStyle w:val="DPCtablecolhead"/>
            </w:pPr>
            <w:r w:rsidRPr="00B95907">
              <w:t>DOCUMENT ID</w:t>
            </w:r>
          </w:p>
        </w:tc>
        <w:tc>
          <w:tcPr>
            <w:tcW w:w="3402" w:type="dxa"/>
          </w:tcPr>
          <w:p w14:paraId="6749B3BA" w14:textId="77777777" w:rsidR="00374F56" w:rsidRPr="00B95907" w:rsidRDefault="00374F56" w:rsidP="00E90A64">
            <w:pPr>
              <w:pStyle w:val="DPCtabletext"/>
            </w:pPr>
            <w:r w:rsidRPr="00B95907">
              <w:t>IM-</w:t>
            </w:r>
            <w:r w:rsidR="00F070EF" w:rsidRPr="00B95907">
              <w:t>DE</w:t>
            </w:r>
            <w:r w:rsidR="007A4456">
              <w:t>X</w:t>
            </w:r>
            <w:r w:rsidR="00F070EF" w:rsidRPr="00B95907">
              <w:t>-01</w:t>
            </w:r>
          </w:p>
          <w:p w14:paraId="1180CC67" w14:textId="77777777" w:rsidR="00374F56" w:rsidRPr="00B95907" w:rsidRDefault="00374F56" w:rsidP="00E90A64">
            <w:pPr>
              <w:pStyle w:val="DPCtabletext"/>
            </w:pPr>
          </w:p>
        </w:tc>
      </w:tr>
      <w:tr w:rsidR="00374F56" w:rsidRPr="00B95907" w14:paraId="74323074" w14:textId="77777777" w:rsidTr="00A24C0E">
        <w:tc>
          <w:tcPr>
            <w:tcW w:w="1809" w:type="dxa"/>
          </w:tcPr>
          <w:p w14:paraId="295252D3" w14:textId="77777777" w:rsidR="00374F56" w:rsidRPr="00B95907" w:rsidRDefault="00374F56" w:rsidP="00A24C0E">
            <w:pPr>
              <w:pStyle w:val="DPCtablecolhead"/>
              <w:rPr>
                <w:b w:val="0"/>
              </w:rPr>
            </w:pPr>
            <w:r w:rsidRPr="00B95907">
              <w:t>REVIEW DATE</w:t>
            </w:r>
          </w:p>
        </w:tc>
        <w:tc>
          <w:tcPr>
            <w:tcW w:w="2599" w:type="dxa"/>
          </w:tcPr>
          <w:p w14:paraId="56402618" w14:textId="77777777" w:rsidR="00374F56" w:rsidRPr="00B95907" w:rsidRDefault="00B95907" w:rsidP="00E90A64">
            <w:pPr>
              <w:pStyle w:val="DPCtabletext"/>
            </w:pPr>
            <w:r>
              <w:t>May</w:t>
            </w:r>
            <w:r w:rsidR="00C0713A" w:rsidRPr="00B95907">
              <w:t xml:space="preserve"> </w:t>
            </w:r>
            <w:r w:rsidR="00374F56" w:rsidRPr="00B95907">
              <w:t>2020</w:t>
            </w:r>
          </w:p>
        </w:tc>
        <w:tc>
          <w:tcPr>
            <w:tcW w:w="1937" w:type="dxa"/>
          </w:tcPr>
          <w:p w14:paraId="76023E75" w14:textId="77777777" w:rsidR="00374F56" w:rsidRPr="00B95907" w:rsidRDefault="00374F56" w:rsidP="00A24C0E">
            <w:pPr>
              <w:pStyle w:val="DPCtablecolhead"/>
            </w:pPr>
            <w:r w:rsidRPr="00B95907">
              <w:t>VERSION</w:t>
            </w:r>
          </w:p>
          <w:p w14:paraId="4F23033E" w14:textId="77777777" w:rsidR="00374F56" w:rsidRPr="00B95907" w:rsidRDefault="00374F56" w:rsidP="00A24C0E">
            <w:pPr>
              <w:pStyle w:val="DPCtablecolhead"/>
            </w:pPr>
          </w:p>
        </w:tc>
        <w:tc>
          <w:tcPr>
            <w:tcW w:w="3402" w:type="dxa"/>
          </w:tcPr>
          <w:p w14:paraId="0D403B5E" w14:textId="77777777" w:rsidR="00374F56" w:rsidRPr="00B95907" w:rsidRDefault="00B95907" w:rsidP="00E90A64">
            <w:pPr>
              <w:pStyle w:val="DPCtabletext"/>
            </w:pPr>
            <w:r>
              <w:t>1.0</w:t>
            </w:r>
          </w:p>
        </w:tc>
      </w:tr>
    </w:tbl>
    <w:p w14:paraId="4479D1E5" w14:textId="77777777" w:rsidR="00FA4625" w:rsidRPr="00B95907" w:rsidRDefault="00FA4625" w:rsidP="00151524">
      <w:pPr>
        <w:pStyle w:val="Heading3"/>
      </w:pPr>
      <w:r w:rsidRPr="00B95907">
        <w:t>Approval</w:t>
      </w:r>
    </w:p>
    <w:p w14:paraId="10760C7F" w14:textId="77777777" w:rsidR="00FA4625" w:rsidRPr="00B95907" w:rsidRDefault="00FA4625" w:rsidP="00FA4625">
      <w:pPr>
        <w:pStyle w:val="DPCbody"/>
      </w:pPr>
      <w:r w:rsidRPr="00B95907">
        <w:t xml:space="preserve">This document was approved by the </w:t>
      </w:r>
      <w:r w:rsidR="00C0713A" w:rsidRPr="00B95907">
        <w:t>Chief Information Officers</w:t>
      </w:r>
      <w:r w:rsidR="00065839" w:rsidRPr="00B95907">
        <w:t xml:space="preserve"> Leadership</w:t>
      </w:r>
      <w:r w:rsidR="00C0713A" w:rsidRPr="00B95907">
        <w:t xml:space="preserve"> Group</w:t>
      </w:r>
      <w:r w:rsidRPr="00B95907">
        <w:t xml:space="preserve"> </w:t>
      </w:r>
      <w:r w:rsidR="001A653B" w:rsidRPr="00B95907">
        <w:t xml:space="preserve">under the authority of the Victorian Secretaries Board </w:t>
      </w:r>
      <w:r w:rsidRPr="00B95907">
        <w:t xml:space="preserve">on </w:t>
      </w:r>
      <w:r w:rsidR="00976504">
        <w:t>07/05/2018</w:t>
      </w:r>
      <w:r w:rsidRPr="00B95907">
        <w:t xml:space="preserve"> and applies from the date of issue. </w:t>
      </w:r>
    </w:p>
    <w:p w14:paraId="1BCA107F" w14:textId="77777777" w:rsidR="00FA4625" w:rsidRPr="00B95907" w:rsidRDefault="00FA4625" w:rsidP="00151524">
      <w:pPr>
        <w:pStyle w:val="Heading3"/>
      </w:pPr>
      <w:r w:rsidRPr="00B95907">
        <w:t>Version history</w:t>
      </w:r>
    </w:p>
    <w:tbl>
      <w:tblPr>
        <w:tblStyle w:val="TableGrid"/>
        <w:tblW w:w="4754" w:type="pct"/>
        <w:tblLook w:val="04A0" w:firstRow="1" w:lastRow="0" w:firstColumn="1" w:lastColumn="0" w:noHBand="0" w:noVBand="1"/>
      </w:tblPr>
      <w:tblGrid>
        <w:gridCol w:w="1700"/>
        <w:gridCol w:w="1511"/>
        <w:gridCol w:w="6427"/>
      </w:tblGrid>
      <w:tr w:rsidR="00FA4625" w:rsidRPr="00B95907" w14:paraId="2441D4D2" w14:textId="77777777" w:rsidTr="0007433C">
        <w:tc>
          <w:tcPr>
            <w:tcW w:w="882" w:type="pct"/>
          </w:tcPr>
          <w:p w14:paraId="31E79FFE" w14:textId="77777777" w:rsidR="00FA4625" w:rsidRPr="00B95907" w:rsidRDefault="00FA4625" w:rsidP="00A24C0E">
            <w:pPr>
              <w:pStyle w:val="DPCtablecolhead"/>
              <w:rPr>
                <w:rFonts w:eastAsiaTheme="minorEastAsia"/>
                <w:b w:val="0"/>
                <w:color w:val="595959" w:themeColor="text1" w:themeTint="A6"/>
              </w:rPr>
            </w:pPr>
            <w:r w:rsidRPr="00B95907">
              <w:rPr>
                <w:rFonts w:eastAsiaTheme="minorEastAsia"/>
                <w:color w:val="595959" w:themeColor="text1" w:themeTint="A6"/>
              </w:rPr>
              <w:t>Version</w:t>
            </w:r>
          </w:p>
        </w:tc>
        <w:tc>
          <w:tcPr>
            <w:tcW w:w="784" w:type="pct"/>
          </w:tcPr>
          <w:p w14:paraId="1DF1B488" w14:textId="77777777" w:rsidR="00FA4625" w:rsidRPr="00B95907" w:rsidRDefault="00FA4625" w:rsidP="00A24C0E">
            <w:pPr>
              <w:pStyle w:val="DPCtablecolhead"/>
              <w:rPr>
                <w:rFonts w:eastAsiaTheme="minorEastAsia"/>
                <w:b w:val="0"/>
                <w:color w:val="595959" w:themeColor="text1" w:themeTint="A6"/>
              </w:rPr>
            </w:pPr>
            <w:r w:rsidRPr="00B95907">
              <w:rPr>
                <w:rFonts w:eastAsiaTheme="minorEastAsia"/>
                <w:color w:val="595959" w:themeColor="text1" w:themeTint="A6"/>
              </w:rPr>
              <w:t>Date</w:t>
            </w:r>
          </w:p>
        </w:tc>
        <w:tc>
          <w:tcPr>
            <w:tcW w:w="3334" w:type="pct"/>
          </w:tcPr>
          <w:p w14:paraId="5CA79667" w14:textId="77777777" w:rsidR="00FA4625" w:rsidRPr="00B95907" w:rsidRDefault="00FA4625" w:rsidP="00A24C0E">
            <w:pPr>
              <w:pStyle w:val="DPCtablecolhead"/>
              <w:rPr>
                <w:rFonts w:eastAsiaTheme="minorEastAsia"/>
                <w:b w:val="0"/>
                <w:color w:val="595959" w:themeColor="text1" w:themeTint="A6"/>
              </w:rPr>
            </w:pPr>
            <w:r w:rsidRPr="00B95907">
              <w:rPr>
                <w:rFonts w:eastAsiaTheme="minorEastAsia"/>
                <w:color w:val="595959" w:themeColor="text1" w:themeTint="A6"/>
              </w:rPr>
              <w:t>Comments</w:t>
            </w:r>
          </w:p>
        </w:tc>
      </w:tr>
      <w:tr w:rsidR="00FA4625" w:rsidRPr="00B95907" w14:paraId="1A2BCF5F" w14:textId="77777777" w:rsidTr="0007433C">
        <w:tc>
          <w:tcPr>
            <w:tcW w:w="882" w:type="pct"/>
          </w:tcPr>
          <w:p w14:paraId="0C8E493E" w14:textId="77777777" w:rsidR="00FA4625" w:rsidRPr="00B95907" w:rsidRDefault="00FA4625" w:rsidP="00E90A64">
            <w:pPr>
              <w:pStyle w:val="DPCtabletext"/>
            </w:pPr>
            <w:r w:rsidRPr="00B95907">
              <w:t>0.1</w:t>
            </w:r>
          </w:p>
        </w:tc>
        <w:tc>
          <w:tcPr>
            <w:tcW w:w="784" w:type="pct"/>
          </w:tcPr>
          <w:p w14:paraId="499C97E7" w14:textId="77777777" w:rsidR="00FA4625" w:rsidRPr="00B95907" w:rsidRDefault="00C0713A" w:rsidP="00E90A64">
            <w:pPr>
              <w:pStyle w:val="DPCtabletext"/>
            </w:pPr>
            <w:r w:rsidRPr="00B95907">
              <w:t>05/03/2018</w:t>
            </w:r>
          </w:p>
        </w:tc>
        <w:tc>
          <w:tcPr>
            <w:tcW w:w="3334" w:type="pct"/>
          </w:tcPr>
          <w:p w14:paraId="177C6498" w14:textId="77777777" w:rsidR="00FA4625" w:rsidRPr="00B95907" w:rsidRDefault="00C0713A" w:rsidP="005356CC">
            <w:pPr>
              <w:pStyle w:val="DPCtabletext"/>
            </w:pPr>
            <w:r w:rsidRPr="00B95907">
              <w:t>First draft for review by working group and the W</w:t>
            </w:r>
            <w:r w:rsidR="005356CC" w:rsidRPr="00B95907">
              <w:t>O</w:t>
            </w:r>
            <w:r w:rsidR="00B95907">
              <w:t>VG IMG</w:t>
            </w:r>
          </w:p>
        </w:tc>
      </w:tr>
      <w:tr w:rsidR="00F810D8" w:rsidRPr="00B95907" w14:paraId="39293E57" w14:textId="77777777" w:rsidTr="0007433C">
        <w:tc>
          <w:tcPr>
            <w:tcW w:w="882" w:type="pct"/>
          </w:tcPr>
          <w:p w14:paraId="1DBF332D" w14:textId="77777777" w:rsidR="00F810D8" w:rsidRPr="00B95907" w:rsidRDefault="00782E21" w:rsidP="00E90A64">
            <w:pPr>
              <w:pStyle w:val="DPCtabletext"/>
            </w:pPr>
            <w:r w:rsidRPr="00B95907">
              <w:t>0.2</w:t>
            </w:r>
          </w:p>
        </w:tc>
        <w:tc>
          <w:tcPr>
            <w:tcW w:w="784" w:type="pct"/>
          </w:tcPr>
          <w:p w14:paraId="4B1AF9A6" w14:textId="77777777" w:rsidR="00F810D8" w:rsidRPr="00B95907" w:rsidRDefault="00782E21" w:rsidP="00E90A64">
            <w:pPr>
              <w:pStyle w:val="DPCtabletext"/>
            </w:pPr>
            <w:r w:rsidRPr="00B95907">
              <w:t>20/03/2018</w:t>
            </w:r>
          </w:p>
        </w:tc>
        <w:tc>
          <w:tcPr>
            <w:tcW w:w="3334" w:type="pct"/>
          </w:tcPr>
          <w:p w14:paraId="64E826E6" w14:textId="77777777" w:rsidR="00F810D8" w:rsidRPr="00B95907" w:rsidRDefault="00782E21" w:rsidP="00E90A64">
            <w:pPr>
              <w:pStyle w:val="DPCtabletext"/>
            </w:pPr>
            <w:r w:rsidRPr="00B95907">
              <w:t xml:space="preserve">Feedback </w:t>
            </w:r>
            <w:r w:rsidR="00B95907">
              <w:t>from working group incorporated</w:t>
            </w:r>
          </w:p>
        </w:tc>
      </w:tr>
      <w:tr w:rsidR="00A34FFA" w:rsidRPr="00B95907" w14:paraId="1F29C64B" w14:textId="77777777" w:rsidTr="0007433C">
        <w:tc>
          <w:tcPr>
            <w:tcW w:w="882" w:type="pct"/>
          </w:tcPr>
          <w:p w14:paraId="7E4961F3" w14:textId="77777777" w:rsidR="00A34FFA" w:rsidRPr="00B95907" w:rsidRDefault="00A34FFA" w:rsidP="00E90A64">
            <w:pPr>
              <w:pStyle w:val="DPCtabletext"/>
            </w:pPr>
            <w:r w:rsidRPr="00B95907">
              <w:t>0.3</w:t>
            </w:r>
          </w:p>
        </w:tc>
        <w:tc>
          <w:tcPr>
            <w:tcW w:w="784" w:type="pct"/>
          </w:tcPr>
          <w:p w14:paraId="603F9904" w14:textId="77777777" w:rsidR="00A34FFA" w:rsidRPr="00B95907" w:rsidRDefault="00A34FFA" w:rsidP="00E90A64">
            <w:pPr>
              <w:pStyle w:val="DPCtabletext"/>
            </w:pPr>
            <w:r w:rsidRPr="00B95907">
              <w:t>22/03/2018</w:t>
            </w:r>
          </w:p>
        </w:tc>
        <w:tc>
          <w:tcPr>
            <w:tcW w:w="3334" w:type="pct"/>
          </w:tcPr>
          <w:p w14:paraId="02DE2478" w14:textId="77777777" w:rsidR="00A34FFA" w:rsidRPr="00B95907" w:rsidRDefault="00A34FFA" w:rsidP="00E90A64">
            <w:pPr>
              <w:pStyle w:val="DPCtabletext"/>
            </w:pPr>
            <w:r w:rsidRPr="00B95907">
              <w:t xml:space="preserve">Additional feedback </w:t>
            </w:r>
            <w:r w:rsidR="00B95907">
              <w:t>from working group incorporated</w:t>
            </w:r>
          </w:p>
        </w:tc>
      </w:tr>
      <w:tr w:rsidR="005356CC" w:rsidRPr="00B95907" w14:paraId="559DF7B1" w14:textId="77777777" w:rsidTr="0007433C">
        <w:tc>
          <w:tcPr>
            <w:tcW w:w="882" w:type="pct"/>
          </w:tcPr>
          <w:p w14:paraId="20A8F5A8" w14:textId="77777777" w:rsidR="005356CC" w:rsidRPr="00B95907" w:rsidRDefault="005356CC" w:rsidP="00E90A64">
            <w:pPr>
              <w:pStyle w:val="DPCtabletext"/>
            </w:pPr>
            <w:r w:rsidRPr="00B95907">
              <w:t>0.4</w:t>
            </w:r>
          </w:p>
        </w:tc>
        <w:tc>
          <w:tcPr>
            <w:tcW w:w="784" w:type="pct"/>
          </w:tcPr>
          <w:p w14:paraId="0CE4E050" w14:textId="77777777" w:rsidR="005356CC" w:rsidRPr="00B95907" w:rsidRDefault="005356CC" w:rsidP="00E90A64">
            <w:pPr>
              <w:pStyle w:val="DPCtabletext"/>
            </w:pPr>
            <w:r w:rsidRPr="00B95907">
              <w:t>16/04/2018</w:t>
            </w:r>
          </w:p>
        </w:tc>
        <w:tc>
          <w:tcPr>
            <w:tcW w:w="3334" w:type="pct"/>
          </w:tcPr>
          <w:p w14:paraId="437E0BF8" w14:textId="77777777" w:rsidR="005356CC" w:rsidRPr="00B95907" w:rsidRDefault="005356CC" w:rsidP="00E90A64">
            <w:pPr>
              <w:pStyle w:val="DPCtabletext"/>
            </w:pPr>
            <w:r w:rsidRPr="00B95907">
              <w:t>Feedback from WOVG IMG and edi</w:t>
            </w:r>
            <w:r w:rsidR="00B95907">
              <w:t>torial review</w:t>
            </w:r>
          </w:p>
        </w:tc>
      </w:tr>
      <w:tr w:rsidR="00B95907" w:rsidRPr="00B95907" w14:paraId="74A4AB9E" w14:textId="77777777" w:rsidTr="0007433C">
        <w:tc>
          <w:tcPr>
            <w:tcW w:w="882" w:type="pct"/>
          </w:tcPr>
          <w:p w14:paraId="28342FE6" w14:textId="77777777" w:rsidR="00B95907" w:rsidRPr="00B95907" w:rsidRDefault="00B95907" w:rsidP="00E90A64">
            <w:pPr>
              <w:pStyle w:val="DPCtabletext"/>
            </w:pPr>
            <w:r>
              <w:t>1.0</w:t>
            </w:r>
          </w:p>
        </w:tc>
        <w:tc>
          <w:tcPr>
            <w:tcW w:w="784" w:type="pct"/>
          </w:tcPr>
          <w:p w14:paraId="751E41EC" w14:textId="77777777" w:rsidR="00B95907" w:rsidRPr="00B95907" w:rsidRDefault="00976504" w:rsidP="00976504">
            <w:pPr>
              <w:pStyle w:val="DPCtabletext"/>
            </w:pPr>
            <w:r>
              <w:t>07</w:t>
            </w:r>
            <w:r w:rsidR="00B95907">
              <w:t>/0</w:t>
            </w:r>
            <w:r>
              <w:t>5</w:t>
            </w:r>
            <w:r w:rsidR="00B95907">
              <w:t>/2018</w:t>
            </w:r>
          </w:p>
        </w:tc>
        <w:tc>
          <w:tcPr>
            <w:tcW w:w="3334" w:type="pct"/>
          </w:tcPr>
          <w:p w14:paraId="24D403DB" w14:textId="77777777" w:rsidR="00B95907" w:rsidRPr="00B95907" w:rsidRDefault="00976504" w:rsidP="00976504">
            <w:pPr>
              <w:pStyle w:val="DPCtabletext"/>
              <w:tabs>
                <w:tab w:val="clear" w:pos="7581"/>
                <w:tab w:val="left" w:pos="5105"/>
              </w:tabs>
            </w:pPr>
            <w:r>
              <w:t>Approved by CIO Leadership Group</w:t>
            </w:r>
          </w:p>
        </w:tc>
      </w:tr>
    </w:tbl>
    <w:p w14:paraId="6C58BC0A" w14:textId="77777777" w:rsidR="00374F56" w:rsidRPr="00B95907" w:rsidRDefault="00374F56" w:rsidP="00374F56">
      <w:pPr>
        <w:spacing w:line="200" w:lineRule="atLeast"/>
        <w:ind w:left="101"/>
        <w:rPr>
          <w:rFonts w:ascii="Calibri" w:eastAsia="Calibri" w:hAnsi="Calibri" w:cs="Calibri"/>
        </w:rPr>
      </w:pPr>
    </w:p>
    <w:p w14:paraId="2332BE5A" w14:textId="77777777" w:rsidR="00374F56" w:rsidRPr="002C1DF6" w:rsidRDefault="00374F56" w:rsidP="00374F56">
      <w:pPr>
        <w:spacing w:line="200" w:lineRule="atLeast"/>
      </w:pPr>
      <w:r w:rsidRPr="00B95907">
        <w:rPr>
          <w:rFonts w:ascii="Calibri" w:eastAsia="Calibri" w:hAnsi="Calibri" w:cs="Calibri"/>
          <w:noProof/>
          <w:lang w:eastAsia="en-AU"/>
        </w:rPr>
        <w:drawing>
          <wp:anchor distT="0" distB="0" distL="114300" distR="114300" simplePos="0" relativeHeight="251659264" behindDoc="0" locked="0" layoutInCell="1" allowOverlap="1" wp14:anchorId="164BCDE8" wp14:editId="7526EEA8">
            <wp:simplePos x="786130" y="9097645"/>
            <wp:positionH relativeFrom="column">
              <wp:align>left</wp:align>
            </wp:positionH>
            <wp:positionV relativeFrom="paragraph">
              <wp:align>top</wp:align>
            </wp:positionV>
            <wp:extent cx="750570" cy="2755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0570" cy="275590"/>
                    </a:xfrm>
                    <a:prstGeom prst="rect">
                      <a:avLst/>
                    </a:prstGeom>
                  </pic:spPr>
                </pic:pic>
              </a:graphicData>
            </a:graphic>
          </wp:anchor>
        </w:drawing>
      </w:r>
      <w:r w:rsidRPr="00B95907">
        <w:rPr>
          <w:rFonts w:ascii="Calibri" w:eastAsia="Calibri" w:hAnsi="Calibri" w:cs="Calibri"/>
        </w:rPr>
        <w:br w:type="textWrapping" w:clear="all"/>
      </w:r>
      <w:r w:rsidRPr="00B95907">
        <w:rPr>
          <w:spacing w:val="-1"/>
          <w:sz w:val="16"/>
        </w:rPr>
        <w:t>Except</w:t>
      </w:r>
      <w:r w:rsidRPr="00B95907">
        <w:rPr>
          <w:spacing w:val="-6"/>
          <w:sz w:val="16"/>
        </w:rPr>
        <w:t xml:space="preserve"> </w:t>
      </w:r>
      <w:r w:rsidRPr="00B95907">
        <w:rPr>
          <w:spacing w:val="-1"/>
          <w:sz w:val="16"/>
        </w:rPr>
        <w:t>for</w:t>
      </w:r>
      <w:r w:rsidRPr="00B95907">
        <w:rPr>
          <w:spacing w:val="-6"/>
          <w:sz w:val="16"/>
        </w:rPr>
        <w:t xml:space="preserve"> </w:t>
      </w:r>
      <w:r w:rsidRPr="00B95907">
        <w:rPr>
          <w:sz w:val="16"/>
        </w:rPr>
        <w:t>any</w:t>
      </w:r>
      <w:r w:rsidRPr="00B95907">
        <w:rPr>
          <w:spacing w:val="-5"/>
          <w:sz w:val="16"/>
        </w:rPr>
        <w:t xml:space="preserve"> </w:t>
      </w:r>
      <w:r w:rsidRPr="00B95907">
        <w:rPr>
          <w:spacing w:val="-1"/>
          <w:sz w:val="16"/>
        </w:rPr>
        <w:t>logos,</w:t>
      </w:r>
      <w:r w:rsidRPr="00B95907">
        <w:rPr>
          <w:spacing w:val="-6"/>
          <w:sz w:val="16"/>
        </w:rPr>
        <w:t xml:space="preserve"> </w:t>
      </w:r>
      <w:r w:rsidRPr="00B95907">
        <w:rPr>
          <w:sz w:val="16"/>
        </w:rPr>
        <w:t>emblems,</w:t>
      </w:r>
      <w:r w:rsidRPr="00B95907">
        <w:rPr>
          <w:spacing w:val="-6"/>
          <w:sz w:val="16"/>
        </w:rPr>
        <w:t xml:space="preserve"> </w:t>
      </w:r>
      <w:r w:rsidRPr="00B95907">
        <w:rPr>
          <w:spacing w:val="-1"/>
          <w:sz w:val="16"/>
        </w:rPr>
        <w:t>trademarks</w:t>
      </w:r>
      <w:r w:rsidRPr="00B95907">
        <w:rPr>
          <w:spacing w:val="-6"/>
          <w:sz w:val="16"/>
        </w:rPr>
        <w:t xml:space="preserve"> </w:t>
      </w:r>
      <w:r w:rsidRPr="00B95907">
        <w:rPr>
          <w:sz w:val="16"/>
        </w:rPr>
        <w:t>and</w:t>
      </w:r>
      <w:r w:rsidRPr="00B95907">
        <w:rPr>
          <w:spacing w:val="-6"/>
          <w:sz w:val="16"/>
        </w:rPr>
        <w:t xml:space="preserve"> </w:t>
      </w:r>
      <w:r w:rsidRPr="00B95907">
        <w:rPr>
          <w:sz w:val="16"/>
        </w:rPr>
        <w:t>contents</w:t>
      </w:r>
      <w:r w:rsidRPr="00B95907">
        <w:rPr>
          <w:spacing w:val="-6"/>
          <w:sz w:val="16"/>
        </w:rPr>
        <w:t xml:space="preserve"> </w:t>
      </w:r>
      <w:r w:rsidRPr="00B95907">
        <w:rPr>
          <w:sz w:val="16"/>
        </w:rPr>
        <w:t>attributed</w:t>
      </w:r>
      <w:r w:rsidRPr="00B95907">
        <w:rPr>
          <w:spacing w:val="-6"/>
          <w:sz w:val="16"/>
        </w:rPr>
        <w:t xml:space="preserve"> </w:t>
      </w:r>
      <w:r w:rsidRPr="00B95907">
        <w:rPr>
          <w:sz w:val="16"/>
        </w:rPr>
        <w:t>to</w:t>
      </w:r>
      <w:r w:rsidRPr="00B95907">
        <w:rPr>
          <w:spacing w:val="-5"/>
          <w:sz w:val="16"/>
        </w:rPr>
        <w:t xml:space="preserve"> </w:t>
      </w:r>
      <w:r w:rsidRPr="00B95907">
        <w:rPr>
          <w:sz w:val="16"/>
        </w:rPr>
        <w:t>other</w:t>
      </w:r>
      <w:r w:rsidRPr="00B95907">
        <w:rPr>
          <w:spacing w:val="-6"/>
          <w:sz w:val="16"/>
        </w:rPr>
        <w:t xml:space="preserve"> </w:t>
      </w:r>
      <w:r w:rsidRPr="00B95907">
        <w:rPr>
          <w:spacing w:val="-1"/>
          <w:sz w:val="16"/>
        </w:rPr>
        <w:t>parties,</w:t>
      </w:r>
      <w:r w:rsidRPr="00B95907">
        <w:rPr>
          <w:spacing w:val="-6"/>
          <w:sz w:val="16"/>
        </w:rPr>
        <w:t xml:space="preserve"> </w:t>
      </w:r>
      <w:r w:rsidRPr="00B95907">
        <w:rPr>
          <w:sz w:val="16"/>
        </w:rPr>
        <w:t>the statements of direction,</w:t>
      </w:r>
      <w:r w:rsidRPr="00B95907">
        <w:rPr>
          <w:spacing w:val="-6"/>
          <w:sz w:val="16"/>
        </w:rPr>
        <w:t xml:space="preserve"> </w:t>
      </w:r>
      <w:r w:rsidRPr="00B95907">
        <w:rPr>
          <w:spacing w:val="-1"/>
          <w:sz w:val="16"/>
        </w:rPr>
        <w:t>policies and</w:t>
      </w:r>
      <w:r w:rsidRPr="00B95907">
        <w:rPr>
          <w:spacing w:val="-3"/>
          <w:sz w:val="16"/>
        </w:rPr>
        <w:t xml:space="preserve"> </w:t>
      </w:r>
      <w:r w:rsidRPr="00B95907">
        <w:rPr>
          <w:spacing w:val="-1"/>
          <w:sz w:val="16"/>
        </w:rPr>
        <w:t>standards</w:t>
      </w:r>
      <w:r w:rsidRPr="00B95907">
        <w:rPr>
          <w:spacing w:val="-7"/>
          <w:sz w:val="16"/>
        </w:rPr>
        <w:t xml:space="preserve"> </w:t>
      </w:r>
      <w:r w:rsidRPr="00B95907">
        <w:rPr>
          <w:spacing w:val="1"/>
          <w:sz w:val="16"/>
        </w:rPr>
        <w:t>of</w:t>
      </w:r>
      <w:r w:rsidRPr="00B95907">
        <w:rPr>
          <w:spacing w:val="-7"/>
          <w:sz w:val="16"/>
        </w:rPr>
        <w:t xml:space="preserve"> </w:t>
      </w:r>
      <w:r w:rsidRPr="00B95907">
        <w:rPr>
          <w:sz w:val="16"/>
        </w:rPr>
        <w:t>the</w:t>
      </w:r>
      <w:r w:rsidRPr="00B95907">
        <w:rPr>
          <w:spacing w:val="-7"/>
          <w:sz w:val="16"/>
        </w:rPr>
        <w:t xml:space="preserve"> </w:t>
      </w:r>
      <w:r w:rsidRPr="00B95907">
        <w:rPr>
          <w:spacing w:val="-1"/>
          <w:sz w:val="16"/>
        </w:rPr>
        <w:t>Victorian</w:t>
      </w:r>
      <w:r w:rsidRPr="00B95907">
        <w:rPr>
          <w:spacing w:val="-6"/>
          <w:sz w:val="16"/>
        </w:rPr>
        <w:t xml:space="preserve"> </w:t>
      </w:r>
      <w:r w:rsidRPr="00B95907">
        <w:rPr>
          <w:sz w:val="16"/>
        </w:rPr>
        <w:t>Government</w:t>
      </w:r>
      <w:r w:rsidRPr="00B95907">
        <w:rPr>
          <w:spacing w:val="-6"/>
          <w:sz w:val="16"/>
        </w:rPr>
        <w:t xml:space="preserve">’s Victorian Secretaries Board or </w:t>
      </w:r>
      <w:r w:rsidRPr="00B95907">
        <w:rPr>
          <w:spacing w:val="-1"/>
          <w:sz w:val="16"/>
        </w:rPr>
        <w:t>CIO Leadership Group</w:t>
      </w:r>
      <w:r w:rsidRPr="00B95907">
        <w:rPr>
          <w:spacing w:val="-6"/>
          <w:sz w:val="16"/>
        </w:rPr>
        <w:t xml:space="preserve"> </w:t>
      </w:r>
      <w:r w:rsidRPr="00B95907">
        <w:rPr>
          <w:spacing w:val="1"/>
          <w:sz w:val="16"/>
        </w:rPr>
        <w:t>are</w:t>
      </w:r>
      <w:r w:rsidRPr="00B95907">
        <w:rPr>
          <w:spacing w:val="-7"/>
          <w:sz w:val="16"/>
        </w:rPr>
        <w:t xml:space="preserve"> </w:t>
      </w:r>
      <w:r w:rsidRPr="00B95907">
        <w:rPr>
          <w:sz w:val="16"/>
        </w:rPr>
        <w:t>licensed</w:t>
      </w:r>
      <w:r w:rsidRPr="00B95907">
        <w:rPr>
          <w:spacing w:val="-6"/>
          <w:sz w:val="16"/>
        </w:rPr>
        <w:t xml:space="preserve"> </w:t>
      </w:r>
      <w:r w:rsidRPr="00B95907">
        <w:rPr>
          <w:sz w:val="16"/>
        </w:rPr>
        <w:t>under</w:t>
      </w:r>
      <w:r w:rsidRPr="00B95907">
        <w:rPr>
          <w:spacing w:val="-6"/>
          <w:sz w:val="16"/>
        </w:rPr>
        <w:t xml:space="preserve"> </w:t>
      </w:r>
      <w:r w:rsidRPr="00B95907">
        <w:rPr>
          <w:sz w:val="16"/>
        </w:rPr>
        <w:t>the</w:t>
      </w:r>
      <w:r w:rsidRPr="00B95907">
        <w:rPr>
          <w:spacing w:val="-7"/>
          <w:sz w:val="16"/>
        </w:rPr>
        <w:t xml:space="preserve"> </w:t>
      </w:r>
      <w:r w:rsidRPr="00B95907">
        <w:rPr>
          <w:spacing w:val="-1"/>
          <w:sz w:val="16"/>
        </w:rPr>
        <w:t xml:space="preserve">Creative Commons Attribution 4.0 </w:t>
      </w:r>
      <w:r w:rsidRPr="00B95907">
        <w:rPr>
          <w:sz w:val="16"/>
        </w:rPr>
        <w:t>International licence. To view</w:t>
      </w:r>
      <w:r w:rsidRPr="00B95907">
        <w:rPr>
          <w:spacing w:val="-9"/>
          <w:sz w:val="16"/>
        </w:rPr>
        <w:t xml:space="preserve"> </w:t>
      </w:r>
      <w:r w:rsidRPr="00B95907">
        <w:rPr>
          <w:sz w:val="16"/>
        </w:rPr>
        <w:t>a</w:t>
      </w:r>
      <w:r w:rsidRPr="00B95907">
        <w:rPr>
          <w:spacing w:val="-8"/>
          <w:sz w:val="16"/>
        </w:rPr>
        <w:t xml:space="preserve"> </w:t>
      </w:r>
      <w:r w:rsidRPr="00B95907">
        <w:rPr>
          <w:sz w:val="16"/>
        </w:rPr>
        <w:t>copy</w:t>
      </w:r>
      <w:r w:rsidRPr="00B95907">
        <w:rPr>
          <w:spacing w:val="-7"/>
          <w:sz w:val="16"/>
        </w:rPr>
        <w:t xml:space="preserve"> </w:t>
      </w:r>
      <w:r w:rsidRPr="00B95907">
        <w:rPr>
          <w:sz w:val="16"/>
        </w:rPr>
        <w:t>of</w:t>
      </w:r>
      <w:r w:rsidRPr="00B95907">
        <w:rPr>
          <w:spacing w:val="-9"/>
          <w:sz w:val="16"/>
        </w:rPr>
        <w:t xml:space="preserve"> </w:t>
      </w:r>
      <w:r w:rsidRPr="00B95907">
        <w:rPr>
          <w:sz w:val="16"/>
        </w:rPr>
        <w:t>this</w:t>
      </w:r>
      <w:r w:rsidRPr="00B95907">
        <w:rPr>
          <w:spacing w:val="-9"/>
          <w:sz w:val="16"/>
        </w:rPr>
        <w:t xml:space="preserve"> </w:t>
      </w:r>
      <w:r w:rsidRPr="00B95907">
        <w:rPr>
          <w:sz w:val="16"/>
        </w:rPr>
        <w:t>licence</w:t>
      </w:r>
      <w:r w:rsidRPr="00B95907">
        <w:rPr>
          <w:spacing w:val="-1"/>
          <w:sz w:val="16"/>
        </w:rPr>
        <w:t>,</w:t>
      </w:r>
      <w:r w:rsidRPr="00B95907">
        <w:rPr>
          <w:spacing w:val="-8"/>
          <w:sz w:val="16"/>
        </w:rPr>
        <w:t xml:space="preserve"> </w:t>
      </w:r>
      <w:r w:rsidRPr="00B95907">
        <w:rPr>
          <w:sz w:val="16"/>
        </w:rPr>
        <w:t>visit</w:t>
      </w:r>
      <w:r w:rsidRPr="00B95907">
        <w:rPr>
          <w:spacing w:val="-5"/>
          <w:sz w:val="16"/>
        </w:rPr>
        <w:t xml:space="preserve"> </w:t>
      </w:r>
      <w:hyperlink r:id="rId31" w:history="1">
        <w:r w:rsidRPr="00B95907">
          <w:rPr>
            <w:rStyle w:val="Hyperlink"/>
            <w:sz w:val="16"/>
          </w:rPr>
          <w:t>https://creativecommons.org/licenses/by/4.0/</w:t>
        </w:r>
      </w:hyperlink>
      <w:r w:rsidRPr="00B95907">
        <w:rPr>
          <w:sz w:val="16"/>
        </w:rPr>
        <w:t>.</w:t>
      </w:r>
      <w:r w:rsidRPr="00114CCB">
        <w:rPr>
          <w:sz w:val="16"/>
        </w:rPr>
        <w:t xml:space="preserve"> </w:t>
      </w:r>
    </w:p>
    <w:p w14:paraId="6CBD39C4" w14:textId="77777777" w:rsidR="00C9692A" w:rsidRDefault="00C9692A" w:rsidP="00C9692A">
      <w:pPr>
        <w:pStyle w:val="DPCbody"/>
      </w:pPr>
    </w:p>
    <w:sectPr w:rsidR="00C9692A" w:rsidSect="001B5CC1">
      <w:headerReference w:type="even" r:id="rId32"/>
      <w:headerReference w:type="default" r:id="rId33"/>
      <w:footerReference w:type="default" r:id="rId34"/>
      <w:headerReference w:type="first" r:id="rId35"/>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BF64" w14:textId="77777777" w:rsidR="00273627" w:rsidRDefault="00273627">
      <w:r>
        <w:separator/>
      </w:r>
    </w:p>
  </w:endnote>
  <w:endnote w:type="continuationSeparator" w:id="0">
    <w:p w14:paraId="09314441" w14:textId="77777777" w:rsidR="00273627" w:rsidRDefault="0027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D90E" w14:textId="77777777" w:rsidR="004800A3" w:rsidRDefault="00F010A2" w:rsidP="00F010A2">
    <w:pPr>
      <w:pStyle w:val="Footer"/>
      <w:rPr>
        <w:rFonts w:ascii="Arial" w:hAnsi="Arial"/>
        <w:b/>
        <w:color w:val="3F3F3F"/>
      </w:rPr>
    </w:pPr>
    <w:bookmarkStart w:id="0" w:name="aliashNonProtectiveMarki1FooterEvenPages"/>
    <w:r>
      <w:rPr>
        <w:rFonts w:ascii="Arial" w:hAnsi="Arial"/>
        <w:b/>
        <w:color w:val="3F3F3F"/>
      </w:rPr>
      <w:t>Public</w:t>
    </w:r>
  </w:p>
  <w:bookmarkEnd w:id="0"/>
  <w:p w14:paraId="5FCCD39D" w14:textId="77777777" w:rsidR="004800A3" w:rsidRDefault="0048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05E6" w14:textId="77777777" w:rsidR="004800A3" w:rsidRDefault="009849EE" w:rsidP="00F010A2">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72064" behindDoc="0" locked="0" layoutInCell="0" allowOverlap="1" wp14:anchorId="7B27288D" wp14:editId="284B9652">
              <wp:simplePos x="0" y="0"/>
              <wp:positionH relativeFrom="page">
                <wp:posOffset>0</wp:posOffset>
              </wp:positionH>
              <wp:positionV relativeFrom="page">
                <wp:posOffset>10234930</wp:posOffset>
              </wp:positionV>
              <wp:extent cx="7560310" cy="266700"/>
              <wp:effectExtent l="0" t="0" r="0" b="0"/>
              <wp:wrapNone/>
              <wp:docPr id="12" name="MSIPCMdd2647ee90bb0938a26ecf0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936A3" w14:textId="77777777" w:rsidR="009849EE" w:rsidRPr="009849EE" w:rsidRDefault="009849EE" w:rsidP="009849EE">
                          <w:pPr>
                            <w:rPr>
                              <w:rFonts w:ascii="Calibri" w:hAnsi="Calibri" w:cs="Calibri"/>
                              <w:color w:val="000000"/>
                              <w:sz w:val="22"/>
                            </w:rPr>
                          </w:pPr>
                          <w:r w:rsidRPr="009849E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27288D" id="_x0000_t202" coordsize="21600,21600" o:spt="202" path="m,l,21600r21600,l21600,xe">
              <v:stroke joinstyle="miter"/>
              <v:path gradientshapeok="t" o:connecttype="rect"/>
            </v:shapetype>
            <v:shape id="MSIPCMdd2647ee90bb0938a26ecf03"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3AhQa7MCAABJBQAA&#10;DgAAAAAAAAAAAAAAAAAuAgAAZHJzL2Uyb0RvYy54bWxQSwECLQAUAAYACAAAACEAYBHGJt4AAAAL&#10;AQAADwAAAAAAAAAAAAAAAAANBQAAZHJzL2Rvd25yZXYueG1sUEsFBgAAAAAEAAQA8wAAABgGAAAA&#10;AA==&#10;" o:allowincell="f" filled="f" stroked="f" strokeweight=".5pt">
              <v:textbox inset="20pt,0,,0">
                <w:txbxContent>
                  <w:p w14:paraId="240936A3" w14:textId="77777777" w:rsidR="009849EE" w:rsidRPr="009849EE" w:rsidRDefault="009849EE" w:rsidP="009849EE">
                    <w:pPr>
                      <w:rPr>
                        <w:rFonts w:ascii="Calibri" w:hAnsi="Calibri" w:cs="Calibri"/>
                        <w:color w:val="000000"/>
                        <w:sz w:val="22"/>
                      </w:rPr>
                    </w:pPr>
                    <w:r w:rsidRPr="009849EE">
                      <w:rPr>
                        <w:rFonts w:ascii="Calibri" w:hAnsi="Calibri" w:cs="Calibri"/>
                        <w:color w:val="000000"/>
                        <w:sz w:val="22"/>
                      </w:rPr>
                      <w:t>OFFICIAL</w:t>
                    </w:r>
                  </w:p>
                </w:txbxContent>
              </v:textbox>
              <w10:wrap anchorx="page" anchory="page"/>
            </v:shape>
          </w:pict>
        </mc:Fallback>
      </mc:AlternateContent>
    </w:r>
    <w:r w:rsidR="00F010A2">
      <w:rPr>
        <w:rFonts w:ascii="Arial" w:hAnsi="Arial"/>
        <w:b/>
        <w:color w:val="3F3F3F"/>
      </w:rPr>
      <w:t>Public</w:t>
    </w:r>
  </w:p>
  <w:bookmarkEnd w:id="1"/>
  <w:p w14:paraId="1081D699" w14:textId="77777777" w:rsidR="004800A3" w:rsidRDefault="004800A3">
    <w:pPr>
      <w:pStyle w:val="Footer"/>
    </w:pPr>
    <w:r>
      <w:rPr>
        <w:noProof/>
        <w:lang w:eastAsia="en-AU"/>
      </w:rPr>
      <w:drawing>
        <wp:anchor distT="0" distB="0" distL="114300" distR="114300" simplePos="0" relativeHeight="251660800" behindDoc="0" locked="1" layoutInCell="0" allowOverlap="1" wp14:anchorId="357D9B97" wp14:editId="2EC6C0B4">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92E9" w14:textId="77777777" w:rsidR="004800A3" w:rsidRDefault="00F010A2" w:rsidP="00F010A2">
    <w:pPr>
      <w:pStyle w:val="Footer"/>
      <w:rPr>
        <w:rFonts w:ascii="Arial" w:hAnsi="Arial"/>
        <w:b/>
        <w:color w:val="3F3F3F"/>
      </w:rPr>
    </w:pPr>
    <w:bookmarkStart w:id="2" w:name="aliashNonProtectiveMarki1FooterFirstPage"/>
    <w:r>
      <w:rPr>
        <w:rFonts w:ascii="Arial" w:hAnsi="Arial"/>
        <w:b/>
        <w:color w:val="3F3F3F"/>
      </w:rPr>
      <w:t>Public</w:t>
    </w:r>
  </w:p>
  <w:bookmarkEnd w:id="2"/>
  <w:p w14:paraId="323EDA06" w14:textId="77777777" w:rsidR="004800A3" w:rsidRDefault="004800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C8B1" w14:textId="77777777" w:rsidR="009A063B" w:rsidRDefault="009849EE" w:rsidP="00F010A2">
    <w:pPr>
      <w:pStyle w:val="DPCfooter"/>
      <w:rPr>
        <w:rFonts w:ascii="Arial" w:hAnsi="Arial" w:cs="Arial"/>
        <w:b/>
        <w:color w:val="3F3F3F"/>
        <w:sz w:val="20"/>
      </w:rPr>
    </w:pPr>
    <w:bookmarkStart w:id="8" w:name="aliashNonProtectiveMarking2FooterPrimary"/>
    <w:r>
      <w:rPr>
        <w:rFonts w:ascii="Arial" w:hAnsi="Arial" w:cs="Arial"/>
        <w:b/>
        <w:noProof/>
        <w:color w:val="3F3F3F"/>
        <w:sz w:val="20"/>
      </w:rPr>
      <mc:AlternateContent>
        <mc:Choice Requires="wps">
          <w:drawing>
            <wp:anchor distT="0" distB="0" distL="114300" distR="114300" simplePos="0" relativeHeight="251673088" behindDoc="0" locked="0" layoutInCell="0" allowOverlap="1" wp14:anchorId="76D28D3F" wp14:editId="06819257">
              <wp:simplePos x="0" y="0"/>
              <wp:positionH relativeFrom="page">
                <wp:posOffset>0</wp:posOffset>
              </wp:positionH>
              <wp:positionV relativeFrom="page">
                <wp:posOffset>10234930</wp:posOffset>
              </wp:positionV>
              <wp:extent cx="7560310" cy="266700"/>
              <wp:effectExtent l="0" t="0" r="0" b="0"/>
              <wp:wrapNone/>
              <wp:docPr id="13" name="MSIPCMef544a2cb60accca3ec8277a"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598E7" w14:textId="77777777" w:rsidR="009849EE" w:rsidRPr="009849EE" w:rsidRDefault="009849EE" w:rsidP="009849EE">
                          <w:pPr>
                            <w:rPr>
                              <w:rFonts w:ascii="Calibri" w:hAnsi="Calibri" w:cs="Calibri"/>
                              <w:color w:val="000000"/>
                              <w:sz w:val="22"/>
                            </w:rPr>
                          </w:pPr>
                          <w:r w:rsidRPr="009849E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D28D3F" id="_x0000_t202" coordsize="21600,21600" o:spt="202" path="m,l,21600r21600,l21600,xe">
              <v:stroke joinstyle="miter"/>
              <v:path gradientshapeok="t" o:connecttype="rect"/>
            </v:shapetype>
            <v:shape id="MSIPCMef544a2cb60accca3ec8277a"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BitUbq0AgAAUAUA&#10;AA4AAAAAAAAAAAAAAAAALgIAAGRycy9lMm9Eb2MueG1sUEsBAi0AFAAGAAgAAAAhAGARxibeAAAA&#10;CwEAAA8AAAAAAAAAAAAAAAAADgUAAGRycy9kb3ducmV2LnhtbFBLBQYAAAAABAAEAPMAAAAZBgAA&#10;AAA=&#10;" o:allowincell="f" filled="f" stroked="f" strokeweight=".5pt">
              <v:textbox inset="20pt,0,,0">
                <w:txbxContent>
                  <w:p w14:paraId="2EE598E7" w14:textId="77777777" w:rsidR="009849EE" w:rsidRPr="009849EE" w:rsidRDefault="009849EE" w:rsidP="009849EE">
                    <w:pPr>
                      <w:rPr>
                        <w:rFonts w:ascii="Calibri" w:hAnsi="Calibri" w:cs="Calibri"/>
                        <w:color w:val="000000"/>
                        <w:sz w:val="22"/>
                      </w:rPr>
                    </w:pPr>
                    <w:r w:rsidRPr="009849EE">
                      <w:rPr>
                        <w:rFonts w:ascii="Calibri" w:hAnsi="Calibri" w:cs="Calibri"/>
                        <w:color w:val="000000"/>
                        <w:sz w:val="22"/>
                      </w:rPr>
                      <w:t>OFFICIAL</w:t>
                    </w:r>
                  </w:p>
                </w:txbxContent>
              </v:textbox>
              <w10:wrap anchorx="page" anchory="page"/>
            </v:shape>
          </w:pict>
        </mc:Fallback>
      </mc:AlternateContent>
    </w:r>
    <w:r w:rsidR="00F010A2">
      <w:rPr>
        <w:rFonts w:ascii="Arial" w:hAnsi="Arial" w:cs="Arial"/>
        <w:b/>
        <w:color w:val="3F3F3F"/>
        <w:sz w:val="20"/>
      </w:rPr>
      <w:t>Public</w:t>
    </w:r>
  </w:p>
  <w:bookmarkEnd w:id="8"/>
  <w:p w14:paraId="3927A2A5" w14:textId="77777777" w:rsidR="004800A3" w:rsidRPr="00A95E3B" w:rsidRDefault="004800A3" w:rsidP="00B01E7E">
    <w:pPr>
      <w:pStyle w:val="DPCfooter"/>
    </w:pPr>
    <w:r>
      <w:t>Data Exchange Framework</w:t>
    </w:r>
    <w:r w:rsidRPr="00A95E3B">
      <w:tab/>
    </w:r>
    <w:r w:rsidRPr="00A95E3B">
      <w:fldChar w:fldCharType="begin"/>
    </w:r>
    <w:r w:rsidRPr="00A95E3B">
      <w:instrText xml:space="preserve"> PAGE   \* MERGEFORMAT </w:instrText>
    </w:r>
    <w:r w:rsidRPr="00A95E3B">
      <w:fldChar w:fldCharType="separate"/>
    </w:r>
    <w:r w:rsidR="00F010A2">
      <w:rPr>
        <w:noProof/>
      </w:rPr>
      <w:t>2</w:t>
    </w:r>
    <w:r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FD73" w14:textId="77777777" w:rsidR="00273627" w:rsidRDefault="00273627" w:rsidP="002862F1">
      <w:pPr>
        <w:spacing w:before="120"/>
      </w:pPr>
      <w:r>
        <w:separator/>
      </w:r>
    </w:p>
  </w:footnote>
  <w:footnote w:type="continuationSeparator" w:id="0">
    <w:p w14:paraId="7691F2A6" w14:textId="77777777" w:rsidR="00273627" w:rsidRDefault="00273627">
      <w:r>
        <w:continuationSeparator/>
      </w:r>
    </w:p>
  </w:footnote>
  <w:footnote w:id="1">
    <w:p w14:paraId="262066FB" w14:textId="77777777" w:rsidR="0047161D" w:rsidRDefault="0047161D">
      <w:pPr>
        <w:pStyle w:val="FootnoteText"/>
      </w:pPr>
      <w:r>
        <w:rPr>
          <w:rStyle w:val="FootnoteReference"/>
        </w:rPr>
        <w:footnoteRef/>
      </w:r>
      <w:r>
        <w:t xml:space="preserve"> Based on the principles of the </w:t>
      </w:r>
      <w:r w:rsidRPr="0047161D">
        <w:t>Administrative Data Exchange Protocol for Tasmania</w:t>
      </w:r>
      <w:r>
        <w:t xml:space="preserve">, Tasmanian Government, </w:t>
      </w:r>
      <w:hyperlink r:id="rId1" w:history="1">
        <w:r w:rsidRPr="0066662D">
          <w:rPr>
            <w:rStyle w:val="Hyperlink"/>
          </w:rPr>
          <w:t>http://www.egovernment.tas.gov.au/stats_matter/adept</w:t>
        </w:r>
      </w:hyperlink>
      <w:r>
        <w:t xml:space="preserve"> </w:t>
      </w:r>
    </w:p>
  </w:footnote>
  <w:footnote w:id="2">
    <w:p w14:paraId="441B7729" w14:textId="77777777" w:rsidR="004800A3" w:rsidRDefault="004800A3">
      <w:pPr>
        <w:pStyle w:val="FootnoteText"/>
      </w:pPr>
      <w:r>
        <w:rPr>
          <w:rStyle w:val="FootnoteReference"/>
        </w:rPr>
        <w:footnoteRef/>
      </w:r>
      <w:r>
        <w:t xml:space="preserve"> The Victorian Government’s Data Reform Strategy </w:t>
      </w:r>
    </w:p>
  </w:footnote>
  <w:footnote w:id="3">
    <w:p w14:paraId="6CB740C6" w14:textId="77777777" w:rsidR="004800A3" w:rsidRDefault="004800A3">
      <w:pPr>
        <w:pStyle w:val="FootnoteText"/>
      </w:pPr>
      <w:r>
        <w:rPr>
          <w:rStyle w:val="FootnoteReference"/>
        </w:rPr>
        <w:footnoteRef/>
      </w:r>
      <w:r>
        <w:t xml:space="preserve"> </w:t>
      </w:r>
      <w:r w:rsidR="00E41C1F" w:rsidRPr="00E41C1F">
        <w:t>RASCI Responsibility Matrix</w:t>
      </w:r>
      <w:r>
        <w:t xml:space="preserve">, </w:t>
      </w:r>
      <w:hyperlink r:id="rId2" w:history="1">
        <w:r w:rsidR="006D56EE" w:rsidRPr="00C22302">
          <w:rPr>
            <w:rStyle w:val="Hyperlink"/>
          </w:rPr>
          <w:t>https://managementmania.com/en/rasci-responsibility-matrix</w:t>
        </w:r>
      </w:hyperlink>
      <w:r w:rsidR="006D56E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FBFE" w14:textId="77777777" w:rsidR="004800A3" w:rsidRDefault="0048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4462" w14:textId="77777777" w:rsidR="004800A3" w:rsidRDefault="00480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E5F8" w14:textId="77777777" w:rsidR="004800A3" w:rsidRDefault="004800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6C52" w14:textId="77777777" w:rsidR="004800A3" w:rsidRDefault="004800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721D" w14:textId="77777777" w:rsidR="004800A3" w:rsidRDefault="004800A3">
    <w:pPr>
      <w:pStyle w:val="Header"/>
    </w:pPr>
    <w:r>
      <w:rPr>
        <w:noProof/>
        <w:lang w:eastAsia="en-AU"/>
      </w:rPr>
      <w:drawing>
        <wp:anchor distT="0" distB="0" distL="114300" distR="114300" simplePos="0" relativeHeight="251671040" behindDoc="0" locked="1" layoutInCell="0" allowOverlap="1" wp14:anchorId="5B5BCB11" wp14:editId="6B8A32E0">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6355" w14:textId="77777777" w:rsidR="004800A3" w:rsidRDefault="0048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lvlText w:val="▪"/>
      <w:lvlJc w:val="left"/>
      <w:pPr>
        <w:ind w:left="-320" w:hanging="227"/>
      </w:pPr>
      <w:rPr>
        <w:rFonts w:ascii="Arial" w:hAnsi="Arial" w:hint="default"/>
        <w:color w:val="auto"/>
      </w:rPr>
    </w:lvl>
    <w:lvl w:ilvl="1">
      <w:start w:val="1"/>
      <w:numFmt w:val="none"/>
      <w:lvlRestart w:val="0"/>
      <w:lvlText w:val=""/>
      <w:lvlJc w:val="left"/>
      <w:pPr>
        <w:ind w:left="-547" w:firstLine="0"/>
      </w:pPr>
      <w:rPr>
        <w:rFonts w:hint="default"/>
      </w:rPr>
    </w:lvl>
    <w:lvl w:ilvl="2">
      <w:start w:val="1"/>
      <w:numFmt w:val="none"/>
      <w:lvlRestart w:val="0"/>
      <w:lvlText w:val=""/>
      <w:lvlJc w:val="left"/>
      <w:pPr>
        <w:ind w:left="-547" w:firstLine="0"/>
      </w:pPr>
      <w:rPr>
        <w:rFonts w:hint="default"/>
      </w:rPr>
    </w:lvl>
    <w:lvl w:ilvl="3">
      <w:start w:val="1"/>
      <w:numFmt w:val="none"/>
      <w:lvlRestart w:val="0"/>
      <w:lvlText w:val=""/>
      <w:lvlJc w:val="left"/>
      <w:pPr>
        <w:ind w:left="-547" w:firstLine="0"/>
      </w:pPr>
      <w:rPr>
        <w:rFonts w:hint="default"/>
      </w:rPr>
    </w:lvl>
    <w:lvl w:ilvl="4">
      <w:start w:val="1"/>
      <w:numFmt w:val="none"/>
      <w:lvlRestart w:val="0"/>
      <w:lvlText w:val=""/>
      <w:lvlJc w:val="left"/>
      <w:pPr>
        <w:ind w:left="-547" w:firstLine="0"/>
      </w:pPr>
      <w:rPr>
        <w:rFonts w:hint="default"/>
      </w:rPr>
    </w:lvl>
    <w:lvl w:ilvl="5">
      <w:start w:val="1"/>
      <w:numFmt w:val="none"/>
      <w:lvlRestart w:val="0"/>
      <w:lvlText w:val=""/>
      <w:lvlJc w:val="left"/>
      <w:pPr>
        <w:ind w:left="-547" w:firstLine="0"/>
      </w:pPr>
      <w:rPr>
        <w:rFonts w:hint="default"/>
      </w:rPr>
    </w:lvl>
    <w:lvl w:ilvl="6">
      <w:start w:val="1"/>
      <w:numFmt w:val="none"/>
      <w:lvlRestart w:val="0"/>
      <w:lvlText w:val=""/>
      <w:lvlJc w:val="left"/>
      <w:pPr>
        <w:ind w:left="-547" w:firstLine="0"/>
      </w:pPr>
      <w:rPr>
        <w:rFonts w:hint="default"/>
      </w:rPr>
    </w:lvl>
    <w:lvl w:ilvl="7">
      <w:start w:val="1"/>
      <w:numFmt w:val="none"/>
      <w:lvlRestart w:val="0"/>
      <w:lvlText w:val=""/>
      <w:lvlJc w:val="left"/>
      <w:pPr>
        <w:ind w:left="-547" w:firstLine="0"/>
      </w:pPr>
      <w:rPr>
        <w:rFonts w:hint="default"/>
      </w:rPr>
    </w:lvl>
    <w:lvl w:ilvl="8">
      <w:start w:val="1"/>
      <w:numFmt w:val="none"/>
      <w:lvlRestart w:val="0"/>
      <w:lvlText w:val=""/>
      <w:lvlJc w:val="left"/>
      <w:pPr>
        <w:ind w:left="-547" w:firstLine="0"/>
      </w:pPr>
      <w:rPr>
        <w:rFonts w:hint="default"/>
      </w:rPr>
    </w:lvl>
  </w:abstractNum>
  <w:abstractNum w:abstractNumId="1" w15:restartNumberingAfterBreak="0">
    <w:nsid w:val="0A6D204A"/>
    <w:multiLevelType w:val="hybridMultilevel"/>
    <w:tmpl w:val="DC5E7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F448DD"/>
    <w:multiLevelType w:val="hybridMultilevel"/>
    <w:tmpl w:val="00BC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110D05"/>
    <w:multiLevelType w:val="hybridMultilevel"/>
    <w:tmpl w:val="3BC0B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C27F6"/>
    <w:multiLevelType w:val="hybridMultilevel"/>
    <w:tmpl w:val="9A6CA3C8"/>
    <w:lvl w:ilvl="0" w:tplc="0C090001">
      <w:start w:val="1"/>
      <w:numFmt w:val="bullet"/>
      <w:lvlText w:val=""/>
      <w:lvlJc w:val="left"/>
      <w:pPr>
        <w:ind w:left="173" w:hanging="360"/>
      </w:pPr>
      <w:rPr>
        <w:rFonts w:ascii="Symbol" w:hAnsi="Symbol" w:hint="default"/>
      </w:rPr>
    </w:lvl>
    <w:lvl w:ilvl="1" w:tplc="0C090003" w:tentative="1">
      <w:start w:val="1"/>
      <w:numFmt w:val="bullet"/>
      <w:lvlText w:val="o"/>
      <w:lvlJc w:val="left"/>
      <w:pPr>
        <w:ind w:left="893" w:hanging="360"/>
      </w:pPr>
      <w:rPr>
        <w:rFonts w:ascii="Courier New" w:hAnsi="Courier New" w:cs="Courier New" w:hint="default"/>
      </w:rPr>
    </w:lvl>
    <w:lvl w:ilvl="2" w:tplc="0C090005" w:tentative="1">
      <w:start w:val="1"/>
      <w:numFmt w:val="bullet"/>
      <w:lvlText w:val=""/>
      <w:lvlJc w:val="left"/>
      <w:pPr>
        <w:ind w:left="1613" w:hanging="360"/>
      </w:pPr>
      <w:rPr>
        <w:rFonts w:ascii="Wingdings" w:hAnsi="Wingdings" w:hint="default"/>
      </w:rPr>
    </w:lvl>
    <w:lvl w:ilvl="3" w:tplc="0C090001" w:tentative="1">
      <w:start w:val="1"/>
      <w:numFmt w:val="bullet"/>
      <w:lvlText w:val=""/>
      <w:lvlJc w:val="left"/>
      <w:pPr>
        <w:ind w:left="2333" w:hanging="360"/>
      </w:pPr>
      <w:rPr>
        <w:rFonts w:ascii="Symbol" w:hAnsi="Symbol" w:hint="default"/>
      </w:rPr>
    </w:lvl>
    <w:lvl w:ilvl="4" w:tplc="0C090003" w:tentative="1">
      <w:start w:val="1"/>
      <w:numFmt w:val="bullet"/>
      <w:lvlText w:val="o"/>
      <w:lvlJc w:val="left"/>
      <w:pPr>
        <w:ind w:left="3053" w:hanging="360"/>
      </w:pPr>
      <w:rPr>
        <w:rFonts w:ascii="Courier New" w:hAnsi="Courier New" w:cs="Courier New" w:hint="default"/>
      </w:rPr>
    </w:lvl>
    <w:lvl w:ilvl="5" w:tplc="0C090005" w:tentative="1">
      <w:start w:val="1"/>
      <w:numFmt w:val="bullet"/>
      <w:lvlText w:val=""/>
      <w:lvlJc w:val="left"/>
      <w:pPr>
        <w:ind w:left="3773" w:hanging="360"/>
      </w:pPr>
      <w:rPr>
        <w:rFonts w:ascii="Wingdings" w:hAnsi="Wingdings" w:hint="default"/>
      </w:rPr>
    </w:lvl>
    <w:lvl w:ilvl="6" w:tplc="0C090001" w:tentative="1">
      <w:start w:val="1"/>
      <w:numFmt w:val="bullet"/>
      <w:lvlText w:val=""/>
      <w:lvlJc w:val="left"/>
      <w:pPr>
        <w:ind w:left="4493" w:hanging="360"/>
      </w:pPr>
      <w:rPr>
        <w:rFonts w:ascii="Symbol" w:hAnsi="Symbol" w:hint="default"/>
      </w:rPr>
    </w:lvl>
    <w:lvl w:ilvl="7" w:tplc="0C090003" w:tentative="1">
      <w:start w:val="1"/>
      <w:numFmt w:val="bullet"/>
      <w:lvlText w:val="o"/>
      <w:lvlJc w:val="left"/>
      <w:pPr>
        <w:ind w:left="5213" w:hanging="360"/>
      </w:pPr>
      <w:rPr>
        <w:rFonts w:ascii="Courier New" w:hAnsi="Courier New" w:cs="Courier New" w:hint="default"/>
      </w:rPr>
    </w:lvl>
    <w:lvl w:ilvl="8" w:tplc="0C090005" w:tentative="1">
      <w:start w:val="1"/>
      <w:numFmt w:val="bullet"/>
      <w:lvlText w:val=""/>
      <w:lvlJc w:val="left"/>
      <w:pPr>
        <w:ind w:left="5933" w:hanging="360"/>
      </w:pPr>
      <w:rPr>
        <w:rFonts w:ascii="Wingdings" w:hAnsi="Wingdings" w:hint="default"/>
      </w:rPr>
    </w:lvl>
  </w:abstractNum>
  <w:abstractNum w:abstractNumId="7" w15:restartNumberingAfterBreak="0">
    <w:nsid w:val="344337A8"/>
    <w:multiLevelType w:val="hybridMultilevel"/>
    <w:tmpl w:val="E138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2478D2"/>
    <w:multiLevelType w:val="multilevel"/>
    <w:tmpl w:val="6B4EFD40"/>
    <w:styleLink w:val="ZZBullets"/>
    <w:lvl w:ilvl="0">
      <w:start w:val="1"/>
      <w:numFmt w:val="bullet"/>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D120F67"/>
    <w:multiLevelType w:val="hybridMultilevel"/>
    <w:tmpl w:val="0E0C5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8E2BD2"/>
    <w:multiLevelType w:val="hybridMultilevel"/>
    <w:tmpl w:val="99A61026"/>
    <w:lvl w:ilvl="0" w:tplc="0C090001">
      <w:start w:val="1"/>
      <w:numFmt w:val="bullet"/>
      <w:lvlText w:val=""/>
      <w:lvlJc w:val="left"/>
      <w:pPr>
        <w:ind w:left="-14" w:hanging="360"/>
      </w:pPr>
      <w:rPr>
        <w:rFonts w:ascii="Symbol" w:hAnsi="Symbol" w:hint="default"/>
      </w:rPr>
    </w:lvl>
    <w:lvl w:ilvl="1" w:tplc="0C090003" w:tentative="1">
      <w:start w:val="1"/>
      <w:numFmt w:val="bullet"/>
      <w:lvlText w:val="o"/>
      <w:lvlJc w:val="left"/>
      <w:pPr>
        <w:ind w:left="706" w:hanging="360"/>
      </w:pPr>
      <w:rPr>
        <w:rFonts w:ascii="Courier New" w:hAnsi="Courier New" w:cs="Courier New" w:hint="default"/>
      </w:rPr>
    </w:lvl>
    <w:lvl w:ilvl="2" w:tplc="0C090005" w:tentative="1">
      <w:start w:val="1"/>
      <w:numFmt w:val="bullet"/>
      <w:lvlText w:val=""/>
      <w:lvlJc w:val="left"/>
      <w:pPr>
        <w:ind w:left="1426" w:hanging="360"/>
      </w:pPr>
      <w:rPr>
        <w:rFonts w:ascii="Wingdings" w:hAnsi="Wingdings" w:hint="default"/>
      </w:rPr>
    </w:lvl>
    <w:lvl w:ilvl="3" w:tplc="0C090001" w:tentative="1">
      <w:start w:val="1"/>
      <w:numFmt w:val="bullet"/>
      <w:lvlText w:val=""/>
      <w:lvlJc w:val="left"/>
      <w:pPr>
        <w:ind w:left="2146" w:hanging="360"/>
      </w:pPr>
      <w:rPr>
        <w:rFonts w:ascii="Symbol" w:hAnsi="Symbol" w:hint="default"/>
      </w:rPr>
    </w:lvl>
    <w:lvl w:ilvl="4" w:tplc="0C090003" w:tentative="1">
      <w:start w:val="1"/>
      <w:numFmt w:val="bullet"/>
      <w:lvlText w:val="o"/>
      <w:lvlJc w:val="left"/>
      <w:pPr>
        <w:ind w:left="2866" w:hanging="360"/>
      </w:pPr>
      <w:rPr>
        <w:rFonts w:ascii="Courier New" w:hAnsi="Courier New" w:cs="Courier New" w:hint="default"/>
      </w:rPr>
    </w:lvl>
    <w:lvl w:ilvl="5" w:tplc="0C090005" w:tentative="1">
      <w:start w:val="1"/>
      <w:numFmt w:val="bullet"/>
      <w:lvlText w:val=""/>
      <w:lvlJc w:val="left"/>
      <w:pPr>
        <w:ind w:left="3586" w:hanging="360"/>
      </w:pPr>
      <w:rPr>
        <w:rFonts w:ascii="Wingdings" w:hAnsi="Wingdings" w:hint="default"/>
      </w:rPr>
    </w:lvl>
    <w:lvl w:ilvl="6" w:tplc="0C090001" w:tentative="1">
      <w:start w:val="1"/>
      <w:numFmt w:val="bullet"/>
      <w:lvlText w:val=""/>
      <w:lvlJc w:val="left"/>
      <w:pPr>
        <w:ind w:left="4306" w:hanging="360"/>
      </w:pPr>
      <w:rPr>
        <w:rFonts w:ascii="Symbol" w:hAnsi="Symbol" w:hint="default"/>
      </w:rPr>
    </w:lvl>
    <w:lvl w:ilvl="7" w:tplc="0C090003" w:tentative="1">
      <w:start w:val="1"/>
      <w:numFmt w:val="bullet"/>
      <w:lvlText w:val="o"/>
      <w:lvlJc w:val="left"/>
      <w:pPr>
        <w:ind w:left="5026" w:hanging="360"/>
      </w:pPr>
      <w:rPr>
        <w:rFonts w:ascii="Courier New" w:hAnsi="Courier New" w:cs="Courier New" w:hint="default"/>
      </w:rPr>
    </w:lvl>
    <w:lvl w:ilvl="8" w:tplc="0C090005" w:tentative="1">
      <w:start w:val="1"/>
      <w:numFmt w:val="bullet"/>
      <w:lvlText w:val=""/>
      <w:lvlJc w:val="left"/>
      <w:pPr>
        <w:ind w:left="5746" w:hanging="360"/>
      </w:pPr>
      <w:rPr>
        <w:rFonts w:ascii="Wingdings" w:hAnsi="Wingdings" w:hint="default"/>
      </w:rPr>
    </w:lvl>
  </w:abstractNum>
  <w:abstractNum w:abstractNumId="11" w15:restartNumberingAfterBreak="0">
    <w:nsid w:val="419529CB"/>
    <w:multiLevelType w:val="hybridMultilevel"/>
    <w:tmpl w:val="F36AE348"/>
    <w:lvl w:ilvl="0" w:tplc="0C090001">
      <w:start w:val="1"/>
      <w:numFmt w:val="bullet"/>
      <w:lvlText w:val=""/>
      <w:lvlJc w:val="left"/>
      <w:pPr>
        <w:ind w:left="706" w:hanging="360"/>
      </w:pPr>
      <w:rPr>
        <w:rFonts w:ascii="Symbol" w:hAnsi="Symbol" w:hint="default"/>
      </w:rPr>
    </w:lvl>
    <w:lvl w:ilvl="1" w:tplc="0C090003" w:tentative="1">
      <w:start w:val="1"/>
      <w:numFmt w:val="bullet"/>
      <w:lvlText w:val="o"/>
      <w:lvlJc w:val="left"/>
      <w:pPr>
        <w:ind w:left="1426" w:hanging="360"/>
      </w:pPr>
      <w:rPr>
        <w:rFonts w:ascii="Courier New" w:hAnsi="Courier New" w:cs="Courier New" w:hint="default"/>
      </w:rPr>
    </w:lvl>
    <w:lvl w:ilvl="2" w:tplc="0C090005" w:tentative="1">
      <w:start w:val="1"/>
      <w:numFmt w:val="bullet"/>
      <w:lvlText w:val=""/>
      <w:lvlJc w:val="left"/>
      <w:pPr>
        <w:ind w:left="2146" w:hanging="360"/>
      </w:pPr>
      <w:rPr>
        <w:rFonts w:ascii="Wingdings" w:hAnsi="Wingdings" w:hint="default"/>
      </w:rPr>
    </w:lvl>
    <w:lvl w:ilvl="3" w:tplc="0C090001" w:tentative="1">
      <w:start w:val="1"/>
      <w:numFmt w:val="bullet"/>
      <w:lvlText w:val=""/>
      <w:lvlJc w:val="left"/>
      <w:pPr>
        <w:ind w:left="2866" w:hanging="360"/>
      </w:pPr>
      <w:rPr>
        <w:rFonts w:ascii="Symbol" w:hAnsi="Symbol" w:hint="default"/>
      </w:rPr>
    </w:lvl>
    <w:lvl w:ilvl="4" w:tplc="0C090003" w:tentative="1">
      <w:start w:val="1"/>
      <w:numFmt w:val="bullet"/>
      <w:lvlText w:val="o"/>
      <w:lvlJc w:val="left"/>
      <w:pPr>
        <w:ind w:left="3586" w:hanging="360"/>
      </w:pPr>
      <w:rPr>
        <w:rFonts w:ascii="Courier New" w:hAnsi="Courier New" w:cs="Courier New" w:hint="default"/>
      </w:rPr>
    </w:lvl>
    <w:lvl w:ilvl="5" w:tplc="0C090005" w:tentative="1">
      <w:start w:val="1"/>
      <w:numFmt w:val="bullet"/>
      <w:lvlText w:val=""/>
      <w:lvlJc w:val="left"/>
      <w:pPr>
        <w:ind w:left="4306" w:hanging="360"/>
      </w:pPr>
      <w:rPr>
        <w:rFonts w:ascii="Wingdings" w:hAnsi="Wingdings" w:hint="default"/>
      </w:rPr>
    </w:lvl>
    <w:lvl w:ilvl="6" w:tplc="0C090001" w:tentative="1">
      <w:start w:val="1"/>
      <w:numFmt w:val="bullet"/>
      <w:lvlText w:val=""/>
      <w:lvlJc w:val="left"/>
      <w:pPr>
        <w:ind w:left="5026" w:hanging="360"/>
      </w:pPr>
      <w:rPr>
        <w:rFonts w:ascii="Symbol" w:hAnsi="Symbol" w:hint="default"/>
      </w:rPr>
    </w:lvl>
    <w:lvl w:ilvl="7" w:tplc="0C090003" w:tentative="1">
      <w:start w:val="1"/>
      <w:numFmt w:val="bullet"/>
      <w:lvlText w:val="o"/>
      <w:lvlJc w:val="left"/>
      <w:pPr>
        <w:ind w:left="5746" w:hanging="360"/>
      </w:pPr>
      <w:rPr>
        <w:rFonts w:ascii="Courier New" w:hAnsi="Courier New" w:cs="Courier New" w:hint="default"/>
      </w:rPr>
    </w:lvl>
    <w:lvl w:ilvl="8" w:tplc="0C090005" w:tentative="1">
      <w:start w:val="1"/>
      <w:numFmt w:val="bullet"/>
      <w:lvlText w:val=""/>
      <w:lvlJc w:val="left"/>
      <w:pPr>
        <w:ind w:left="6466" w:hanging="360"/>
      </w:pPr>
      <w:rPr>
        <w:rFonts w:ascii="Wingdings" w:hAnsi="Wingdings" w:hint="default"/>
      </w:rPr>
    </w:lvl>
  </w:abstractNum>
  <w:abstractNum w:abstractNumId="12" w15:restartNumberingAfterBreak="0">
    <w:nsid w:val="42AF63C8"/>
    <w:multiLevelType w:val="hybridMultilevel"/>
    <w:tmpl w:val="6CA2085E"/>
    <w:lvl w:ilvl="0" w:tplc="0C090001">
      <w:start w:val="1"/>
      <w:numFmt w:val="bullet"/>
      <w:lvlText w:val=""/>
      <w:lvlJc w:val="left"/>
      <w:pPr>
        <w:ind w:left="-14" w:hanging="360"/>
      </w:pPr>
      <w:rPr>
        <w:rFonts w:ascii="Symbol" w:hAnsi="Symbol" w:hint="default"/>
      </w:rPr>
    </w:lvl>
    <w:lvl w:ilvl="1" w:tplc="0C090003" w:tentative="1">
      <w:start w:val="1"/>
      <w:numFmt w:val="bullet"/>
      <w:lvlText w:val="o"/>
      <w:lvlJc w:val="left"/>
      <w:pPr>
        <w:ind w:left="706" w:hanging="360"/>
      </w:pPr>
      <w:rPr>
        <w:rFonts w:ascii="Courier New" w:hAnsi="Courier New" w:cs="Courier New" w:hint="default"/>
      </w:rPr>
    </w:lvl>
    <w:lvl w:ilvl="2" w:tplc="0C090005" w:tentative="1">
      <w:start w:val="1"/>
      <w:numFmt w:val="bullet"/>
      <w:lvlText w:val=""/>
      <w:lvlJc w:val="left"/>
      <w:pPr>
        <w:ind w:left="1426" w:hanging="360"/>
      </w:pPr>
      <w:rPr>
        <w:rFonts w:ascii="Wingdings" w:hAnsi="Wingdings" w:hint="default"/>
      </w:rPr>
    </w:lvl>
    <w:lvl w:ilvl="3" w:tplc="0C090001" w:tentative="1">
      <w:start w:val="1"/>
      <w:numFmt w:val="bullet"/>
      <w:lvlText w:val=""/>
      <w:lvlJc w:val="left"/>
      <w:pPr>
        <w:ind w:left="2146" w:hanging="360"/>
      </w:pPr>
      <w:rPr>
        <w:rFonts w:ascii="Symbol" w:hAnsi="Symbol" w:hint="default"/>
      </w:rPr>
    </w:lvl>
    <w:lvl w:ilvl="4" w:tplc="0C090003" w:tentative="1">
      <w:start w:val="1"/>
      <w:numFmt w:val="bullet"/>
      <w:lvlText w:val="o"/>
      <w:lvlJc w:val="left"/>
      <w:pPr>
        <w:ind w:left="2866" w:hanging="360"/>
      </w:pPr>
      <w:rPr>
        <w:rFonts w:ascii="Courier New" w:hAnsi="Courier New" w:cs="Courier New" w:hint="default"/>
      </w:rPr>
    </w:lvl>
    <w:lvl w:ilvl="5" w:tplc="0C090005" w:tentative="1">
      <w:start w:val="1"/>
      <w:numFmt w:val="bullet"/>
      <w:lvlText w:val=""/>
      <w:lvlJc w:val="left"/>
      <w:pPr>
        <w:ind w:left="3586" w:hanging="360"/>
      </w:pPr>
      <w:rPr>
        <w:rFonts w:ascii="Wingdings" w:hAnsi="Wingdings" w:hint="default"/>
      </w:rPr>
    </w:lvl>
    <w:lvl w:ilvl="6" w:tplc="0C090001" w:tentative="1">
      <w:start w:val="1"/>
      <w:numFmt w:val="bullet"/>
      <w:lvlText w:val=""/>
      <w:lvlJc w:val="left"/>
      <w:pPr>
        <w:ind w:left="4306" w:hanging="360"/>
      </w:pPr>
      <w:rPr>
        <w:rFonts w:ascii="Symbol" w:hAnsi="Symbol" w:hint="default"/>
      </w:rPr>
    </w:lvl>
    <w:lvl w:ilvl="7" w:tplc="0C090003" w:tentative="1">
      <w:start w:val="1"/>
      <w:numFmt w:val="bullet"/>
      <w:lvlText w:val="o"/>
      <w:lvlJc w:val="left"/>
      <w:pPr>
        <w:ind w:left="5026" w:hanging="360"/>
      </w:pPr>
      <w:rPr>
        <w:rFonts w:ascii="Courier New" w:hAnsi="Courier New" w:cs="Courier New" w:hint="default"/>
      </w:rPr>
    </w:lvl>
    <w:lvl w:ilvl="8" w:tplc="0C090005" w:tentative="1">
      <w:start w:val="1"/>
      <w:numFmt w:val="bullet"/>
      <w:lvlText w:val=""/>
      <w:lvlJc w:val="left"/>
      <w:pPr>
        <w:ind w:left="5746" w:hanging="360"/>
      </w:pPr>
      <w:rPr>
        <w:rFonts w:ascii="Wingdings" w:hAnsi="Wingdings" w:hint="default"/>
      </w:rPr>
    </w:lvl>
  </w:abstractNum>
  <w:abstractNum w:abstractNumId="13" w15:restartNumberingAfterBreak="0">
    <w:nsid w:val="470713B2"/>
    <w:multiLevelType w:val="hybridMultilevel"/>
    <w:tmpl w:val="A5C8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F255B"/>
    <w:multiLevelType w:val="hybridMultilevel"/>
    <w:tmpl w:val="8BF22C36"/>
    <w:lvl w:ilvl="0" w:tplc="0C090001">
      <w:start w:val="1"/>
      <w:numFmt w:val="bullet"/>
      <w:lvlText w:val=""/>
      <w:lvlJc w:val="left"/>
      <w:pPr>
        <w:ind w:left="734" w:hanging="360"/>
      </w:pPr>
      <w:rPr>
        <w:rFonts w:ascii="Symbol" w:hAnsi="Symbol"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15" w15:restartNumberingAfterBreak="0">
    <w:nsid w:val="55090DD9"/>
    <w:multiLevelType w:val="hybridMultilevel"/>
    <w:tmpl w:val="E40401DA"/>
    <w:lvl w:ilvl="0" w:tplc="6F5EF534">
      <w:start w:val="1"/>
      <w:numFmt w:val="bullet"/>
      <w:lvlText w:val="•"/>
      <w:lvlJc w:val="left"/>
      <w:pPr>
        <w:tabs>
          <w:tab w:val="num" w:pos="720"/>
        </w:tabs>
        <w:ind w:left="720" w:hanging="360"/>
      </w:pPr>
      <w:rPr>
        <w:rFonts w:ascii="Arial" w:hAnsi="Arial" w:hint="default"/>
      </w:rPr>
    </w:lvl>
    <w:lvl w:ilvl="1" w:tplc="5E405798" w:tentative="1">
      <w:start w:val="1"/>
      <w:numFmt w:val="bullet"/>
      <w:lvlText w:val="•"/>
      <w:lvlJc w:val="left"/>
      <w:pPr>
        <w:tabs>
          <w:tab w:val="num" w:pos="1440"/>
        </w:tabs>
        <w:ind w:left="1440" w:hanging="360"/>
      </w:pPr>
      <w:rPr>
        <w:rFonts w:ascii="Arial" w:hAnsi="Arial" w:hint="default"/>
      </w:rPr>
    </w:lvl>
    <w:lvl w:ilvl="2" w:tplc="F4B0B01A" w:tentative="1">
      <w:start w:val="1"/>
      <w:numFmt w:val="bullet"/>
      <w:lvlText w:val="•"/>
      <w:lvlJc w:val="left"/>
      <w:pPr>
        <w:tabs>
          <w:tab w:val="num" w:pos="2160"/>
        </w:tabs>
        <w:ind w:left="2160" w:hanging="360"/>
      </w:pPr>
      <w:rPr>
        <w:rFonts w:ascii="Arial" w:hAnsi="Arial" w:hint="default"/>
      </w:rPr>
    </w:lvl>
    <w:lvl w:ilvl="3" w:tplc="76202A7A" w:tentative="1">
      <w:start w:val="1"/>
      <w:numFmt w:val="bullet"/>
      <w:lvlText w:val="•"/>
      <w:lvlJc w:val="left"/>
      <w:pPr>
        <w:tabs>
          <w:tab w:val="num" w:pos="2880"/>
        </w:tabs>
        <w:ind w:left="2880" w:hanging="360"/>
      </w:pPr>
      <w:rPr>
        <w:rFonts w:ascii="Arial" w:hAnsi="Arial" w:hint="default"/>
      </w:rPr>
    </w:lvl>
    <w:lvl w:ilvl="4" w:tplc="DF58ECF0" w:tentative="1">
      <w:start w:val="1"/>
      <w:numFmt w:val="bullet"/>
      <w:lvlText w:val="•"/>
      <w:lvlJc w:val="left"/>
      <w:pPr>
        <w:tabs>
          <w:tab w:val="num" w:pos="3600"/>
        </w:tabs>
        <w:ind w:left="3600" w:hanging="360"/>
      </w:pPr>
      <w:rPr>
        <w:rFonts w:ascii="Arial" w:hAnsi="Arial" w:hint="default"/>
      </w:rPr>
    </w:lvl>
    <w:lvl w:ilvl="5" w:tplc="5538C700" w:tentative="1">
      <w:start w:val="1"/>
      <w:numFmt w:val="bullet"/>
      <w:lvlText w:val="•"/>
      <w:lvlJc w:val="left"/>
      <w:pPr>
        <w:tabs>
          <w:tab w:val="num" w:pos="4320"/>
        </w:tabs>
        <w:ind w:left="4320" w:hanging="360"/>
      </w:pPr>
      <w:rPr>
        <w:rFonts w:ascii="Arial" w:hAnsi="Arial" w:hint="default"/>
      </w:rPr>
    </w:lvl>
    <w:lvl w:ilvl="6" w:tplc="E3EA475E" w:tentative="1">
      <w:start w:val="1"/>
      <w:numFmt w:val="bullet"/>
      <w:lvlText w:val="•"/>
      <w:lvlJc w:val="left"/>
      <w:pPr>
        <w:tabs>
          <w:tab w:val="num" w:pos="5040"/>
        </w:tabs>
        <w:ind w:left="5040" w:hanging="360"/>
      </w:pPr>
      <w:rPr>
        <w:rFonts w:ascii="Arial" w:hAnsi="Arial" w:hint="default"/>
      </w:rPr>
    </w:lvl>
    <w:lvl w:ilvl="7" w:tplc="78049B4E" w:tentative="1">
      <w:start w:val="1"/>
      <w:numFmt w:val="bullet"/>
      <w:lvlText w:val="•"/>
      <w:lvlJc w:val="left"/>
      <w:pPr>
        <w:tabs>
          <w:tab w:val="num" w:pos="5760"/>
        </w:tabs>
        <w:ind w:left="5760" w:hanging="360"/>
      </w:pPr>
      <w:rPr>
        <w:rFonts w:ascii="Arial" w:hAnsi="Arial" w:hint="default"/>
      </w:rPr>
    </w:lvl>
    <w:lvl w:ilvl="8" w:tplc="83BC58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96641F"/>
    <w:multiLevelType w:val="hybridMultilevel"/>
    <w:tmpl w:val="9C04CFEE"/>
    <w:lvl w:ilvl="0" w:tplc="0C090001">
      <w:start w:val="1"/>
      <w:numFmt w:val="bullet"/>
      <w:lvlText w:val=""/>
      <w:lvlJc w:val="left"/>
      <w:pPr>
        <w:ind w:left="-14" w:hanging="360"/>
      </w:pPr>
      <w:rPr>
        <w:rFonts w:ascii="Symbol" w:hAnsi="Symbol" w:hint="default"/>
      </w:rPr>
    </w:lvl>
    <w:lvl w:ilvl="1" w:tplc="0C090003" w:tentative="1">
      <w:start w:val="1"/>
      <w:numFmt w:val="bullet"/>
      <w:lvlText w:val="o"/>
      <w:lvlJc w:val="left"/>
      <w:pPr>
        <w:ind w:left="706" w:hanging="360"/>
      </w:pPr>
      <w:rPr>
        <w:rFonts w:ascii="Courier New" w:hAnsi="Courier New" w:cs="Courier New" w:hint="default"/>
      </w:rPr>
    </w:lvl>
    <w:lvl w:ilvl="2" w:tplc="0C090005" w:tentative="1">
      <w:start w:val="1"/>
      <w:numFmt w:val="bullet"/>
      <w:lvlText w:val=""/>
      <w:lvlJc w:val="left"/>
      <w:pPr>
        <w:ind w:left="1426" w:hanging="360"/>
      </w:pPr>
      <w:rPr>
        <w:rFonts w:ascii="Wingdings" w:hAnsi="Wingdings" w:hint="default"/>
      </w:rPr>
    </w:lvl>
    <w:lvl w:ilvl="3" w:tplc="0C090001" w:tentative="1">
      <w:start w:val="1"/>
      <w:numFmt w:val="bullet"/>
      <w:lvlText w:val=""/>
      <w:lvlJc w:val="left"/>
      <w:pPr>
        <w:ind w:left="2146" w:hanging="360"/>
      </w:pPr>
      <w:rPr>
        <w:rFonts w:ascii="Symbol" w:hAnsi="Symbol" w:hint="default"/>
      </w:rPr>
    </w:lvl>
    <w:lvl w:ilvl="4" w:tplc="0C090003" w:tentative="1">
      <w:start w:val="1"/>
      <w:numFmt w:val="bullet"/>
      <w:lvlText w:val="o"/>
      <w:lvlJc w:val="left"/>
      <w:pPr>
        <w:ind w:left="2866" w:hanging="360"/>
      </w:pPr>
      <w:rPr>
        <w:rFonts w:ascii="Courier New" w:hAnsi="Courier New" w:cs="Courier New" w:hint="default"/>
      </w:rPr>
    </w:lvl>
    <w:lvl w:ilvl="5" w:tplc="0C090005" w:tentative="1">
      <w:start w:val="1"/>
      <w:numFmt w:val="bullet"/>
      <w:lvlText w:val=""/>
      <w:lvlJc w:val="left"/>
      <w:pPr>
        <w:ind w:left="3586" w:hanging="360"/>
      </w:pPr>
      <w:rPr>
        <w:rFonts w:ascii="Wingdings" w:hAnsi="Wingdings" w:hint="default"/>
      </w:rPr>
    </w:lvl>
    <w:lvl w:ilvl="6" w:tplc="0C090001" w:tentative="1">
      <w:start w:val="1"/>
      <w:numFmt w:val="bullet"/>
      <w:lvlText w:val=""/>
      <w:lvlJc w:val="left"/>
      <w:pPr>
        <w:ind w:left="4306" w:hanging="360"/>
      </w:pPr>
      <w:rPr>
        <w:rFonts w:ascii="Symbol" w:hAnsi="Symbol" w:hint="default"/>
      </w:rPr>
    </w:lvl>
    <w:lvl w:ilvl="7" w:tplc="0C090003" w:tentative="1">
      <w:start w:val="1"/>
      <w:numFmt w:val="bullet"/>
      <w:lvlText w:val="o"/>
      <w:lvlJc w:val="left"/>
      <w:pPr>
        <w:ind w:left="5026" w:hanging="360"/>
      </w:pPr>
      <w:rPr>
        <w:rFonts w:ascii="Courier New" w:hAnsi="Courier New" w:cs="Courier New" w:hint="default"/>
      </w:rPr>
    </w:lvl>
    <w:lvl w:ilvl="8" w:tplc="0C090005" w:tentative="1">
      <w:start w:val="1"/>
      <w:numFmt w:val="bullet"/>
      <w:lvlText w:val=""/>
      <w:lvlJc w:val="left"/>
      <w:pPr>
        <w:ind w:left="5746" w:hanging="360"/>
      </w:pPr>
      <w:rPr>
        <w:rFonts w:ascii="Wingdings" w:hAnsi="Wingdings" w:hint="default"/>
      </w:rPr>
    </w:lvl>
  </w:abstractNum>
  <w:abstractNum w:abstractNumId="1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C7A0324"/>
    <w:multiLevelType w:val="hybridMultilevel"/>
    <w:tmpl w:val="507E40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DE84ED0"/>
    <w:multiLevelType w:val="hybridMultilevel"/>
    <w:tmpl w:val="89D4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F65335"/>
    <w:multiLevelType w:val="hybridMultilevel"/>
    <w:tmpl w:val="4EDA90E4"/>
    <w:lvl w:ilvl="0" w:tplc="150A842A">
      <w:start w:val="1"/>
      <w:numFmt w:val="bullet"/>
      <w:pStyle w:val="DPC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763E0632"/>
    <w:multiLevelType w:val="hybridMultilevel"/>
    <w:tmpl w:val="9CFE3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
  </w:num>
  <w:num w:numId="4">
    <w:abstractNumId w:val="17"/>
  </w:num>
  <w:num w:numId="5">
    <w:abstractNumId w:val="3"/>
  </w:num>
  <w:num w:numId="6">
    <w:abstractNumId w:val="0"/>
  </w:num>
  <w:num w:numId="7">
    <w:abstractNumId w:val="13"/>
  </w:num>
  <w:num w:numId="8">
    <w:abstractNumId w:val="22"/>
  </w:num>
  <w:num w:numId="9">
    <w:abstractNumId w:val="18"/>
  </w:num>
  <w:num w:numId="10">
    <w:abstractNumId w:val="16"/>
  </w:num>
  <w:num w:numId="11">
    <w:abstractNumId w:val="6"/>
  </w:num>
  <w:num w:numId="12">
    <w:abstractNumId w:val="12"/>
  </w:num>
  <w:num w:numId="13">
    <w:abstractNumId w:val="10"/>
  </w:num>
  <w:num w:numId="14">
    <w:abstractNumId w:val="14"/>
  </w:num>
  <w:num w:numId="15">
    <w:abstractNumId w:val="20"/>
  </w:num>
  <w:num w:numId="16">
    <w:abstractNumId w:val="20"/>
  </w:num>
  <w:num w:numId="17">
    <w:abstractNumId w:val="20"/>
  </w:num>
  <w:num w:numId="18">
    <w:abstractNumId w:val="1"/>
  </w:num>
  <w:num w:numId="19">
    <w:abstractNumId w:val="11"/>
  </w:num>
  <w:num w:numId="20">
    <w:abstractNumId w:val="4"/>
  </w:num>
  <w:num w:numId="21">
    <w:abstractNumId w:val="5"/>
  </w:num>
  <w:num w:numId="22">
    <w:abstractNumId w:val="15"/>
  </w:num>
  <w:num w:numId="23">
    <w:abstractNumId w:val="9"/>
  </w:num>
  <w:num w:numId="24">
    <w:abstractNumId w:val="19"/>
  </w:num>
  <w:num w:numId="25">
    <w:abstractNumId w:val="7"/>
  </w:num>
  <w:num w:numId="26">
    <w:abstractNumId w:val="20"/>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579"/>
    <w:rsid w:val="000021B0"/>
    <w:rsid w:val="00003716"/>
    <w:rsid w:val="000044BF"/>
    <w:rsid w:val="000059D6"/>
    <w:rsid w:val="000072B6"/>
    <w:rsid w:val="00007A4A"/>
    <w:rsid w:val="0001021B"/>
    <w:rsid w:val="00011D89"/>
    <w:rsid w:val="000137AB"/>
    <w:rsid w:val="0001646B"/>
    <w:rsid w:val="000238AF"/>
    <w:rsid w:val="00024D89"/>
    <w:rsid w:val="0002578B"/>
    <w:rsid w:val="00025E00"/>
    <w:rsid w:val="00033D81"/>
    <w:rsid w:val="00034DAC"/>
    <w:rsid w:val="00037D82"/>
    <w:rsid w:val="00041904"/>
    <w:rsid w:val="00041BF0"/>
    <w:rsid w:val="0004536B"/>
    <w:rsid w:val="00046B68"/>
    <w:rsid w:val="000527DD"/>
    <w:rsid w:val="000556B4"/>
    <w:rsid w:val="000578B2"/>
    <w:rsid w:val="00060959"/>
    <w:rsid w:val="000645CA"/>
    <w:rsid w:val="00065839"/>
    <w:rsid w:val="00071C1A"/>
    <w:rsid w:val="0007318B"/>
    <w:rsid w:val="00074219"/>
    <w:rsid w:val="0007433C"/>
    <w:rsid w:val="00074ED5"/>
    <w:rsid w:val="000815CF"/>
    <w:rsid w:val="00086AC5"/>
    <w:rsid w:val="00090171"/>
    <w:rsid w:val="0009080D"/>
    <w:rsid w:val="00096CD1"/>
    <w:rsid w:val="000A012C"/>
    <w:rsid w:val="000A0EB9"/>
    <w:rsid w:val="000A186C"/>
    <w:rsid w:val="000B21ED"/>
    <w:rsid w:val="000B3B7B"/>
    <w:rsid w:val="000B543D"/>
    <w:rsid w:val="000B54D1"/>
    <w:rsid w:val="000B5BF7"/>
    <w:rsid w:val="000B6BC8"/>
    <w:rsid w:val="000C37FD"/>
    <w:rsid w:val="000C42EA"/>
    <w:rsid w:val="000C4546"/>
    <w:rsid w:val="000C4E3A"/>
    <w:rsid w:val="000D0A64"/>
    <w:rsid w:val="000D1242"/>
    <w:rsid w:val="000D5714"/>
    <w:rsid w:val="000D7DEE"/>
    <w:rsid w:val="000E0A5C"/>
    <w:rsid w:val="000E313E"/>
    <w:rsid w:val="000E3CC7"/>
    <w:rsid w:val="000E6BD4"/>
    <w:rsid w:val="000E6F6A"/>
    <w:rsid w:val="000F1F1E"/>
    <w:rsid w:val="000F2259"/>
    <w:rsid w:val="0010187C"/>
    <w:rsid w:val="0010342F"/>
    <w:rsid w:val="0010392D"/>
    <w:rsid w:val="00103E86"/>
    <w:rsid w:val="00104FE3"/>
    <w:rsid w:val="00120BD3"/>
    <w:rsid w:val="001210B1"/>
    <w:rsid w:val="00122FEA"/>
    <w:rsid w:val="001232BD"/>
    <w:rsid w:val="00124ED5"/>
    <w:rsid w:val="00133D2A"/>
    <w:rsid w:val="001447B3"/>
    <w:rsid w:val="0015129A"/>
    <w:rsid w:val="00151524"/>
    <w:rsid w:val="00161939"/>
    <w:rsid w:val="00161AA0"/>
    <w:rsid w:val="00162093"/>
    <w:rsid w:val="00164CF0"/>
    <w:rsid w:val="001771DD"/>
    <w:rsid w:val="00177995"/>
    <w:rsid w:val="00177A8C"/>
    <w:rsid w:val="001828F5"/>
    <w:rsid w:val="00185B83"/>
    <w:rsid w:val="00186B33"/>
    <w:rsid w:val="00192F9D"/>
    <w:rsid w:val="001945B8"/>
    <w:rsid w:val="00196B4A"/>
    <w:rsid w:val="00196EB8"/>
    <w:rsid w:val="001979FF"/>
    <w:rsid w:val="00197B17"/>
    <w:rsid w:val="001A1FFD"/>
    <w:rsid w:val="001A3ACE"/>
    <w:rsid w:val="001A653B"/>
    <w:rsid w:val="001B4A43"/>
    <w:rsid w:val="001B4E31"/>
    <w:rsid w:val="001B5CC1"/>
    <w:rsid w:val="001C1999"/>
    <w:rsid w:val="001C2A72"/>
    <w:rsid w:val="001C4AD3"/>
    <w:rsid w:val="001D0B75"/>
    <w:rsid w:val="001D3C09"/>
    <w:rsid w:val="001D44E8"/>
    <w:rsid w:val="001D4AC4"/>
    <w:rsid w:val="001D60EC"/>
    <w:rsid w:val="001E44DF"/>
    <w:rsid w:val="001E5EDC"/>
    <w:rsid w:val="001E68A5"/>
    <w:rsid w:val="001F61D2"/>
    <w:rsid w:val="001F6E46"/>
    <w:rsid w:val="001F756D"/>
    <w:rsid w:val="001F7C91"/>
    <w:rsid w:val="002017A7"/>
    <w:rsid w:val="00202850"/>
    <w:rsid w:val="00206463"/>
    <w:rsid w:val="00206F2F"/>
    <w:rsid w:val="0020761D"/>
    <w:rsid w:val="0021053D"/>
    <w:rsid w:val="00210A92"/>
    <w:rsid w:val="00211869"/>
    <w:rsid w:val="00214D82"/>
    <w:rsid w:val="00216C03"/>
    <w:rsid w:val="00220C04"/>
    <w:rsid w:val="00225E09"/>
    <w:rsid w:val="002333F5"/>
    <w:rsid w:val="00235D6F"/>
    <w:rsid w:val="00237C67"/>
    <w:rsid w:val="00240C7B"/>
    <w:rsid w:val="00246C5E"/>
    <w:rsid w:val="00251343"/>
    <w:rsid w:val="002516BC"/>
    <w:rsid w:val="00253641"/>
    <w:rsid w:val="00254F7A"/>
    <w:rsid w:val="002620BC"/>
    <w:rsid w:val="00263A90"/>
    <w:rsid w:val="0026408B"/>
    <w:rsid w:val="00266DB0"/>
    <w:rsid w:val="00267C3E"/>
    <w:rsid w:val="002709BB"/>
    <w:rsid w:val="002725ED"/>
    <w:rsid w:val="00273627"/>
    <w:rsid w:val="002802E3"/>
    <w:rsid w:val="0028213D"/>
    <w:rsid w:val="002862F1"/>
    <w:rsid w:val="00290F7E"/>
    <w:rsid w:val="00291373"/>
    <w:rsid w:val="00291CE3"/>
    <w:rsid w:val="0029512F"/>
    <w:rsid w:val="002954C3"/>
    <w:rsid w:val="0029597D"/>
    <w:rsid w:val="002962C3"/>
    <w:rsid w:val="002A483C"/>
    <w:rsid w:val="002A5A13"/>
    <w:rsid w:val="002B1729"/>
    <w:rsid w:val="002B4DD4"/>
    <w:rsid w:val="002B5277"/>
    <w:rsid w:val="002B77C1"/>
    <w:rsid w:val="002C1A0D"/>
    <w:rsid w:val="002C2728"/>
    <w:rsid w:val="002C421E"/>
    <w:rsid w:val="002E01D0"/>
    <w:rsid w:val="002E161D"/>
    <w:rsid w:val="002E6C95"/>
    <w:rsid w:val="002E7C36"/>
    <w:rsid w:val="002F32D0"/>
    <w:rsid w:val="002F5F31"/>
    <w:rsid w:val="00302216"/>
    <w:rsid w:val="00302CF6"/>
    <w:rsid w:val="00303E53"/>
    <w:rsid w:val="00306E5F"/>
    <w:rsid w:val="00307E14"/>
    <w:rsid w:val="00314054"/>
    <w:rsid w:val="0031510A"/>
    <w:rsid w:val="00316F27"/>
    <w:rsid w:val="00325ACF"/>
    <w:rsid w:val="00326A66"/>
    <w:rsid w:val="00327870"/>
    <w:rsid w:val="0033259D"/>
    <w:rsid w:val="00336814"/>
    <w:rsid w:val="00336E53"/>
    <w:rsid w:val="003406C6"/>
    <w:rsid w:val="003418CC"/>
    <w:rsid w:val="003452D9"/>
    <w:rsid w:val="003459BD"/>
    <w:rsid w:val="00350D38"/>
    <w:rsid w:val="00354EF1"/>
    <w:rsid w:val="0036468F"/>
    <w:rsid w:val="003744CF"/>
    <w:rsid w:val="00374717"/>
    <w:rsid w:val="00374F56"/>
    <w:rsid w:val="0037676C"/>
    <w:rsid w:val="00381450"/>
    <w:rsid w:val="003829E5"/>
    <w:rsid w:val="00382DEA"/>
    <w:rsid w:val="00385BE1"/>
    <w:rsid w:val="0039185F"/>
    <w:rsid w:val="003956CC"/>
    <w:rsid w:val="00395C9A"/>
    <w:rsid w:val="003A1FDF"/>
    <w:rsid w:val="003A380B"/>
    <w:rsid w:val="003A6B67"/>
    <w:rsid w:val="003B15E6"/>
    <w:rsid w:val="003B6B6C"/>
    <w:rsid w:val="003B6ECA"/>
    <w:rsid w:val="003C2045"/>
    <w:rsid w:val="003C2E6A"/>
    <w:rsid w:val="003C356E"/>
    <w:rsid w:val="003C43A1"/>
    <w:rsid w:val="003C55F4"/>
    <w:rsid w:val="003C7A3F"/>
    <w:rsid w:val="003D3E8F"/>
    <w:rsid w:val="003D6475"/>
    <w:rsid w:val="003E3223"/>
    <w:rsid w:val="003E375C"/>
    <w:rsid w:val="003E45BE"/>
    <w:rsid w:val="003E6FA6"/>
    <w:rsid w:val="003F0445"/>
    <w:rsid w:val="003F0CF0"/>
    <w:rsid w:val="003F3289"/>
    <w:rsid w:val="003F4B51"/>
    <w:rsid w:val="00401FCF"/>
    <w:rsid w:val="004148F9"/>
    <w:rsid w:val="0042084E"/>
    <w:rsid w:val="00424D65"/>
    <w:rsid w:val="00433961"/>
    <w:rsid w:val="00433B80"/>
    <w:rsid w:val="00435D7D"/>
    <w:rsid w:val="00436F62"/>
    <w:rsid w:val="00442C6C"/>
    <w:rsid w:val="00443CBE"/>
    <w:rsid w:val="004441BC"/>
    <w:rsid w:val="0044436B"/>
    <w:rsid w:val="004450DF"/>
    <w:rsid w:val="00451575"/>
    <w:rsid w:val="0045230A"/>
    <w:rsid w:val="00457337"/>
    <w:rsid w:val="0046021C"/>
    <w:rsid w:val="00463857"/>
    <w:rsid w:val="004645DC"/>
    <w:rsid w:val="00464A22"/>
    <w:rsid w:val="0047156E"/>
    <w:rsid w:val="0047161D"/>
    <w:rsid w:val="0047372D"/>
    <w:rsid w:val="004743DD"/>
    <w:rsid w:val="00474CEA"/>
    <w:rsid w:val="004800A3"/>
    <w:rsid w:val="00480B32"/>
    <w:rsid w:val="00483968"/>
    <w:rsid w:val="00484F86"/>
    <w:rsid w:val="004873EC"/>
    <w:rsid w:val="004902E8"/>
    <w:rsid w:val="00490746"/>
    <w:rsid w:val="00490852"/>
    <w:rsid w:val="004909D3"/>
    <w:rsid w:val="004946F4"/>
    <w:rsid w:val="0049487E"/>
    <w:rsid w:val="004952A4"/>
    <w:rsid w:val="004A2EC7"/>
    <w:rsid w:val="004A36B2"/>
    <w:rsid w:val="004A3E81"/>
    <w:rsid w:val="004A5C62"/>
    <w:rsid w:val="004A707D"/>
    <w:rsid w:val="004A7EFD"/>
    <w:rsid w:val="004B230A"/>
    <w:rsid w:val="004B2EF7"/>
    <w:rsid w:val="004C6EEE"/>
    <w:rsid w:val="004C702B"/>
    <w:rsid w:val="004D016B"/>
    <w:rsid w:val="004D1B22"/>
    <w:rsid w:val="004D36F2"/>
    <w:rsid w:val="004D502D"/>
    <w:rsid w:val="004E0F8A"/>
    <w:rsid w:val="004E394A"/>
    <w:rsid w:val="004E4649"/>
    <w:rsid w:val="004E5C2B"/>
    <w:rsid w:val="004F00DD"/>
    <w:rsid w:val="004F2133"/>
    <w:rsid w:val="004F362A"/>
    <w:rsid w:val="004F55F1"/>
    <w:rsid w:val="004F6936"/>
    <w:rsid w:val="00501A00"/>
    <w:rsid w:val="00503DC6"/>
    <w:rsid w:val="00505004"/>
    <w:rsid w:val="005061AB"/>
    <w:rsid w:val="00506F5D"/>
    <w:rsid w:val="005126D0"/>
    <w:rsid w:val="00520AB8"/>
    <w:rsid w:val="00524001"/>
    <w:rsid w:val="00526865"/>
    <w:rsid w:val="00532582"/>
    <w:rsid w:val="005356CC"/>
    <w:rsid w:val="00536499"/>
    <w:rsid w:val="00543903"/>
    <w:rsid w:val="00546E29"/>
    <w:rsid w:val="00547A95"/>
    <w:rsid w:val="005514C5"/>
    <w:rsid w:val="00555B7E"/>
    <w:rsid w:val="005703CF"/>
    <w:rsid w:val="005714B8"/>
    <w:rsid w:val="00572031"/>
    <w:rsid w:val="00573B18"/>
    <w:rsid w:val="005751F3"/>
    <w:rsid w:val="00576E84"/>
    <w:rsid w:val="0057788F"/>
    <w:rsid w:val="00581CF6"/>
    <w:rsid w:val="0058757E"/>
    <w:rsid w:val="00596A4B"/>
    <w:rsid w:val="00597507"/>
    <w:rsid w:val="0059796D"/>
    <w:rsid w:val="005A5945"/>
    <w:rsid w:val="005A7647"/>
    <w:rsid w:val="005B21B6"/>
    <w:rsid w:val="005B72D2"/>
    <w:rsid w:val="005B7A63"/>
    <w:rsid w:val="005C0059"/>
    <w:rsid w:val="005C26FB"/>
    <w:rsid w:val="005C42BA"/>
    <w:rsid w:val="005C49DA"/>
    <w:rsid w:val="005C50F3"/>
    <w:rsid w:val="005C5D91"/>
    <w:rsid w:val="005D07B8"/>
    <w:rsid w:val="005D6597"/>
    <w:rsid w:val="005E14E7"/>
    <w:rsid w:val="005E4097"/>
    <w:rsid w:val="005E447E"/>
    <w:rsid w:val="005E6648"/>
    <w:rsid w:val="005F0775"/>
    <w:rsid w:val="005F0CF5"/>
    <w:rsid w:val="005F21EB"/>
    <w:rsid w:val="00604664"/>
    <w:rsid w:val="00605908"/>
    <w:rsid w:val="00610D7C"/>
    <w:rsid w:val="00613414"/>
    <w:rsid w:val="0062408D"/>
    <w:rsid w:val="00627DA7"/>
    <w:rsid w:val="006358B4"/>
    <w:rsid w:val="006371A6"/>
    <w:rsid w:val="006419AA"/>
    <w:rsid w:val="00644B1D"/>
    <w:rsid w:val="00644B7E"/>
    <w:rsid w:val="00646260"/>
    <w:rsid w:val="00646A68"/>
    <w:rsid w:val="0065092E"/>
    <w:rsid w:val="006557A7"/>
    <w:rsid w:val="00656290"/>
    <w:rsid w:val="00657303"/>
    <w:rsid w:val="006621D7"/>
    <w:rsid w:val="00662F0A"/>
    <w:rsid w:val="0066302A"/>
    <w:rsid w:val="00670597"/>
    <w:rsid w:val="00673388"/>
    <w:rsid w:val="00673A34"/>
    <w:rsid w:val="006768DF"/>
    <w:rsid w:val="00677574"/>
    <w:rsid w:val="00683B37"/>
    <w:rsid w:val="0068454C"/>
    <w:rsid w:val="00691B62"/>
    <w:rsid w:val="006A18C2"/>
    <w:rsid w:val="006A2472"/>
    <w:rsid w:val="006A490B"/>
    <w:rsid w:val="006A776C"/>
    <w:rsid w:val="006B077C"/>
    <w:rsid w:val="006B19E6"/>
    <w:rsid w:val="006C4F39"/>
    <w:rsid w:val="006D2A3F"/>
    <w:rsid w:val="006D50C2"/>
    <w:rsid w:val="006D56EE"/>
    <w:rsid w:val="006E138B"/>
    <w:rsid w:val="006E1AB5"/>
    <w:rsid w:val="006E7738"/>
    <w:rsid w:val="006F1FDC"/>
    <w:rsid w:val="006F203A"/>
    <w:rsid w:val="006F36B5"/>
    <w:rsid w:val="006F3DD8"/>
    <w:rsid w:val="006F49F0"/>
    <w:rsid w:val="006F52F2"/>
    <w:rsid w:val="007013EF"/>
    <w:rsid w:val="007023E0"/>
    <w:rsid w:val="00702B10"/>
    <w:rsid w:val="007216AA"/>
    <w:rsid w:val="00721AB5"/>
    <w:rsid w:val="00721DEF"/>
    <w:rsid w:val="00722719"/>
    <w:rsid w:val="00724A43"/>
    <w:rsid w:val="007346E4"/>
    <w:rsid w:val="00735D59"/>
    <w:rsid w:val="00740F22"/>
    <w:rsid w:val="00741F1A"/>
    <w:rsid w:val="00741FE7"/>
    <w:rsid w:val="007450F8"/>
    <w:rsid w:val="0074696E"/>
    <w:rsid w:val="00750135"/>
    <w:rsid w:val="0075285D"/>
    <w:rsid w:val="00754E36"/>
    <w:rsid w:val="00763139"/>
    <w:rsid w:val="0076737C"/>
    <w:rsid w:val="00772D5E"/>
    <w:rsid w:val="00776928"/>
    <w:rsid w:val="0077716A"/>
    <w:rsid w:val="00782E21"/>
    <w:rsid w:val="00782F2C"/>
    <w:rsid w:val="007838FD"/>
    <w:rsid w:val="00786F16"/>
    <w:rsid w:val="00791304"/>
    <w:rsid w:val="00792420"/>
    <w:rsid w:val="00796E20"/>
    <w:rsid w:val="00797C32"/>
    <w:rsid w:val="00797FA8"/>
    <w:rsid w:val="007A4456"/>
    <w:rsid w:val="007A51B5"/>
    <w:rsid w:val="007A57F6"/>
    <w:rsid w:val="007B0914"/>
    <w:rsid w:val="007B1374"/>
    <w:rsid w:val="007B2A2F"/>
    <w:rsid w:val="007B589F"/>
    <w:rsid w:val="007B6186"/>
    <w:rsid w:val="007C6C56"/>
    <w:rsid w:val="007C7301"/>
    <w:rsid w:val="007C7859"/>
    <w:rsid w:val="007D0A10"/>
    <w:rsid w:val="007D2BDE"/>
    <w:rsid w:val="007D2FB6"/>
    <w:rsid w:val="007D3EA2"/>
    <w:rsid w:val="007D4BF1"/>
    <w:rsid w:val="007D4D5A"/>
    <w:rsid w:val="007E0DE2"/>
    <w:rsid w:val="007E5373"/>
    <w:rsid w:val="007F2168"/>
    <w:rsid w:val="007F31B6"/>
    <w:rsid w:val="007F3A40"/>
    <w:rsid w:val="007F546C"/>
    <w:rsid w:val="007F665E"/>
    <w:rsid w:val="00800412"/>
    <w:rsid w:val="00801EEF"/>
    <w:rsid w:val="008052F2"/>
    <w:rsid w:val="0080587B"/>
    <w:rsid w:val="00806468"/>
    <w:rsid w:val="00816735"/>
    <w:rsid w:val="00820141"/>
    <w:rsid w:val="00820E0C"/>
    <w:rsid w:val="008260DA"/>
    <w:rsid w:val="0084646D"/>
    <w:rsid w:val="00851318"/>
    <w:rsid w:val="008516F2"/>
    <w:rsid w:val="00852EE6"/>
    <w:rsid w:val="00853EE4"/>
    <w:rsid w:val="00855535"/>
    <w:rsid w:val="00860662"/>
    <w:rsid w:val="008633F0"/>
    <w:rsid w:val="00866758"/>
    <w:rsid w:val="00867D9D"/>
    <w:rsid w:val="00872E0A"/>
    <w:rsid w:val="00873D8B"/>
    <w:rsid w:val="00874713"/>
    <w:rsid w:val="00875285"/>
    <w:rsid w:val="008770B0"/>
    <w:rsid w:val="00884B62"/>
    <w:rsid w:val="008851ED"/>
    <w:rsid w:val="0088529C"/>
    <w:rsid w:val="00892553"/>
    <w:rsid w:val="0089270A"/>
    <w:rsid w:val="00893AF6"/>
    <w:rsid w:val="00894BC4"/>
    <w:rsid w:val="008A07A8"/>
    <w:rsid w:val="008A300C"/>
    <w:rsid w:val="008A6BAC"/>
    <w:rsid w:val="008B05CF"/>
    <w:rsid w:val="008B1258"/>
    <w:rsid w:val="008B2EE4"/>
    <w:rsid w:val="008B4D3D"/>
    <w:rsid w:val="008B57C7"/>
    <w:rsid w:val="008B6C6A"/>
    <w:rsid w:val="008C2588"/>
    <w:rsid w:val="008C2F92"/>
    <w:rsid w:val="008C748D"/>
    <w:rsid w:val="008D274C"/>
    <w:rsid w:val="008D4236"/>
    <w:rsid w:val="008D462F"/>
    <w:rsid w:val="008E4376"/>
    <w:rsid w:val="008E5D74"/>
    <w:rsid w:val="008E6289"/>
    <w:rsid w:val="008F765E"/>
    <w:rsid w:val="00900719"/>
    <w:rsid w:val="00906490"/>
    <w:rsid w:val="009111B2"/>
    <w:rsid w:val="00915579"/>
    <w:rsid w:val="00924AE1"/>
    <w:rsid w:val="009269B1"/>
    <w:rsid w:val="00937BD9"/>
    <w:rsid w:val="009500F3"/>
    <w:rsid w:val="00950E2C"/>
    <w:rsid w:val="00951D50"/>
    <w:rsid w:val="009525EB"/>
    <w:rsid w:val="00961400"/>
    <w:rsid w:val="00961710"/>
    <w:rsid w:val="00961FC0"/>
    <w:rsid w:val="00963646"/>
    <w:rsid w:val="00970078"/>
    <w:rsid w:val="0097122E"/>
    <w:rsid w:val="00973EC3"/>
    <w:rsid w:val="00976504"/>
    <w:rsid w:val="00976A12"/>
    <w:rsid w:val="009817CA"/>
    <w:rsid w:val="009849EE"/>
    <w:rsid w:val="009853E1"/>
    <w:rsid w:val="00985C30"/>
    <w:rsid w:val="00986E6B"/>
    <w:rsid w:val="00987B38"/>
    <w:rsid w:val="0099137C"/>
    <w:rsid w:val="00991769"/>
    <w:rsid w:val="00994386"/>
    <w:rsid w:val="00996541"/>
    <w:rsid w:val="009A063B"/>
    <w:rsid w:val="009A279E"/>
    <w:rsid w:val="009B0A6F"/>
    <w:rsid w:val="009B270D"/>
    <w:rsid w:val="009B3957"/>
    <w:rsid w:val="009B4852"/>
    <w:rsid w:val="009B56DA"/>
    <w:rsid w:val="009B59E9"/>
    <w:rsid w:val="009B5BC0"/>
    <w:rsid w:val="009B5F3B"/>
    <w:rsid w:val="009C1213"/>
    <w:rsid w:val="009C7A7E"/>
    <w:rsid w:val="009D02E8"/>
    <w:rsid w:val="009D10E3"/>
    <w:rsid w:val="009D2CB4"/>
    <w:rsid w:val="009D51D0"/>
    <w:rsid w:val="009D70A4"/>
    <w:rsid w:val="009E08D1"/>
    <w:rsid w:val="009E1B95"/>
    <w:rsid w:val="009E243C"/>
    <w:rsid w:val="009E36FB"/>
    <w:rsid w:val="009E496F"/>
    <w:rsid w:val="009E4B0D"/>
    <w:rsid w:val="009E6FE6"/>
    <w:rsid w:val="009E7F92"/>
    <w:rsid w:val="009F02A3"/>
    <w:rsid w:val="009F2F27"/>
    <w:rsid w:val="009F6BCB"/>
    <w:rsid w:val="009F7221"/>
    <w:rsid w:val="009F7B78"/>
    <w:rsid w:val="00A0057A"/>
    <w:rsid w:val="00A113E3"/>
    <w:rsid w:val="00A11421"/>
    <w:rsid w:val="00A157B1"/>
    <w:rsid w:val="00A22229"/>
    <w:rsid w:val="00A245A2"/>
    <w:rsid w:val="00A24C0E"/>
    <w:rsid w:val="00A34DFE"/>
    <w:rsid w:val="00A34FFA"/>
    <w:rsid w:val="00A44882"/>
    <w:rsid w:val="00A54715"/>
    <w:rsid w:val="00A6061C"/>
    <w:rsid w:val="00A62D44"/>
    <w:rsid w:val="00A64C96"/>
    <w:rsid w:val="00A65FEE"/>
    <w:rsid w:val="00A7161C"/>
    <w:rsid w:val="00A74816"/>
    <w:rsid w:val="00A77AA3"/>
    <w:rsid w:val="00A77F8F"/>
    <w:rsid w:val="00A85EB1"/>
    <w:rsid w:val="00A872E5"/>
    <w:rsid w:val="00A95E3B"/>
    <w:rsid w:val="00A96067"/>
    <w:rsid w:val="00A96E65"/>
    <w:rsid w:val="00A97C72"/>
    <w:rsid w:val="00AA056D"/>
    <w:rsid w:val="00AA469F"/>
    <w:rsid w:val="00AA625A"/>
    <w:rsid w:val="00AA63D4"/>
    <w:rsid w:val="00AA6CAE"/>
    <w:rsid w:val="00AB06E8"/>
    <w:rsid w:val="00AB1CD3"/>
    <w:rsid w:val="00AB352F"/>
    <w:rsid w:val="00AB5739"/>
    <w:rsid w:val="00AC274B"/>
    <w:rsid w:val="00AC61DF"/>
    <w:rsid w:val="00AC6D36"/>
    <w:rsid w:val="00AD0CBA"/>
    <w:rsid w:val="00AD26E2"/>
    <w:rsid w:val="00AD2ED9"/>
    <w:rsid w:val="00AD525E"/>
    <w:rsid w:val="00AD6D6E"/>
    <w:rsid w:val="00AE126A"/>
    <w:rsid w:val="00AE3005"/>
    <w:rsid w:val="00AE3B0A"/>
    <w:rsid w:val="00AE3BAA"/>
    <w:rsid w:val="00AE59A0"/>
    <w:rsid w:val="00AE5AA7"/>
    <w:rsid w:val="00AE73A9"/>
    <w:rsid w:val="00AE7E2B"/>
    <w:rsid w:val="00AF0C57"/>
    <w:rsid w:val="00AF26F3"/>
    <w:rsid w:val="00B0055A"/>
    <w:rsid w:val="00B00672"/>
    <w:rsid w:val="00B01B4D"/>
    <w:rsid w:val="00B01CC5"/>
    <w:rsid w:val="00B01E7E"/>
    <w:rsid w:val="00B04610"/>
    <w:rsid w:val="00B06571"/>
    <w:rsid w:val="00B068BA"/>
    <w:rsid w:val="00B123A8"/>
    <w:rsid w:val="00B124F4"/>
    <w:rsid w:val="00B13851"/>
    <w:rsid w:val="00B13B1C"/>
    <w:rsid w:val="00B16A3D"/>
    <w:rsid w:val="00B17AB3"/>
    <w:rsid w:val="00B22291"/>
    <w:rsid w:val="00B23858"/>
    <w:rsid w:val="00B2417B"/>
    <w:rsid w:val="00B24E6F"/>
    <w:rsid w:val="00B26CB5"/>
    <w:rsid w:val="00B27256"/>
    <w:rsid w:val="00B2752E"/>
    <w:rsid w:val="00B27F8D"/>
    <w:rsid w:val="00B307CC"/>
    <w:rsid w:val="00B30DA8"/>
    <w:rsid w:val="00B34C9B"/>
    <w:rsid w:val="00B44A60"/>
    <w:rsid w:val="00B45141"/>
    <w:rsid w:val="00B46E0C"/>
    <w:rsid w:val="00B5273A"/>
    <w:rsid w:val="00B55F34"/>
    <w:rsid w:val="00B573C5"/>
    <w:rsid w:val="00B62B50"/>
    <w:rsid w:val="00B635B7"/>
    <w:rsid w:val="00B65083"/>
    <w:rsid w:val="00B65950"/>
    <w:rsid w:val="00B672C0"/>
    <w:rsid w:val="00B70064"/>
    <w:rsid w:val="00B70EBB"/>
    <w:rsid w:val="00B722EE"/>
    <w:rsid w:val="00B731E0"/>
    <w:rsid w:val="00B75646"/>
    <w:rsid w:val="00B7770E"/>
    <w:rsid w:val="00B8139E"/>
    <w:rsid w:val="00B822E9"/>
    <w:rsid w:val="00B9028D"/>
    <w:rsid w:val="00B90729"/>
    <w:rsid w:val="00B907DA"/>
    <w:rsid w:val="00B92656"/>
    <w:rsid w:val="00B93325"/>
    <w:rsid w:val="00B950BC"/>
    <w:rsid w:val="00B95325"/>
    <w:rsid w:val="00B95907"/>
    <w:rsid w:val="00B9714C"/>
    <w:rsid w:val="00BA2615"/>
    <w:rsid w:val="00BA31B6"/>
    <w:rsid w:val="00BA6212"/>
    <w:rsid w:val="00BA718C"/>
    <w:rsid w:val="00BB55E6"/>
    <w:rsid w:val="00BB5CF9"/>
    <w:rsid w:val="00BB7A10"/>
    <w:rsid w:val="00BC366E"/>
    <w:rsid w:val="00BC4C0C"/>
    <w:rsid w:val="00BC7D4F"/>
    <w:rsid w:val="00BC7ED7"/>
    <w:rsid w:val="00BD2850"/>
    <w:rsid w:val="00BE28D2"/>
    <w:rsid w:val="00BF730B"/>
    <w:rsid w:val="00BF7F58"/>
    <w:rsid w:val="00C00C7D"/>
    <w:rsid w:val="00C01381"/>
    <w:rsid w:val="00C0527D"/>
    <w:rsid w:val="00C0713A"/>
    <w:rsid w:val="00C079B8"/>
    <w:rsid w:val="00C07B16"/>
    <w:rsid w:val="00C123EA"/>
    <w:rsid w:val="00C12A49"/>
    <w:rsid w:val="00C133EE"/>
    <w:rsid w:val="00C14AD0"/>
    <w:rsid w:val="00C160A6"/>
    <w:rsid w:val="00C2730D"/>
    <w:rsid w:val="00C27DE9"/>
    <w:rsid w:val="00C33388"/>
    <w:rsid w:val="00C37731"/>
    <w:rsid w:val="00C37AB9"/>
    <w:rsid w:val="00C4173A"/>
    <w:rsid w:val="00C45BB0"/>
    <w:rsid w:val="00C45F2F"/>
    <w:rsid w:val="00C507FB"/>
    <w:rsid w:val="00C56437"/>
    <w:rsid w:val="00C602FF"/>
    <w:rsid w:val="00C61174"/>
    <w:rsid w:val="00C6148F"/>
    <w:rsid w:val="00C62F7A"/>
    <w:rsid w:val="00C63B9C"/>
    <w:rsid w:val="00C6682F"/>
    <w:rsid w:val="00C676CE"/>
    <w:rsid w:val="00C67970"/>
    <w:rsid w:val="00C7275E"/>
    <w:rsid w:val="00C74C5D"/>
    <w:rsid w:val="00C76E88"/>
    <w:rsid w:val="00C863C4"/>
    <w:rsid w:val="00C93C3E"/>
    <w:rsid w:val="00C952A3"/>
    <w:rsid w:val="00C9692A"/>
    <w:rsid w:val="00C97EC8"/>
    <w:rsid w:val="00CA12E3"/>
    <w:rsid w:val="00CA6611"/>
    <w:rsid w:val="00CB0E26"/>
    <w:rsid w:val="00CB177C"/>
    <w:rsid w:val="00CB5B6B"/>
    <w:rsid w:val="00CC2BFD"/>
    <w:rsid w:val="00CD26B2"/>
    <w:rsid w:val="00CD3476"/>
    <w:rsid w:val="00CD64DF"/>
    <w:rsid w:val="00CD7E52"/>
    <w:rsid w:val="00CE750D"/>
    <w:rsid w:val="00CF10EA"/>
    <w:rsid w:val="00CF2F50"/>
    <w:rsid w:val="00CF3C87"/>
    <w:rsid w:val="00D01CF1"/>
    <w:rsid w:val="00D02644"/>
    <w:rsid w:val="00D02919"/>
    <w:rsid w:val="00D04C61"/>
    <w:rsid w:val="00D04D8E"/>
    <w:rsid w:val="00D05B8D"/>
    <w:rsid w:val="00D07EC0"/>
    <w:rsid w:val="00D07F00"/>
    <w:rsid w:val="00D11245"/>
    <w:rsid w:val="00D208B9"/>
    <w:rsid w:val="00D21873"/>
    <w:rsid w:val="00D33E72"/>
    <w:rsid w:val="00D35BD6"/>
    <w:rsid w:val="00D361B5"/>
    <w:rsid w:val="00D36A52"/>
    <w:rsid w:val="00D379B5"/>
    <w:rsid w:val="00D40F7F"/>
    <w:rsid w:val="00D411A2"/>
    <w:rsid w:val="00D446DE"/>
    <w:rsid w:val="00D46777"/>
    <w:rsid w:val="00D50B9C"/>
    <w:rsid w:val="00D52D73"/>
    <w:rsid w:val="00D52E58"/>
    <w:rsid w:val="00D53EB3"/>
    <w:rsid w:val="00D545E2"/>
    <w:rsid w:val="00D56C68"/>
    <w:rsid w:val="00D65491"/>
    <w:rsid w:val="00D714CC"/>
    <w:rsid w:val="00D72853"/>
    <w:rsid w:val="00D75DFC"/>
    <w:rsid w:val="00D75EA7"/>
    <w:rsid w:val="00D81F21"/>
    <w:rsid w:val="00D8344D"/>
    <w:rsid w:val="00D85FD9"/>
    <w:rsid w:val="00D95470"/>
    <w:rsid w:val="00D97A8C"/>
    <w:rsid w:val="00D97CC0"/>
    <w:rsid w:val="00DA2619"/>
    <w:rsid w:val="00DA4239"/>
    <w:rsid w:val="00DB0B61"/>
    <w:rsid w:val="00DB119C"/>
    <w:rsid w:val="00DB314A"/>
    <w:rsid w:val="00DB38CA"/>
    <w:rsid w:val="00DB6419"/>
    <w:rsid w:val="00DB64FE"/>
    <w:rsid w:val="00DC090B"/>
    <w:rsid w:val="00DC2CF1"/>
    <w:rsid w:val="00DC4FCF"/>
    <w:rsid w:val="00DC50E0"/>
    <w:rsid w:val="00DC6386"/>
    <w:rsid w:val="00DC6721"/>
    <w:rsid w:val="00DD1130"/>
    <w:rsid w:val="00DD1951"/>
    <w:rsid w:val="00DD3E6F"/>
    <w:rsid w:val="00DD6628"/>
    <w:rsid w:val="00DE3250"/>
    <w:rsid w:val="00DE6028"/>
    <w:rsid w:val="00DE78A3"/>
    <w:rsid w:val="00DF1A71"/>
    <w:rsid w:val="00DF68C7"/>
    <w:rsid w:val="00E032A9"/>
    <w:rsid w:val="00E04A11"/>
    <w:rsid w:val="00E058A5"/>
    <w:rsid w:val="00E11814"/>
    <w:rsid w:val="00E170DC"/>
    <w:rsid w:val="00E222B0"/>
    <w:rsid w:val="00E26818"/>
    <w:rsid w:val="00E27FFC"/>
    <w:rsid w:val="00E30B15"/>
    <w:rsid w:val="00E358DB"/>
    <w:rsid w:val="00E40181"/>
    <w:rsid w:val="00E41C1F"/>
    <w:rsid w:val="00E4204A"/>
    <w:rsid w:val="00E46998"/>
    <w:rsid w:val="00E5090F"/>
    <w:rsid w:val="00E61DDE"/>
    <w:rsid w:val="00E629A1"/>
    <w:rsid w:val="00E63343"/>
    <w:rsid w:val="00E678DF"/>
    <w:rsid w:val="00E7578A"/>
    <w:rsid w:val="00E767FD"/>
    <w:rsid w:val="00E82C55"/>
    <w:rsid w:val="00E846CB"/>
    <w:rsid w:val="00E851B1"/>
    <w:rsid w:val="00E87E47"/>
    <w:rsid w:val="00E90A64"/>
    <w:rsid w:val="00E90CD3"/>
    <w:rsid w:val="00E92AC3"/>
    <w:rsid w:val="00E95C2E"/>
    <w:rsid w:val="00E96F1F"/>
    <w:rsid w:val="00EA1443"/>
    <w:rsid w:val="00EA66BB"/>
    <w:rsid w:val="00EB00E0"/>
    <w:rsid w:val="00EB5286"/>
    <w:rsid w:val="00EC059F"/>
    <w:rsid w:val="00EC1F24"/>
    <w:rsid w:val="00EC5582"/>
    <w:rsid w:val="00EC6C5C"/>
    <w:rsid w:val="00ED5B9B"/>
    <w:rsid w:val="00ED6BAD"/>
    <w:rsid w:val="00ED7447"/>
    <w:rsid w:val="00EE1488"/>
    <w:rsid w:val="00EE309C"/>
    <w:rsid w:val="00EE3166"/>
    <w:rsid w:val="00EE4D5D"/>
    <w:rsid w:val="00EE62E6"/>
    <w:rsid w:val="00EE7A6A"/>
    <w:rsid w:val="00EF109B"/>
    <w:rsid w:val="00EF362A"/>
    <w:rsid w:val="00EF36AF"/>
    <w:rsid w:val="00EF56E1"/>
    <w:rsid w:val="00F00F9C"/>
    <w:rsid w:val="00F010A2"/>
    <w:rsid w:val="00F02ABA"/>
    <w:rsid w:val="00F0437A"/>
    <w:rsid w:val="00F070EF"/>
    <w:rsid w:val="00F11037"/>
    <w:rsid w:val="00F20252"/>
    <w:rsid w:val="00F22EF4"/>
    <w:rsid w:val="00F250A9"/>
    <w:rsid w:val="00F27D22"/>
    <w:rsid w:val="00F30FF4"/>
    <w:rsid w:val="00F331AD"/>
    <w:rsid w:val="00F37CE6"/>
    <w:rsid w:val="00F40AEF"/>
    <w:rsid w:val="00F416CC"/>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395D"/>
    <w:rsid w:val="00F7693B"/>
    <w:rsid w:val="00F76CAB"/>
    <w:rsid w:val="00F771F4"/>
    <w:rsid w:val="00F772C6"/>
    <w:rsid w:val="00F810D8"/>
    <w:rsid w:val="00F85195"/>
    <w:rsid w:val="00F938BA"/>
    <w:rsid w:val="00F94A4E"/>
    <w:rsid w:val="00F9697E"/>
    <w:rsid w:val="00FA2C46"/>
    <w:rsid w:val="00FA4625"/>
    <w:rsid w:val="00FA6A31"/>
    <w:rsid w:val="00FB4CDA"/>
    <w:rsid w:val="00FC0F81"/>
    <w:rsid w:val="00FC2283"/>
    <w:rsid w:val="00FC395C"/>
    <w:rsid w:val="00FD2FEB"/>
    <w:rsid w:val="00FD3766"/>
    <w:rsid w:val="00FD47C4"/>
    <w:rsid w:val="00FE19A5"/>
    <w:rsid w:val="00FE2DCF"/>
    <w:rsid w:val="00FF12A7"/>
    <w:rsid w:val="00FF1C95"/>
    <w:rsid w:val="00FF2FCE"/>
    <w:rsid w:val="00FF4F7D"/>
    <w:rsid w:val="00FF5912"/>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BBC2B"/>
  <w15:docId w15:val="{3ECC3473-CB9B-49AF-9CC5-50BBA4EF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basedOn w:val="Heading4"/>
    <w:next w:val="DPCbody"/>
    <w:link w:val="Heading3Char"/>
    <w:uiPriority w:val="1"/>
    <w:qFormat/>
    <w:rsid w:val="00007A4A"/>
    <w:pPr>
      <w:outlineLvl w:val="2"/>
    </w:pPr>
    <w:rPr>
      <w:i w:val="0"/>
      <w:color w:val="0072CE"/>
      <w:sz w:val="28"/>
    </w:rPr>
  </w:style>
  <w:style w:type="paragraph" w:styleId="Heading4">
    <w:name w:val="heading 4"/>
    <w:basedOn w:val="Heading2"/>
    <w:next w:val="DPCbody"/>
    <w:link w:val="Heading4Char"/>
    <w:autoRedefine/>
    <w:uiPriority w:val="1"/>
    <w:qFormat/>
    <w:rsid w:val="00A245A2"/>
    <w:pPr>
      <w:spacing w:after="240"/>
      <w:outlineLvl w:val="3"/>
    </w:pPr>
    <w:rPr>
      <w:b/>
      <w:i/>
      <w:color w:val="auto"/>
      <w:sz w:val="24"/>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007A4A"/>
    <w:rPr>
      <w:rFonts w:asciiTheme="majorHAnsi" w:eastAsia="MS Gothic" w:hAnsiTheme="majorHAnsi"/>
      <w:bCs/>
      <w:iCs/>
      <w:color w:val="0072CE"/>
      <w:sz w:val="28"/>
      <w:szCs w:val="36"/>
      <w:lang w:eastAsia="en-US"/>
    </w:rPr>
  </w:style>
  <w:style w:type="character" w:customStyle="1" w:styleId="Heading4Char">
    <w:name w:val="Heading 4 Char"/>
    <w:link w:val="Heading4"/>
    <w:uiPriority w:val="1"/>
    <w:rsid w:val="00A245A2"/>
    <w:rPr>
      <w:rFonts w:asciiTheme="majorHAnsi" w:eastAsia="MS Gothic" w:hAnsiTheme="majorHAnsi"/>
      <w:b/>
      <w:bCs/>
      <w:i/>
      <w:iCs/>
      <w:sz w:val="24"/>
      <w:szCs w:val="36"/>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tablebullet"/>
    <w:qFormat/>
    <w:rsid w:val="00CB0E26"/>
    <w:pPr>
      <w:ind w:left="31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E90A64"/>
    <w:pPr>
      <w:tabs>
        <w:tab w:val="right" w:pos="7581"/>
      </w:tabs>
      <w:spacing w:before="60" w:after="40"/>
    </w:pPr>
    <w:rPr>
      <w:rFonts w:asciiTheme="minorHAnsi" w:eastAsia="Times"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1"/>
      </w:numPr>
      <w:spacing w:after="60"/>
    </w:pPr>
  </w:style>
  <w:style w:type="paragraph" w:customStyle="1" w:styleId="DPCtablebullet">
    <w:name w:val="DPC table bullet"/>
    <w:basedOn w:val="DPCtabletext"/>
    <w:uiPriority w:val="3"/>
    <w:qFormat/>
    <w:rsid w:val="00CB0E26"/>
    <w:pPr>
      <w:numPr>
        <w:numId w:val="15"/>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3"/>
    <w:rsid w:val="00526865"/>
    <w:pPr>
      <w:numPr>
        <w:ilvl w:val="1"/>
        <w:numId w:val="3"/>
      </w:numPr>
    </w:pPr>
    <w:rPr>
      <w:rFonts w:ascii="Arial" w:hAnsi="Arial"/>
    </w:rPr>
  </w:style>
  <w:style w:type="paragraph" w:customStyle="1" w:styleId="DPCnumberdigitindent">
    <w:name w:val="DPC number digit indent"/>
    <w:basedOn w:val="Normal"/>
    <w:uiPriority w:val="4"/>
    <w:qFormat/>
    <w:rsid w:val="00526865"/>
    <w:pPr>
      <w:numPr>
        <w:ilvl w:val="1"/>
        <w:numId w:val="2"/>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3"/>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1"/>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915579"/>
    <w:rPr>
      <w:rFonts w:ascii="Tahoma" w:hAnsi="Tahoma" w:cs="Tahoma"/>
      <w:sz w:val="16"/>
      <w:szCs w:val="16"/>
    </w:rPr>
  </w:style>
  <w:style w:type="character" w:customStyle="1" w:styleId="BalloonTextChar">
    <w:name w:val="Balloon Text Char"/>
    <w:basedOn w:val="DefaultParagraphFont"/>
    <w:link w:val="BalloonText"/>
    <w:uiPriority w:val="99"/>
    <w:semiHidden/>
    <w:rsid w:val="00915579"/>
    <w:rPr>
      <w:rFonts w:ascii="Tahoma" w:hAnsi="Tahoma" w:cs="Tahoma"/>
      <w:sz w:val="16"/>
      <w:szCs w:val="16"/>
      <w:lang w:eastAsia="en-US"/>
    </w:rPr>
  </w:style>
  <w:style w:type="paragraph" w:styleId="NormalWeb">
    <w:name w:val="Normal (Web)"/>
    <w:basedOn w:val="Normal"/>
    <w:uiPriority w:val="99"/>
    <w:unhideWhenUsed/>
    <w:rsid w:val="003E3223"/>
    <w:pPr>
      <w:spacing w:before="100" w:beforeAutospacing="1" w:after="100" w:afterAutospacing="1"/>
    </w:pPr>
    <w:rPr>
      <w:rFonts w:ascii="Times New Roman" w:eastAsiaTheme="minorEastAsia" w:hAnsi="Times New Roman"/>
      <w:sz w:val="24"/>
      <w:szCs w:val="24"/>
      <w:lang w:eastAsia="en-AU"/>
    </w:rPr>
  </w:style>
  <w:style w:type="paragraph" w:styleId="ListParagraph">
    <w:name w:val="List Paragraph"/>
    <w:basedOn w:val="Normal"/>
    <w:uiPriority w:val="34"/>
    <w:qFormat/>
    <w:rsid w:val="003E3223"/>
    <w:pPr>
      <w:ind w:left="720"/>
      <w:contextualSpacing/>
    </w:pPr>
    <w:rPr>
      <w:rFonts w:ascii="Times New Roman" w:eastAsiaTheme="minorEastAsia" w:hAnsi="Times New Roman"/>
      <w:sz w:val="24"/>
      <w:szCs w:val="24"/>
      <w:lang w:eastAsia="en-AU"/>
    </w:rPr>
  </w:style>
  <w:style w:type="paragraph" w:styleId="Caption">
    <w:name w:val="caption"/>
    <w:basedOn w:val="Normal"/>
    <w:next w:val="Normal"/>
    <w:uiPriority w:val="35"/>
    <w:unhideWhenUsed/>
    <w:qFormat/>
    <w:rsid w:val="00C9692A"/>
    <w:pPr>
      <w:spacing w:after="200"/>
      <w:jc w:val="center"/>
    </w:pPr>
    <w:rPr>
      <w:rFonts w:asciiTheme="majorHAnsi" w:hAnsiTheme="majorHAnsi" w:cstheme="majorHAnsi"/>
      <w:b/>
      <w:bCs/>
      <w:color w:val="595959" w:themeColor="text1" w:themeTint="A6"/>
      <w:sz w:val="18"/>
      <w:szCs w:val="18"/>
    </w:rPr>
  </w:style>
  <w:style w:type="table" w:styleId="MediumShading1-Accent6">
    <w:name w:val="Medium Shading 1 Accent 6"/>
    <w:basedOn w:val="TableNormal"/>
    <w:uiPriority w:val="68"/>
    <w:rsid w:val="00FA4625"/>
    <w:tblPr>
      <w:tblStyleRowBandSize w:val="1"/>
      <w:tblStyleColBandSize w:val="1"/>
      <w:tbl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single" w:sz="8" w:space="0" w:color="D64951" w:themeColor="accent6" w:themeTint="BF"/>
      </w:tblBorders>
    </w:tblPr>
    <w:tblStylePr w:type="firstRow">
      <w:pPr>
        <w:spacing w:before="0" w:after="0" w:line="240" w:lineRule="auto"/>
      </w:pPr>
      <w:rPr>
        <w:b/>
        <w:bCs/>
        <w:color w:val="FFFFFF" w:themeColor="background1"/>
      </w:rPr>
      <w:tblPr/>
      <w:tcPr>
        <w:tc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shd w:val="clear" w:color="auto" w:fill="AF272F" w:themeFill="accent6"/>
      </w:tcPr>
    </w:tblStylePr>
    <w:tblStylePr w:type="lastRow">
      <w:pPr>
        <w:spacing w:before="0" w:after="0" w:line="240" w:lineRule="auto"/>
      </w:pPr>
      <w:rPr>
        <w:b/>
        <w:bCs/>
      </w:rPr>
      <w:tblPr/>
      <w:tcPr>
        <w:tcBorders>
          <w:top w:val="double" w:sz="6"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6" w:themeFillTint="3F"/>
      </w:tcPr>
    </w:tblStylePr>
    <w:tblStylePr w:type="band1Horz">
      <w:tblPr/>
      <w:tcPr>
        <w:tcBorders>
          <w:insideH w:val="nil"/>
          <w:insideV w:val="nil"/>
        </w:tcBorders>
        <w:shd w:val="clear" w:color="auto" w:fill="F1C3C5" w:themeFill="accent6"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6E1AB5"/>
  </w:style>
  <w:style w:type="character" w:styleId="Strong">
    <w:name w:val="Strong"/>
    <w:basedOn w:val="DefaultParagraphFont"/>
    <w:uiPriority w:val="22"/>
    <w:qFormat/>
    <w:rsid w:val="00240C7B"/>
    <w:rPr>
      <w:b/>
      <w:bCs/>
    </w:rPr>
  </w:style>
  <w:style w:type="paragraph" w:styleId="IntenseQuote">
    <w:name w:val="Intense Quote"/>
    <w:basedOn w:val="Normal"/>
    <w:next w:val="Normal"/>
    <w:link w:val="IntenseQuoteChar"/>
    <w:uiPriority w:val="60"/>
    <w:qFormat/>
    <w:rsid w:val="008A300C"/>
    <w:pPr>
      <w:pBdr>
        <w:top w:val="single" w:sz="4" w:space="10" w:color="0072CE" w:themeColor="accent1"/>
        <w:bottom w:val="single" w:sz="4" w:space="10" w:color="0072CE" w:themeColor="accent1"/>
      </w:pBdr>
      <w:spacing w:before="360" w:after="360"/>
      <w:ind w:left="864" w:right="864"/>
      <w:jc w:val="center"/>
    </w:pPr>
    <w:rPr>
      <w:i/>
      <w:iCs/>
      <w:color w:val="0072CE" w:themeColor="accent1"/>
    </w:rPr>
  </w:style>
  <w:style w:type="character" w:customStyle="1" w:styleId="IntenseQuoteChar">
    <w:name w:val="Intense Quote Char"/>
    <w:basedOn w:val="DefaultParagraphFont"/>
    <w:link w:val="IntenseQuote"/>
    <w:uiPriority w:val="60"/>
    <w:rsid w:val="008A300C"/>
    <w:rPr>
      <w:rFonts w:ascii="Cambria" w:hAnsi="Cambria"/>
      <w:i/>
      <w:iCs/>
      <w:color w:val="0072CE" w:themeColor="accent1"/>
      <w:lang w:eastAsia="en-US"/>
    </w:rPr>
  </w:style>
  <w:style w:type="character" w:styleId="IntenseEmphasis">
    <w:name w:val="Intense Emphasis"/>
    <w:basedOn w:val="DefaultParagraphFont"/>
    <w:uiPriority w:val="66"/>
    <w:qFormat/>
    <w:rsid w:val="00D545E2"/>
    <w:rPr>
      <w:rFonts w:ascii="Arial" w:hAnsi="Arial" w:cs="Arial"/>
      <w:b w:val="0"/>
      <w:i w:val="0"/>
      <w:sz w:val="22"/>
    </w:rPr>
  </w:style>
  <w:style w:type="character" w:customStyle="1" w:styleId="UnresolvedMention1">
    <w:name w:val="Unresolved Mention1"/>
    <w:basedOn w:val="DefaultParagraphFont"/>
    <w:uiPriority w:val="99"/>
    <w:semiHidden/>
    <w:unhideWhenUsed/>
    <w:rsid w:val="00C56437"/>
    <w:rPr>
      <w:color w:val="808080"/>
      <w:shd w:val="clear" w:color="auto" w:fill="E6E6E6"/>
    </w:rPr>
  </w:style>
  <w:style w:type="paragraph" w:styleId="TOCHeading">
    <w:name w:val="TOC Heading"/>
    <w:basedOn w:val="Heading1"/>
    <w:next w:val="Normal"/>
    <w:uiPriority w:val="39"/>
    <w:semiHidden/>
    <w:unhideWhenUsed/>
    <w:qFormat/>
    <w:rsid w:val="00D46777"/>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CommentReference">
    <w:name w:val="annotation reference"/>
    <w:basedOn w:val="DefaultParagraphFont"/>
    <w:uiPriority w:val="99"/>
    <w:semiHidden/>
    <w:unhideWhenUsed/>
    <w:rsid w:val="00B93325"/>
    <w:rPr>
      <w:sz w:val="16"/>
      <w:szCs w:val="16"/>
    </w:rPr>
  </w:style>
  <w:style w:type="paragraph" w:styleId="CommentText">
    <w:name w:val="annotation text"/>
    <w:basedOn w:val="Normal"/>
    <w:link w:val="CommentTextChar"/>
    <w:uiPriority w:val="99"/>
    <w:semiHidden/>
    <w:unhideWhenUsed/>
    <w:rsid w:val="00B93325"/>
  </w:style>
  <w:style w:type="character" w:customStyle="1" w:styleId="CommentTextChar">
    <w:name w:val="Comment Text Char"/>
    <w:basedOn w:val="DefaultParagraphFont"/>
    <w:link w:val="CommentText"/>
    <w:uiPriority w:val="99"/>
    <w:semiHidden/>
    <w:rsid w:val="00B93325"/>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93325"/>
    <w:rPr>
      <w:b/>
      <w:bCs/>
    </w:rPr>
  </w:style>
  <w:style w:type="character" w:customStyle="1" w:styleId="CommentSubjectChar">
    <w:name w:val="Comment Subject Char"/>
    <w:basedOn w:val="CommentTextChar"/>
    <w:link w:val="CommentSubject"/>
    <w:uiPriority w:val="99"/>
    <w:semiHidden/>
    <w:rsid w:val="00B93325"/>
    <w:rPr>
      <w:rFonts w:ascii="Cambria" w:hAnsi="Cambria"/>
      <w:b/>
      <w:bCs/>
      <w:lang w:eastAsia="en-US"/>
    </w:rPr>
  </w:style>
  <w:style w:type="paragraph" w:styleId="Revision">
    <w:name w:val="Revision"/>
    <w:hidden/>
    <w:uiPriority w:val="71"/>
    <w:rsid w:val="005356C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540">
      <w:bodyDiv w:val="1"/>
      <w:marLeft w:val="0"/>
      <w:marRight w:val="0"/>
      <w:marTop w:val="0"/>
      <w:marBottom w:val="0"/>
      <w:divBdr>
        <w:top w:val="none" w:sz="0" w:space="0" w:color="auto"/>
        <w:left w:val="none" w:sz="0" w:space="0" w:color="auto"/>
        <w:bottom w:val="none" w:sz="0" w:space="0" w:color="auto"/>
        <w:right w:val="none" w:sz="0" w:space="0" w:color="auto"/>
      </w:divBdr>
      <w:divsChild>
        <w:div w:id="642274370">
          <w:marLeft w:val="446"/>
          <w:marRight w:val="0"/>
          <w:marTop w:val="120"/>
          <w:marBottom w:val="120"/>
          <w:divBdr>
            <w:top w:val="none" w:sz="0" w:space="0" w:color="auto"/>
            <w:left w:val="none" w:sz="0" w:space="0" w:color="auto"/>
            <w:bottom w:val="none" w:sz="0" w:space="0" w:color="auto"/>
            <w:right w:val="none" w:sz="0" w:space="0" w:color="auto"/>
          </w:divBdr>
        </w:div>
      </w:divsChild>
    </w:div>
    <w:div w:id="313415074">
      <w:bodyDiv w:val="1"/>
      <w:marLeft w:val="0"/>
      <w:marRight w:val="0"/>
      <w:marTop w:val="0"/>
      <w:marBottom w:val="0"/>
      <w:divBdr>
        <w:top w:val="none" w:sz="0" w:space="0" w:color="auto"/>
        <w:left w:val="none" w:sz="0" w:space="0" w:color="auto"/>
        <w:bottom w:val="none" w:sz="0" w:space="0" w:color="auto"/>
        <w:right w:val="none" w:sz="0" w:space="0" w:color="auto"/>
      </w:divBdr>
      <w:divsChild>
        <w:div w:id="1748763018">
          <w:marLeft w:val="374"/>
          <w:marRight w:val="0"/>
          <w:marTop w:val="0"/>
          <w:marBottom w:val="0"/>
          <w:divBdr>
            <w:top w:val="none" w:sz="0" w:space="0" w:color="auto"/>
            <w:left w:val="none" w:sz="0" w:space="0" w:color="auto"/>
            <w:bottom w:val="none" w:sz="0" w:space="0" w:color="auto"/>
            <w:right w:val="none" w:sz="0" w:space="0" w:color="auto"/>
          </w:divBdr>
        </w:div>
        <w:div w:id="2130852625">
          <w:marLeft w:val="374"/>
          <w:marRight w:val="0"/>
          <w:marTop w:val="0"/>
          <w:marBottom w:val="0"/>
          <w:divBdr>
            <w:top w:val="none" w:sz="0" w:space="0" w:color="auto"/>
            <w:left w:val="none" w:sz="0" w:space="0" w:color="auto"/>
            <w:bottom w:val="none" w:sz="0" w:space="0" w:color="auto"/>
            <w:right w:val="none" w:sz="0" w:space="0" w:color="auto"/>
          </w:divBdr>
        </w:div>
        <w:div w:id="682443342">
          <w:marLeft w:val="374"/>
          <w:marRight w:val="0"/>
          <w:marTop w:val="0"/>
          <w:marBottom w:val="0"/>
          <w:divBdr>
            <w:top w:val="none" w:sz="0" w:space="0" w:color="auto"/>
            <w:left w:val="none" w:sz="0" w:space="0" w:color="auto"/>
            <w:bottom w:val="none" w:sz="0" w:space="0" w:color="auto"/>
            <w:right w:val="none" w:sz="0" w:space="0" w:color="auto"/>
          </w:divBdr>
        </w:div>
        <w:div w:id="1495223712">
          <w:marLeft w:val="374"/>
          <w:marRight w:val="0"/>
          <w:marTop w:val="0"/>
          <w:marBottom w:val="0"/>
          <w:divBdr>
            <w:top w:val="none" w:sz="0" w:space="0" w:color="auto"/>
            <w:left w:val="none" w:sz="0" w:space="0" w:color="auto"/>
            <w:bottom w:val="none" w:sz="0" w:space="0" w:color="auto"/>
            <w:right w:val="none" w:sz="0" w:space="0" w:color="auto"/>
          </w:divBdr>
        </w:div>
        <w:div w:id="341511642">
          <w:marLeft w:val="374"/>
          <w:marRight w:val="0"/>
          <w:marTop w:val="0"/>
          <w:marBottom w:val="0"/>
          <w:divBdr>
            <w:top w:val="none" w:sz="0" w:space="0" w:color="auto"/>
            <w:left w:val="none" w:sz="0" w:space="0" w:color="auto"/>
            <w:bottom w:val="none" w:sz="0" w:space="0" w:color="auto"/>
            <w:right w:val="none" w:sz="0" w:space="0" w:color="auto"/>
          </w:divBdr>
        </w:div>
        <w:div w:id="348259465">
          <w:marLeft w:val="374"/>
          <w:marRight w:val="0"/>
          <w:marTop w:val="0"/>
          <w:marBottom w:val="0"/>
          <w:divBdr>
            <w:top w:val="none" w:sz="0" w:space="0" w:color="auto"/>
            <w:left w:val="none" w:sz="0" w:space="0" w:color="auto"/>
            <w:bottom w:val="none" w:sz="0" w:space="0" w:color="auto"/>
            <w:right w:val="none" w:sz="0" w:space="0" w:color="auto"/>
          </w:divBdr>
        </w:div>
        <w:div w:id="971405162">
          <w:marLeft w:val="374"/>
          <w:marRight w:val="0"/>
          <w:marTop w:val="0"/>
          <w:marBottom w:val="0"/>
          <w:divBdr>
            <w:top w:val="none" w:sz="0" w:space="0" w:color="auto"/>
            <w:left w:val="none" w:sz="0" w:space="0" w:color="auto"/>
            <w:bottom w:val="none" w:sz="0" w:space="0" w:color="auto"/>
            <w:right w:val="none" w:sz="0" w:space="0" w:color="auto"/>
          </w:divBdr>
        </w:div>
        <w:div w:id="510921405">
          <w:marLeft w:val="374"/>
          <w:marRight w:val="0"/>
          <w:marTop w:val="0"/>
          <w:marBottom w:val="0"/>
          <w:divBdr>
            <w:top w:val="none" w:sz="0" w:space="0" w:color="auto"/>
            <w:left w:val="none" w:sz="0" w:space="0" w:color="auto"/>
            <w:bottom w:val="none" w:sz="0" w:space="0" w:color="auto"/>
            <w:right w:val="none" w:sz="0" w:space="0" w:color="auto"/>
          </w:divBdr>
        </w:div>
        <w:div w:id="363873168">
          <w:marLeft w:val="374"/>
          <w:marRight w:val="0"/>
          <w:marTop w:val="0"/>
          <w:marBottom w:val="0"/>
          <w:divBdr>
            <w:top w:val="none" w:sz="0" w:space="0" w:color="auto"/>
            <w:left w:val="none" w:sz="0" w:space="0" w:color="auto"/>
            <w:bottom w:val="none" w:sz="0" w:space="0" w:color="auto"/>
            <w:right w:val="none" w:sz="0" w:space="0" w:color="auto"/>
          </w:divBdr>
        </w:div>
        <w:div w:id="1482767659">
          <w:marLeft w:val="374"/>
          <w:marRight w:val="0"/>
          <w:marTop w:val="0"/>
          <w:marBottom w:val="0"/>
          <w:divBdr>
            <w:top w:val="none" w:sz="0" w:space="0" w:color="auto"/>
            <w:left w:val="none" w:sz="0" w:space="0" w:color="auto"/>
            <w:bottom w:val="none" w:sz="0" w:space="0" w:color="auto"/>
            <w:right w:val="none" w:sz="0" w:space="0" w:color="auto"/>
          </w:divBdr>
        </w:div>
        <w:div w:id="717970997">
          <w:marLeft w:val="374"/>
          <w:marRight w:val="0"/>
          <w:marTop w:val="0"/>
          <w:marBottom w:val="0"/>
          <w:divBdr>
            <w:top w:val="none" w:sz="0" w:space="0" w:color="auto"/>
            <w:left w:val="none" w:sz="0" w:space="0" w:color="auto"/>
            <w:bottom w:val="none" w:sz="0" w:space="0" w:color="auto"/>
            <w:right w:val="none" w:sz="0" w:space="0" w:color="auto"/>
          </w:divBdr>
        </w:div>
      </w:divsChild>
    </w:div>
    <w:div w:id="728504801">
      <w:bodyDiv w:val="1"/>
      <w:marLeft w:val="0"/>
      <w:marRight w:val="0"/>
      <w:marTop w:val="0"/>
      <w:marBottom w:val="0"/>
      <w:divBdr>
        <w:top w:val="none" w:sz="0" w:space="0" w:color="auto"/>
        <w:left w:val="none" w:sz="0" w:space="0" w:color="auto"/>
        <w:bottom w:val="none" w:sz="0" w:space="0" w:color="auto"/>
        <w:right w:val="none" w:sz="0" w:space="0" w:color="auto"/>
      </w:divBdr>
      <w:divsChild>
        <w:div w:id="492726522">
          <w:marLeft w:val="547"/>
          <w:marRight w:val="0"/>
          <w:marTop w:val="0"/>
          <w:marBottom w:val="0"/>
          <w:divBdr>
            <w:top w:val="none" w:sz="0" w:space="0" w:color="auto"/>
            <w:left w:val="none" w:sz="0" w:space="0" w:color="auto"/>
            <w:bottom w:val="none" w:sz="0" w:space="0" w:color="auto"/>
            <w:right w:val="none" w:sz="0" w:space="0" w:color="auto"/>
          </w:divBdr>
        </w:div>
        <w:div w:id="531114854">
          <w:marLeft w:val="547"/>
          <w:marRight w:val="0"/>
          <w:marTop w:val="0"/>
          <w:marBottom w:val="0"/>
          <w:divBdr>
            <w:top w:val="none" w:sz="0" w:space="0" w:color="auto"/>
            <w:left w:val="none" w:sz="0" w:space="0" w:color="auto"/>
            <w:bottom w:val="none" w:sz="0" w:space="0" w:color="auto"/>
            <w:right w:val="none" w:sz="0" w:space="0" w:color="auto"/>
          </w:divBdr>
        </w:div>
        <w:div w:id="2359819">
          <w:marLeft w:val="547"/>
          <w:marRight w:val="0"/>
          <w:marTop w:val="0"/>
          <w:marBottom w:val="0"/>
          <w:divBdr>
            <w:top w:val="none" w:sz="0" w:space="0" w:color="auto"/>
            <w:left w:val="none" w:sz="0" w:space="0" w:color="auto"/>
            <w:bottom w:val="none" w:sz="0" w:space="0" w:color="auto"/>
            <w:right w:val="none" w:sz="0" w:space="0" w:color="auto"/>
          </w:divBdr>
        </w:div>
        <w:div w:id="72943411">
          <w:marLeft w:val="547"/>
          <w:marRight w:val="0"/>
          <w:marTop w:val="0"/>
          <w:marBottom w:val="0"/>
          <w:divBdr>
            <w:top w:val="none" w:sz="0" w:space="0" w:color="auto"/>
            <w:left w:val="none" w:sz="0" w:space="0" w:color="auto"/>
            <w:bottom w:val="none" w:sz="0" w:space="0" w:color="auto"/>
            <w:right w:val="none" w:sz="0" w:space="0" w:color="auto"/>
          </w:divBdr>
        </w:div>
        <w:div w:id="1812016740">
          <w:marLeft w:val="547"/>
          <w:marRight w:val="0"/>
          <w:marTop w:val="0"/>
          <w:marBottom w:val="0"/>
          <w:divBdr>
            <w:top w:val="none" w:sz="0" w:space="0" w:color="auto"/>
            <w:left w:val="none" w:sz="0" w:space="0" w:color="auto"/>
            <w:bottom w:val="none" w:sz="0" w:space="0" w:color="auto"/>
            <w:right w:val="none" w:sz="0" w:space="0" w:color="auto"/>
          </w:divBdr>
        </w:div>
        <w:div w:id="565995904">
          <w:marLeft w:val="547"/>
          <w:marRight w:val="0"/>
          <w:marTop w:val="0"/>
          <w:marBottom w:val="0"/>
          <w:divBdr>
            <w:top w:val="none" w:sz="0" w:space="0" w:color="auto"/>
            <w:left w:val="none" w:sz="0" w:space="0" w:color="auto"/>
            <w:bottom w:val="none" w:sz="0" w:space="0" w:color="auto"/>
            <w:right w:val="none" w:sz="0" w:space="0" w:color="auto"/>
          </w:divBdr>
        </w:div>
        <w:div w:id="768962902">
          <w:marLeft w:val="547"/>
          <w:marRight w:val="0"/>
          <w:marTop w:val="0"/>
          <w:marBottom w:val="0"/>
          <w:divBdr>
            <w:top w:val="none" w:sz="0" w:space="0" w:color="auto"/>
            <w:left w:val="none" w:sz="0" w:space="0" w:color="auto"/>
            <w:bottom w:val="none" w:sz="0" w:space="0" w:color="auto"/>
            <w:right w:val="none" w:sz="0" w:space="0" w:color="auto"/>
          </w:divBdr>
        </w:div>
        <w:div w:id="295456491">
          <w:marLeft w:val="547"/>
          <w:marRight w:val="0"/>
          <w:marTop w:val="0"/>
          <w:marBottom w:val="0"/>
          <w:divBdr>
            <w:top w:val="none" w:sz="0" w:space="0" w:color="auto"/>
            <w:left w:val="none" w:sz="0" w:space="0" w:color="auto"/>
            <w:bottom w:val="none" w:sz="0" w:space="0" w:color="auto"/>
            <w:right w:val="none" w:sz="0" w:space="0" w:color="auto"/>
          </w:divBdr>
        </w:div>
        <w:div w:id="977995915">
          <w:marLeft w:val="547"/>
          <w:marRight w:val="0"/>
          <w:marTop w:val="0"/>
          <w:marBottom w:val="0"/>
          <w:divBdr>
            <w:top w:val="none" w:sz="0" w:space="0" w:color="auto"/>
            <w:left w:val="none" w:sz="0" w:space="0" w:color="auto"/>
            <w:bottom w:val="none" w:sz="0" w:space="0" w:color="auto"/>
            <w:right w:val="none" w:sz="0" w:space="0" w:color="auto"/>
          </w:divBdr>
        </w:div>
        <w:div w:id="958342093">
          <w:marLeft w:val="547"/>
          <w:marRight w:val="0"/>
          <w:marTop w:val="0"/>
          <w:marBottom w:val="0"/>
          <w:divBdr>
            <w:top w:val="none" w:sz="0" w:space="0" w:color="auto"/>
            <w:left w:val="none" w:sz="0" w:space="0" w:color="auto"/>
            <w:bottom w:val="none" w:sz="0" w:space="0" w:color="auto"/>
            <w:right w:val="none" w:sz="0" w:space="0" w:color="auto"/>
          </w:divBdr>
        </w:div>
        <w:div w:id="750278186">
          <w:marLeft w:val="547"/>
          <w:marRight w:val="0"/>
          <w:marTop w:val="0"/>
          <w:marBottom w:val="0"/>
          <w:divBdr>
            <w:top w:val="none" w:sz="0" w:space="0" w:color="auto"/>
            <w:left w:val="none" w:sz="0" w:space="0" w:color="auto"/>
            <w:bottom w:val="none" w:sz="0" w:space="0" w:color="auto"/>
            <w:right w:val="none" w:sz="0" w:space="0" w:color="auto"/>
          </w:divBdr>
        </w:div>
        <w:div w:id="41560594">
          <w:marLeft w:val="547"/>
          <w:marRight w:val="0"/>
          <w:marTop w:val="0"/>
          <w:marBottom w:val="0"/>
          <w:divBdr>
            <w:top w:val="none" w:sz="0" w:space="0" w:color="auto"/>
            <w:left w:val="none" w:sz="0" w:space="0" w:color="auto"/>
            <w:bottom w:val="none" w:sz="0" w:space="0" w:color="auto"/>
            <w:right w:val="none" w:sz="0" w:space="0" w:color="auto"/>
          </w:divBdr>
        </w:div>
        <w:div w:id="1239947542">
          <w:marLeft w:val="547"/>
          <w:marRight w:val="0"/>
          <w:marTop w:val="0"/>
          <w:marBottom w:val="0"/>
          <w:divBdr>
            <w:top w:val="none" w:sz="0" w:space="0" w:color="auto"/>
            <w:left w:val="none" w:sz="0" w:space="0" w:color="auto"/>
            <w:bottom w:val="none" w:sz="0" w:space="0" w:color="auto"/>
            <w:right w:val="none" w:sz="0" w:space="0" w:color="auto"/>
          </w:divBdr>
        </w:div>
      </w:divsChild>
    </w:div>
    <w:div w:id="761032918">
      <w:bodyDiv w:val="1"/>
      <w:marLeft w:val="0"/>
      <w:marRight w:val="0"/>
      <w:marTop w:val="0"/>
      <w:marBottom w:val="0"/>
      <w:divBdr>
        <w:top w:val="none" w:sz="0" w:space="0" w:color="auto"/>
        <w:left w:val="none" w:sz="0" w:space="0" w:color="auto"/>
        <w:bottom w:val="none" w:sz="0" w:space="0" w:color="auto"/>
        <w:right w:val="none" w:sz="0" w:space="0" w:color="auto"/>
      </w:divBdr>
    </w:div>
    <w:div w:id="943538677">
      <w:bodyDiv w:val="1"/>
      <w:marLeft w:val="0"/>
      <w:marRight w:val="0"/>
      <w:marTop w:val="0"/>
      <w:marBottom w:val="0"/>
      <w:divBdr>
        <w:top w:val="none" w:sz="0" w:space="0" w:color="auto"/>
        <w:left w:val="none" w:sz="0" w:space="0" w:color="auto"/>
        <w:bottom w:val="none" w:sz="0" w:space="0" w:color="auto"/>
        <w:right w:val="none" w:sz="0" w:space="0" w:color="auto"/>
      </w:divBdr>
      <w:divsChild>
        <w:div w:id="635793805">
          <w:marLeft w:val="547"/>
          <w:marRight w:val="0"/>
          <w:marTop w:val="120"/>
          <w:marBottom w:val="120"/>
          <w:divBdr>
            <w:top w:val="none" w:sz="0" w:space="0" w:color="auto"/>
            <w:left w:val="none" w:sz="0" w:space="0" w:color="auto"/>
            <w:bottom w:val="none" w:sz="0" w:space="0" w:color="auto"/>
            <w:right w:val="none" w:sz="0" w:space="0" w:color="auto"/>
          </w:divBdr>
        </w:div>
        <w:div w:id="1811287162">
          <w:marLeft w:val="547"/>
          <w:marRight w:val="0"/>
          <w:marTop w:val="120"/>
          <w:marBottom w:val="120"/>
          <w:divBdr>
            <w:top w:val="none" w:sz="0" w:space="0" w:color="auto"/>
            <w:left w:val="none" w:sz="0" w:space="0" w:color="auto"/>
            <w:bottom w:val="none" w:sz="0" w:space="0" w:color="auto"/>
            <w:right w:val="none" w:sz="0" w:space="0" w:color="auto"/>
          </w:divBdr>
        </w:div>
      </w:divsChild>
    </w:div>
    <w:div w:id="1156721283">
      <w:bodyDiv w:val="1"/>
      <w:marLeft w:val="0"/>
      <w:marRight w:val="0"/>
      <w:marTop w:val="0"/>
      <w:marBottom w:val="0"/>
      <w:divBdr>
        <w:top w:val="none" w:sz="0" w:space="0" w:color="auto"/>
        <w:left w:val="none" w:sz="0" w:space="0" w:color="auto"/>
        <w:bottom w:val="none" w:sz="0" w:space="0" w:color="auto"/>
        <w:right w:val="none" w:sz="0" w:space="0" w:color="auto"/>
      </w:divBdr>
      <w:divsChild>
        <w:div w:id="1673608524">
          <w:marLeft w:val="446"/>
          <w:marRight w:val="0"/>
          <w:marTop w:val="120"/>
          <w:marBottom w:val="120"/>
          <w:divBdr>
            <w:top w:val="none" w:sz="0" w:space="0" w:color="auto"/>
            <w:left w:val="none" w:sz="0" w:space="0" w:color="auto"/>
            <w:bottom w:val="none" w:sz="0" w:space="0" w:color="auto"/>
            <w:right w:val="none" w:sz="0" w:space="0" w:color="auto"/>
          </w:divBdr>
        </w:div>
        <w:div w:id="1122843244">
          <w:marLeft w:val="446"/>
          <w:marRight w:val="0"/>
          <w:marTop w:val="120"/>
          <w:marBottom w:val="120"/>
          <w:divBdr>
            <w:top w:val="none" w:sz="0" w:space="0" w:color="auto"/>
            <w:left w:val="none" w:sz="0" w:space="0" w:color="auto"/>
            <w:bottom w:val="none" w:sz="0" w:space="0" w:color="auto"/>
            <w:right w:val="none" w:sz="0" w:space="0" w:color="auto"/>
          </w:divBdr>
        </w:div>
        <w:div w:id="602033562">
          <w:marLeft w:val="446"/>
          <w:marRight w:val="0"/>
          <w:marTop w:val="120"/>
          <w:marBottom w:val="120"/>
          <w:divBdr>
            <w:top w:val="none" w:sz="0" w:space="0" w:color="auto"/>
            <w:left w:val="none" w:sz="0" w:space="0" w:color="auto"/>
            <w:bottom w:val="none" w:sz="0" w:space="0" w:color="auto"/>
            <w:right w:val="none" w:sz="0" w:space="0" w:color="auto"/>
          </w:divBdr>
        </w:div>
        <w:div w:id="1000616425">
          <w:marLeft w:val="446"/>
          <w:marRight w:val="0"/>
          <w:marTop w:val="120"/>
          <w:marBottom w:val="120"/>
          <w:divBdr>
            <w:top w:val="none" w:sz="0" w:space="0" w:color="auto"/>
            <w:left w:val="none" w:sz="0" w:space="0" w:color="auto"/>
            <w:bottom w:val="none" w:sz="0" w:space="0" w:color="auto"/>
            <w:right w:val="none" w:sz="0" w:space="0" w:color="auto"/>
          </w:divBdr>
        </w:div>
      </w:divsChild>
    </w:div>
    <w:div w:id="1289437615">
      <w:bodyDiv w:val="1"/>
      <w:marLeft w:val="0"/>
      <w:marRight w:val="0"/>
      <w:marTop w:val="0"/>
      <w:marBottom w:val="0"/>
      <w:divBdr>
        <w:top w:val="none" w:sz="0" w:space="0" w:color="auto"/>
        <w:left w:val="none" w:sz="0" w:space="0" w:color="auto"/>
        <w:bottom w:val="none" w:sz="0" w:space="0" w:color="auto"/>
        <w:right w:val="none" w:sz="0" w:space="0" w:color="auto"/>
      </w:divBdr>
      <w:divsChild>
        <w:div w:id="1988853421">
          <w:marLeft w:val="446"/>
          <w:marRight w:val="0"/>
          <w:marTop w:val="120"/>
          <w:marBottom w:val="120"/>
          <w:divBdr>
            <w:top w:val="none" w:sz="0" w:space="0" w:color="auto"/>
            <w:left w:val="none" w:sz="0" w:space="0" w:color="auto"/>
            <w:bottom w:val="none" w:sz="0" w:space="0" w:color="auto"/>
            <w:right w:val="none" w:sz="0" w:space="0" w:color="auto"/>
          </w:divBdr>
        </w:div>
        <w:div w:id="1506550186">
          <w:marLeft w:val="446"/>
          <w:marRight w:val="0"/>
          <w:marTop w:val="120"/>
          <w:marBottom w:val="120"/>
          <w:divBdr>
            <w:top w:val="none" w:sz="0" w:space="0" w:color="auto"/>
            <w:left w:val="none" w:sz="0" w:space="0" w:color="auto"/>
            <w:bottom w:val="none" w:sz="0" w:space="0" w:color="auto"/>
            <w:right w:val="none" w:sz="0" w:space="0" w:color="auto"/>
          </w:divBdr>
        </w:div>
        <w:div w:id="2132550030">
          <w:marLeft w:val="446"/>
          <w:marRight w:val="0"/>
          <w:marTop w:val="120"/>
          <w:marBottom w:val="120"/>
          <w:divBdr>
            <w:top w:val="none" w:sz="0" w:space="0" w:color="auto"/>
            <w:left w:val="none" w:sz="0" w:space="0" w:color="auto"/>
            <w:bottom w:val="none" w:sz="0" w:space="0" w:color="auto"/>
            <w:right w:val="none" w:sz="0" w:space="0" w:color="auto"/>
          </w:divBdr>
        </w:div>
      </w:divsChild>
    </w:div>
    <w:div w:id="1387022800">
      <w:bodyDiv w:val="1"/>
      <w:marLeft w:val="0"/>
      <w:marRight w:val="0"/>
      <w:marTop w:val="0"/>
      <w:marBottom w:val="0"/>
      <w:divBdr>
        <w:top w:val="none" w:sz="0" w:space="0" w:color="auto"/>
        <w:left w:val="none" w:sz="0" w:space="0" w:color="auto"/>
        <w:bottom w:val="none" w:sz="0" w:space="0" w:color="auto"/>
        <w:right w:val="none" w:sz="0" w:space="0" w:color="auto"/>
      </w:divBdr>
      <w:divsChild>
        <w:div w:id="1406877653">
          <w:marLeft w:val="374"/>
          <w:marRight w:val="0"/>
          <w:marTop w:val="0"/>
          <w:marBottom w:val="0"/>
          <w:divBdr>
            <w:top w:val="none" w:sz="0" w:space="0" w:color="auto"/>
            <w:left w:val="none" w:sz="0" w:space="0" w:color="auto"/>
            <w:bottom w:val="none" w:sz="0" w:space="0" w:color="auto"/>
            <w:right w:val="none" w:sz="0" w:space="0" w:color="auto"/>
          </w:divBdr>
        </w:div>
        <w:div w:id="1704743311">
          <w:marLeft w:val="374"/>
          <w:marRight w:val="0"/>
          <w:marTop w:val="0"/>
          <w:marBottom w:val="0"/>
          <w:divBdr>
            <w:top w:val="none" w:sz="0" w:space="0" w:color="auto"/>
            <w:left w:val="none" w:sz="0" w:space="0" w:color="auto"/>
            <w:bottom w:val="none" w:sz="0" w:space="0" w:color="auto"/>
            <w:right w:val="none" w:sz="0" w:space="0" w:color="auto"/>
          </w:divBdr>
        </w:div>
        <w:div w:id="825632018">
          <w:marLeft w:val="374"/>
          <w:marRight w:val="0"/>
          <w:marTop w:val="0"/>
          <w:marBottom w:val="0"/>
          <w:divBdr>
            <w:top w:val="none" w:sz="0" w:space="0" w:color="auto"/>
            <w:left w:val="none" w:sz="0" w:space="0" w:color="auto"/>
            <w:bottom w:val="none" w:sz="0" w:space="0" w:color="auto"/>
            <w:right w:val="none" w:sz="0" w:space="0" w:color="auto"/>
          </w:divBdr>
        </w:div>
        <w:div w:id="1100028136">
          <w:marLeft w:val="374"/>
          <w:marRight w:val="0"/>
          <w:marTop w:val="0"/>
          <w:marBottom w:val="0"/>
          <w:divBdr>
            <w:top w:val="none" w:sz="0" w:space="0" w:color="auto"/>
            <w:left w:val="none" w:sz="0" w:space="0" w:color="auto"/>
            <w:bottom w:val="none" w:sz="0" w:space="0" w:color="auto"/>
            <w:right w:val="none" w:sz="0" w:space="0" w:color="auto"/>
          </w:divBdr>
        </w:div>
        <w:div w:id="13188567">
          <w:marLeft w:val="374"/>
          <w:marRight w:val="0"/>
          <w:marTop w:val="0"/>
          <w:marBottom w:val="0"/>
          <w:divBdr>
            <w:top w:val="none" w:sz="0" w:space="0" w:color="auto"/>
            <w:left w:val="none" w:sz="0" w:space="0" w:color="auto"/>
            <w:bottom w:val="none" w:sz="0" w:space="0" w:color="auto"/>
            <w:right w:val="none" w:sz="0" w:space="0" w:color="auto"/>
          </w:divBdr>
        </w:div>
        <w:div w:id="957104026">
          <w:marLeft w:val="374"/>
          <w:marRight w:val="0"/>
          <w:marTop w:val="0"/>
          <w:marBottom w:val="0"/>
          <w:divBdr>
            <w:top w:val="none" w:sz="0" w:space="0" w:color="auto"/>
            <w:left w:val="none" w:sz="0" w:space="0" w:color="auto"/>
            <w:bottom w:val="none" w:sz="0" w:space="0" w:color="auto"/>
            <w:right w:val="none" w:sz="0" w:space="0" w:color="auto"/>
          </w:divBdr>
        </w:div>
        <w:div w:id="1273434837">
          <w:marLeft w:val="374"/>
          <w:marRight w:val="0"/>
          <w:marTop w:val="0"/>
          <w:marBottom w:val="0"/>
          <w:divBdr>
            <w:top w:val="none" w:sz="0" w:space="0" w:color="auto"/>
            <w:left w:val="none" w:sz="0" w:space="0" w:color="auto"/>
            <w:bottom w:val="none" w:sz="0" w:space="0" w:color="auto"/>
            <w:right w:val="none" w:sz="0" w:space="0" w:color="auto"/>
          </w:divBdr>
        </w:div>
        <w:div w:id="964821174">
          <w:marLeft w:val="374"/>
          <w:marRight w:val="0"/>
          <w:marTop w:val="0"/>
          <w:marBottom w:val="0"/>
          <w:divBdr>
            <w:top w:val="none" w:sz="0" w:space="0" w:color="auto"/>
            <w:left w:val="none" w:sz="0" w:space="0" w:color="auto"/>
            <w:bottom w:val="none" w:sz="0" w:space="0" w:color="auto"/>
            <w:right w:val="none" w:sz="0" w:space="0" w:color="auto"/>
          </w:divBdr>
        </w:div>
        <w:div w:id="296762485">
          <w:marLeft w:val="374"/>
          <w:marRight w:val="0"/>
          <w:marTop w:val="0"/>
          <w:marBottom w:val="0"/>
          <w:divBdr>
            <w:top w:val="none" w:sz="0" w:space="0" w:color="auto"/>
            <w:left w:val="none" w:sz="0" w:space="0" w:color="auto"/>
            <w:bottom w:val="none" w:sz="0" w:space="0" w:color="auto"/>
            <w:right w:val="none" w:sz="0" w:space="0" w:color="auto"/>
          </w:divBdr>
        </w:div>
        <w:div w:id="1595479398">
          <w:marLeft w:val="374"/>
          <w:marRight w:val="0"/>
          <w:marTop w:val="0"/>
          <w:marBottom w:val="0"/>
          <w:divBdr>
            <w:top w:val="none" w:sz="0" w:space="0" w:color="auto"/>
            <w:left w:val="none" w:sz="0" w:space="0" w:color="auto"/>
            <w:bottom w:val="none" w:sz="0" w:space="0" w:color="auto"/>
            <w:right w:val="none" w:sz="0" w:space="0" w:color="auto"/>
          </w:divBdr>
        </w:div>
        <w:div w:id="1443770563">
          <w:marLeft w:val="374"/>
          <w:marRight w:val="0"/>
          <w:marTop w:val="0"/>
          <w:marBottom w:val="0"/>
          <w:divBdr>
            <w:top w:val="none" w:sz="0" w:space="0" w:color="auto"/>
            <w:left w:val="none" w:sz="0" w:space="0" w:color="auto"/>
            <w:bottom w:val="none" w:sz="0" w:space="0" w:color="auto"/>
            <w:right w:val="none" w:sz="0" w:space="0" w:color="auto"/>
          </w:divBdr>
        </w:div>
        <w:div w:id="103112775">
          <w:marLeft w:val="374"/>
          <w:marRight w:val="0"/>
          <w:marTop w:val="0"/>
          <w:marBottom w:val="0"/>
          <w:divBdr>
            <w:top w:val="none" w:sz="0" w:space="0" w:color="auto"/>
            <w:left w:val="none" w:sz="0" w:space="0" w:color="auto"/>
            <w:bottom w:val="none" w:sz="0" w:space="0" w:color="auto"/>
            <w:right w:val="none" w:sz="0" w:space="0" w:color="auto"/>
          </w:divBdr>
        </w:div>
        <w:div w:id="613488295">
          <w:marLeft w:val="374"/>
          <w:marRight w:val="0"/>
          <w:marTop w:val="0"/>
          <w:marBottom w:val="0"/>
          <w:divBdr>
            <w:top w:val="none" w:sz="0" w:space="0" w:color="auto"/>
            <w:left w:val="none" w:sz="0" w:space="0" w:color="auto"/>
            <w:bottom w:val="none" w:sz="0" w:space="0" w:color="auto"/>
            <w:right w:val="none" w:sz="0" w:space="0" w:color="auto"/>
          </w:divBdr>
        </w:div>
        <w:div w:id="2112964840">
          <w:marLeft w:val="374"/>
          <w:marRight w:val="0"/>
          <w:marTop w:val="0"/>
          <w:marBottom w:val="0"/>
          <w:divBdr>
            <w:top w:val="none" w:sz="0" w:space="0" w:color="auto"/>
            <w:left w:val="none" w:sz="0" w:space="0" w:color="auto"/>
            <w:bottom w:val="none" w:sz="0" w:space="0" w:color="auto"/>
            <w:right w:val="none" w:sz="0" w:space="0" w:color="auto"/>
          </w:divBdr>
        </w:div>
      </w:divsChild>
    </w:div>
    <w:div w:id="1619722739">
      <w:bodyDiv w:val="1"/>
      <w:marLeft w:val="0"/>
      <w:marRight w:val="0"/>
      <w:marTop w:val="0"/>
      <w:marBottom w:val="0"/>
      <w:divBdr>
        <w:top w:val="none" w:sz="0" w:space="0" w:color="auto"/>
        <w:left w:val="none" w:sz="0" w:space="0" w:color="auto"/>
        <w:bottom w:val="none" w:sz="0" w:space="0" w:color="auto"/>
        <w:right w:val="none" w:sz="0" w:space="0" w:color="auto"/>
      </w:divBdr>
      <w:divsChild>
        <w:div w:id="418793741">
          <w:marLeft w:val="374"/>
          <w:marRight w:val="0"/>
          <w:marTop w:val="0"/>
          <w:marBottom w:val="0"/>
          <w:divBdr>
            <w:top w:val="none" w:sz="0" w:space="0" w:color="auto"/>
            <w:left w:val="none" w:sz="0" w:space="0" w:color="auto"/>
            <w:bottom w:val="none" w:sz="0" w:space="0" w:color="auto"/>
            <w:right w:val="none" w:sz="0" w:space="0" w:color="auto"/>
          </w:divBdr>
        </w:div>
        <w:div w:id="2072384792">
          <w:marLeft w:val="374"/>
          <w:marRight w:val="0"/>
          <w:marTop w:val="0"/>
          <w:marBottom w:val="0"/>
          <w:divBdr>
            <w:top w:val="none" w:sz="0" w:space="0" w:color="auto"/>
            <w:left w:val="none" w:sz="0" w:space="0" w:color="auto"/>
            <w:bottom w:val="none" w:sz="0" w:space="0" w:color="auto"/>
            <w:right w:val="none" w:sz="0" w:space="0" w:color="auto"/>
          </w:divBdr>
        </w:div>
        <w:div w:id="869880911">
          <w:marLeft w:val="374"/>
          <w:marRight w:val="0"/>
          <w:marTop w:val="0"/>
          <w:marBottom w:val="0"/>
          <w:divBdr>
            <w:top w:val="none" w:sz="0" w:space="0" w:color="auto"/>
            <w:left w:val="none" w:sz="0" w:space="0" w:color="auto"/>
            <w:bottom w:val="none" w:sz="0" w:space="0" w:color="auto"/>
            <w:right w:val="none" w:sz="0" w:space="0" w:color="auto"/>
          </w:divBdr>
        </w:div>
        <w:div w:id="184908996">
          <w:marLeft w:val="374"/>
          <w:marRight w:val="0"/>
          <w:marTop w:val="0"/>
          <w:marBottom w:val="0"/>
          <w:divBdr>
            <w:top w:val="none" w:sz="0" w:space="0" w:color="auto"/>
            <w:left w:val="none" w:sz="0" w:space="0" w:color="auto"/>
            <w:bottom w:val="none" w:sz="0" w:space="0" w:color="auto"/>
            <w:right w:val="none" w:sz="0" w:space="0" w:color="auto"/>
          </w:divBdr>
        </w:div>
        <w:div w:id="803423128">
          <w:marLeft w:val="374"/>
          <w:marRight w:val="0"/>
          <w:marTop w:val="0"/>
          <w:marBottom w:val="0"/>
          <w:divBdr>
            <w:top w:val="none" w:sz="0" w:space="0" w:color="auto"/>
            <w:left w:val="none" w:sz="0" w:space="0" w:color="auto"/>
            <w:bottom w:val="none" w:sz="0" w:space="0" w:color="auto"/>
            <w:right w:val="none" w:sz="0" w:space="0" w:color="auto"/>
          </w:divBdr>
        </w:div>
        <w:div w:id="278339812">
          <w:marLeft w:val="374"/>
          <w:marRight w:val="0"/>
          <w:marTop w:val="0"/>
          <w:marBottom w:val="0"/>
          <w:divBdr>
            <w:top w:val="none" w:sz="0" w:space="0" w:color="auto"/>
            <w:left w:val="none" w:sz="0" w:space="0" w:color="auto"/>
            <w:bottom w:val="none" w:sz="0" w:space="0" w:color="auto"/>
            <w:right w:val="none" w:sz="0" w:space="0" w:color="auto"/>
          </w:divBdr>
        </w:div>
        <w:div w:id="523402162">
          <w:marLeft w:val="374"/>
          <w:marRight w:val="0"/>
          <w:marTop w:val="0"/>
          <w:marBottom w:val="0"/>
          <w:divBdr>
            <w:top w:val="none" w:sz="0" w:space="0" w:color="auto"/>
            <w:left w:val="none" w:sz="0" w:space="0" w:color="auto"/>
            <w:bottom w:val="none" w:sz="0" w:space="0" w:color="auto"/>
            <w:right w:val="none" w:sz="0" w:space="0" w:color="auto"/>
          </w:divBdr>
        </w:div>
        <w:div w:id="938490398">
          <w:marLeft w:val="374"/>
          <w:marRight w:val="0"/>
          <w:marTop w:val="0"/>
          <w:marBottom w:val="0"/>
          <w:divBdr>
            <w:top w:val="none" w:sz="0" w:space="0" w:color="auto"/>
            <w:left w:val="none" w:sz="0" w:space="0" w:color="auto"/>
            <w:bottom w:val="none" w:sz="0" w:space="0" w:color="auto"/>
            <w:right w:val="none" w:sz="0" w:space="0" w:color="auto"/>
          </w:divBdr>
        </w:div>
        <w:div w:id="201554281">
          <w:marLeft w:val="374"/>
          <w:marRight w:val="0"/>
          <w:marTop w:val="0"/>
          <w:marBottom w:val="0"/>
          <w:divBdr>
            <w:top w:val="none" w:sz="0" w:space="0" w:color="auto"/>
            <w:left w:val="none" w:sz="0" w:space="0" w:color="auto"/>
            <w:bottom w:val="none" w:sz="0" w:space="0" w:color="auto"/>
            <w:right w:val="none" w:sz="0" w:space="0" w:color="auto"/>
          </w:divBdr>
        </w:div>
        <w:div w:id="1793085189">
          <w:marLeft w:val="374"/>
          <w:marRight w:val="0"/>
          <w:marTop w:val="0"/>
          <w:marBottom w:val="0"/>
          <w:divBdr>
            <w:top w:val="none" w:sz="0" w:space="0" w:color="auto"/>
            <w:left w:val="none" w:sz="0" w:space="0" w:color="auto"/>
            <w:bottom w:val="none" w:sz="0" w:space="0" w:color="auto"/>
            <w:right w:val="none" w:sz="0" w:space="0" w:color="auto"/>
          </w:divBdr>
        </w:div>
        <w:div w:id="2053993986">
          <w:marLeft w:val="374"/>
          <w:marRight w:val="0"/>
          <w:marTop w:val="0"/>
          <w:marBottom w:val="0"/>
          <w:divBdr>
            <w:top w:val="none" w:sz="0" w:space="0" w:color="auto"/>
            <w:left w:val="none" w:sz="0" w:space="0" w:color="auto"/>
            <w:bottom w:val="none" w:sz="0" w:space="0" w:color="auto"/>
            <w:right w:val="none" w:sz="0" w:space="0" w:color="auto"/>
          </w:divBdr>
        </w:div>
      </w:divsChild>
    </w:div>
    <w:div w:id="1884246338">
      <w:bodyDiv w:val="1"/>
      <w:marLeft w:val="0"/>
      <w:marRight w:val="0"/>
      <w:marTop w:val="0"/>
      <w:marBottom w:val="0"/>
      <w:divBdr>
        <w:top w:val="none" w:sz="0" w:space="0" w:color="auto"/>
        <w:left w:val="none" w:sz="0" w:space="0" w:color="auto"/>
        <w:bottom w:val="none" w:sz="0" w:space="0" w:color="auto"/>
        <w:right w:val="none" w:sz="0" w:space="0" w:color="auto"/>
      </w:divBdr>
    </w:div>
    <w:div w:id="1907690373">
      <w:bodyDiv w:val="1"/>
      <w:marLeft w:val="0"/>
      <w:marRight w:val="0"/>
      <w:marTop w:val="0"/>
      <w:marBottom w:val="0"/>
      <w:divBdr>
        <w:top w:val="none" w:sz="0" w:space="0" w:color="auto"/>
        <w:left w:val="none" w:sz="0" w:space="0" w:color="auto"/>
        <w:bottom w:val="none" w:sz="0" w:space="0" w:color="auto"/>
        <w:right w:val="none" w:sz="0" w:space="0" w:color="auto"/>
      </w:divBdr>
    </w:div>
    <w:div w:id="1979802762">
      <w:bodyDiv w:val="1"/>
      <w:marLeft w:val="0"/>
      <w:marRight w:val="0"/>
      <w:marTop w:val="0"/>
      <w:marBottom w:val="0"/>
      <w:divBdr>
        <w:top w:val="none" w:sz="0" w:space="0" w:color="auto"/>
        <w:left w:val="none" w:sz="0" w:space="0" w:color="auto"/>
        <w:bottom w:val="none" w:sz="0" w:space="0" w:color="auto"/>
        <w:right w:val="none" w:sz="0" w:space="0" w:color="auto"/>
      </w:divBdr>
      <w:divsChild>
        <w:div w:id="2147119675">
          <w:marLeft w:val="547"/>
          <w:marRight w:val="0"/>
          <w:marTop w:val="0"/>
          <w:marBottom w:val="0"/>
          <w:divBdr>
            <w:top w:val="none" w:sz="0" w:space="0" w:color="auto"/>
            <w:left w:val="none" w:sz="0" w:space="0" w:color="auto"/>
            <w:bottom w:val="none" w:sz="0" w:space="0" w:color="auto"/>
            <w:right w:val="none" w:sz="0" w:space="0" w:color="auto"/>
          </w:divBdr>
        </w:div>
        <w:div w:id="1062487927">
          <w:marLeft w:val="547"/>
          <w:marRight w:val="0"/>
          <w:marTop w:val="0"/>
          <w:marBottom w:val="0"/>
          <w:divBdr>
            <w:top w:val="none" w:sz="0" w:space="0" w:color="auto"/>
            <w:left w:val="none" w:sz="0" w:space="0" w:color="auto"/>
            <w:bottom w:val="none" w:sz="0" w:space="0" w:color="auto"/>
            <w:right w:val="none" w:sz="0" w:space="0" w:color="auto"/>
          </w:divBdr>
        </w:div>
        <w:div w:id="2037535973">
          <w:marLeft w:val="547"/>
          <w:marRight w:val="0"/>
          <w:marTop w:val="0"/>
          <w:marBottom w:val="0"/>
          <w:divBdr>
            <w:top w:val="none" w:sz="0" w:space="0" w:color="auto"/>
            <w:left w:val="none" w:sz="0" w:space="0" w:color="auto"/>
            <w:bottom w:val="none" w:sz="0" w:space="0" w:color="auto"/>
            <w:right w:val="none" w:sz="0" w:space="0" w:color="auto"/>
          </w:divBdr>
        </w:div>
        <w:div w:id="630404234">
          <w:marLeft w:val="547"/>
          <w:marRight w:val="0"/>
          <w:marTop w:val="0"/>
          <w:marBottom w:val="0"/>
          <w:divBdr>
            <w:top w:val="none" w:sz="0" w:space="0" w:color="auto"/>
            <w:left w:val="none" w:sz="0" w:space="0" w:color="auto"/>
            <w:bottom w:val="none" w:sz="0" w:space="0" w:color="auto"/>
            <w:right w:val="none" w:sz="0" w:space="0" w:color="auto"/>
          </w:divBdr>
        </w:div>
        <w:div w:id="229005188">
          <w:marLeft w:val="547"/>
          <w:marRight w:val="0"/>
          <w:marTop w:val="0"/>
          <w:marBottom w:val="0"/>
          <w:divBdr>
            <w:top w:val="none" w:sz="0" w:space="0" w:color="auto"/>
            <w:left w:val="none" w:sz="0" w:space="0" w:color="auto"/>
            <w:bottom w:val="none" w:sz="0" w:space="0" w:color="auto"/>
            <w:right w:val="none" w:sz="0" w:space="0" w:color="auto"/>
          </w:divBdr>
        </w:div>
        <w:div w:id="1022702171">
          <w:marLeft w:val="547"/>
          <w:marRight w:val="0"/>
          <w:marTop w:val="0"/>
          <w:marBottom w:val="0"/>
          <w:divBdr>
            <w:top w:val="none" w:sz="0" w:space="0" w:color="auto"/>
            <w:left w:val="none" w:sz="0" w:space="0" w:color="auto"/>
            <w:bottom w:val="none" w:sz="0" w:space="0" w:color="auto"/>
            <w:right w:val="none" w:sz="0" w:space="0" w:color="auto"/>
          </w:divBdr>
        </w:div>
        <w:div w:id="200020206">
          <w:marLeft w:val="547"/>
          <w:marRight w:val="0"/>
          <w:marTop w:val="0"/>
          <w:marBottom w:val="0"/>
          <w:divBdr>
            <w:top w:val="none" w:sz="0" w:space="0" w:color="auto"/>
            <w:left w:val="none" w:sz="0" w:space="0" w:color="auto"/>
            <w:bottom w:val="none" w:sz="0" w:space="0" w:color="auto"/>
            <w:right w:val="none" w:sz="0" w:space="0" w:color="auto"/>
          </w:divBdr>
        </w:div>
        <w:div w:id="618607385">
          <w:marLeft w:val="547"/>
          <w:marRight w:val="0"/>
          <w:marTop w:val="0"/>
          <w:marBottom w:val="0"/>
          <w:divBdr>
            <w:top w:val="none" w:sz="0" w:space="0" w:color="auto"/>
            <w:left w:val="none" w:sz="0" w:space="0" w:color="auto"/>
            <w:bottom w:val="none" w:sz="0" w:space="0" w:color="auto"/>
            <w:right w:val="none" w:sz="0" w:space="0" w:color="auto"/>
          </w:divBdr>
        </w:div>
        <w:div w:id="1770000841">
          <w:marLeft w:val="547"/>
          <w:marRight w:val="0"/>
          <w:marTop w:val="0"/>
          <w:marBottom w:val="0"/>
          <w:divBdr>
            <w:top w:val="none" w:sz="0" w:space="0" w:color="auto"/>
            <w:left w:val="none" w:sz="0" w:space="0" w:color="auto"/>
            <w:bottom w:val="none" w:sz="0" w:space="0" w:color="auto"/>
            <w:right w:val="none" w:sz="0" w:space="0" w:color="auto"/>
          </w:divBdr>
        </w:div>
        <w:div w:id="1979140251">
          <w:marLeft w:val="547"/>
          <w:marRight w:val="0"/>
          <w:marTop w:val="0"/>
          <w:marBottom w:val="0"/>
          <w:divBdr>
            <w:top w:val="none" w:sz="0" w:space="0" w:color="auto"/>
            <w:left w:val="none" w:sz="0" w:space="0" w:color="auto"/>
            <w:bottom w:val="none" w:sz="0" w:space="0" w:color="auto"/>
            <w:right w:val="none" w:sz="0" w:space="0" w:color="auto"/>
          </w:divBdr>
        </w:div>
        <w:div w:id="2120638959">
          <w:marLeft w:val="547"/>
          <w:marRight w:val="0"/>
          <w:marTop w:val="0"/>
          <w:marBottom w:val="0"/>
          <w:divBdr>
            <w:top w:val="none" w:sz="0" w:space="0" w:color="auto"/>
            <w:left w:val="none" w:sz="0" w:space="0" w:color="auto"/>
            <w:bottom w:val="none" w:sz="0" w:space="0" w:color="auto"/>
            <w:right w:val="none" w:sz="0" w:space="0" w:color="auto"/>
          </w:divBdr>
        </w:div>
        <w:div w:id="671447954">
          <w:marLeft w:val="547"/>
          <w:marRight w:val="0"/>
          <w:marTop w:val="0"/>
          <w:marBottom w:val="0"/>
          <w:divBdr>
            <w:top w:val="none" w:sz="0" w:space="0" w:color="auto"/>
            <w:left w:val="none" w:sz="0" w:space="0" w:color="auto"/>
            <w:bottom w:val="none" w:sz="0" w:space="0" w:color="auto"/>
            <w:right w:val="none" w:sz="0" w:space="0" w:color="auto"/>
          </w:divBdr>
        </w:div>
        <w:div w:id="12338092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www.vic.gov.au/information-management-policies-and-standards" TargetMode="External"/><Relationship Id="rId3" Type="http://schemas.openxmlformats.org/officeDocument/2006/relationships/numbering" Target="numbering.xml"/><Relationship Id="rId21" Type="http://schemas.openxmlformats.org/officeDocument/2006/relationships/hyperlink" Target="https://www.vmia.vic.gov.au/risk/victorian-government-risk-management-framework"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www.vic.gov.au/information-technology-strategy"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hyperlink" Target="mailto:digital.transformation@dp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vic.gov.au/information-management-policies-and-standards"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image" Target="media/image8.png"/><Relationship Id="rId28" Type="http://schemas.openxmlformats.org/officeDocument/2006/relationships/hyperlink" Target="https://ovic.vic.gov.au/data-protection/framework-vpds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pdp.vic.gov.au/menu-data-security/victorian-protective-data-security-framework/vpdsf" TargetMode="External"/><Relationship Id="rId27" Type="http://schemas.openxmlformats.org/officeDocument/2006/relationships/hyperlink" Target="https://ovic.vic.gov.au/resource/guidelines-for-sharing-personal-information/?highlight=guidelines%20for%20sharing%20personal%20information" TargetMode="External"/><Relationship Id="rId30" Type="http://schemas.openxmlformats.org/officeDocument/2006/relationships/image" Target="media/image9.png"/><Relationship Id="rId35"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managementmania.com/en/rasci-responsibility-matrix" TargetMode="External"/><Relationship Id="rId1" Type="http://schemas.openxmlformats.org/officeDocument/2006/relationships/hyperlink" Target="http://www.egovernment.tas.gov.au/stats_matter/adep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4090-1491-4763-8A56-EC4A0DDDDA34}">
  <ds:schemaRefs>
    <ds:schemaRef ds:uri="http://www.w3.org/2001/XMLSchema"/>
  </ds:schemaRefs>
</ds:datastoreItem>
</file>

<file path=customXml/itemProps2.xml><?xml version="1.0" encoding="utf-8"?>
<ds:datastoreItem xmlns:ds="http://schemas.openxmlformats.org/officeDocument/2006/customXml" ds:itemID="{560FD15A-31A1-4262-930C-C0BCF401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20386</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11</cp:revision>
  <cp:lastPrinted>2015-01-28T03:08:00Z</cp:lastPrinted>
  <dcterms:created xsi:type="dcterms:W3CDTF">2018-05-20T23:30:00Z</dcterms:created>
  <dcterms:modified xsi:type="dcterms:W3CDTF">2020-08-18T02:03:00Z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c08ac23d-0cc2-4961-a46c-35a3946f22d5</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2020-07-17T03:42:11.1321104Z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