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83AC3" w14:textId="77777777"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p>
    <w:p w14:paraId="30831BEA" w14:textId="77777777" w:rsidR="00306E5F" w:rsidRPr="003819DA" w:rsidRDefault="0075285D" w:rsidP="00C37731">
      <w:pPr>
        <w:pStyle w:val="Spacerparatopoffirstpage"/>
        <w:rPr>
          <w:noProof w:val="0"/>
        </w:rPr>
      </w:pPr>
      <w:r w:rsidRPr="003819DA">
        <w:rPr>
          <w:lang w:eastAsia="en-AU"/>
        </w:rPr>
        <w:drawing>
          <wp:anchor distT="0" distB="0" distL="114300" distR="114300" simplePos="0" relativeHeight="251652608" behindDoc="1" locked="1" layoutInCell="0" allowOverlap="1" wp14:anchorId="3E4018BC" wp14:editId="3C01C9C0">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3819DA" w14:paraId="1C846A49" w14:textId="77777777" w:rsidTr="001B5CC1">
        <w:trPr>
          <w:trHeight w:val="905"/>
        </w:trPr>
        <w:tc>
          <w:tcPr>
            <w:tcW w:w="9987" w:type="dxa"/>
            <w:shd w:val="clear" w:color="auto" w:fill="auto"/>
            <w:vAlign w:val="bottom"/>
          </w:tcPr>
          <w:p w14:paraId="30D2A804" w14:textId="77777777" w:rsidR="004946F4" w:rsidRPr="003819DA" w:rsidRDefault="00862A6E" w:rsidP="000D7DEE">
            <w:pPr>
              <w:pStyle w:val="DPCmainheading"/>
            </w:pPr>
            <w:r w:rsidRPr="003819DA">
              <w:t xml:space="preserve">Machinery of Government </w:t>
            </w:r>
            <w:r w:rsidR="00DB5836" w:rsidRPr="003819DA">
              <w:br/>
            </w:r>
            <w:r w:rsidRPr="003819DA">
              <w:t>Standard</w:t>
            </w:r>
          </w:p>
        </w:tc>
      </w:tr>
      <w:tr w:rsidR="005D6597" w:rsidRPr="003819DA" w14:paraId="3464D495" w14:textId="77777777" w:rsidTr="001B5CC1">
        <w:trPr>
          <w:trHeight w:val="298"/>
        </w:trPr>
        <w:tc>
          <w:tcPr>
            <w:tcW w:w="9987" w:type="dxa"/>
            <w:shd w:val="clear" w:color="auto" w:fill="auto"/>
            <w:tcMar>
              <w:top w:w="284" w:type="dxa"/>
              <w:bottom w:w="454" w:type="dxa"/>
            </w:tcMar>
          </w:tcPr>
          <w:p w14:paraId="1EEE3B47" w14:textId="54598459" w:rsidR="00AD167B" w:rsidRPr="003819DA" w:rsidRDefault="0046522F" w:rsidP="00CE750D">
            <w:pPr>
              <w:pStyle w:val="DPCmainsubheading"/>
            </w:pPr>
            <w:r w:rsidRPr="003819DA">
              <w:t>Information Management Framework</w:t>
            </w:r>
          </w:p>
        </w:tc>
      </w:tr>
    </w:tbl>
    <w:p w14:paraId="1B3C1E0A" w14:textId="77777777" w:rsidR="00E604DA" w:rsidRPr="003819DA" w:rsidRDefault="00E604DA" w:rsidP="00E604DA">
      <w:pPr>
        <w:pStyle w:val="DPCbody"/>
      </w:pPr>
    </w:p>
    <w:p w14:paraId="6C592B2A" w14:textId="77777777" w:rsidR="005E1B3C" w:rsidRPr="003819DA" w:rsidRDefault="005E1B3C" w:rsidP="005E4097">
      <w:pPr>
        <w:pStyle w:val="Heading1"/>
      </w:pPr>
    </w:p>
    <w:p w14:paraId="33D9D9AD" w14:textId="77777777" w:rsidR="00893AF6" w:rsidRPr="003819DA" w:rsidRDefault="0046522F" w:rsidP="005E4097">
      <w:pPr>
        <w:pStyle w:val="Heading1"/>
      </w:pPr>
      <w:r w:rsidRPr="003819DA">
        <w:t>Standard</w:t>
      </w:r>
    </w:p>
    <w:p w14:paraId="47809F95" w14:textId="77777777" w:rsidR="002366BF" w:rsidRPr="003819DA" w:rsidRDefault="002366BF" w:rsidP="002366BF">
      <w:pPr>
        <w:pStyle w:val="DPCbullet1"/>
        <w:numPr>
          <w:ilvl w:val="0"/>
          <w:numId w:val="0"/>
        </w:numPr>
        <w:rPr>
          <w:szCs w:val="18"/>
        </w:rPr>
      </w:pPr>
      <w:r w:rsidRPr="003819DA">
        <w:rPr>
          <w:noProof/>
          <w:szCs w:val="18"/>
          <w:lang w:eastAsia="en-AU"/>
        </w:rPr>
        <mc:AlternateContent>
          <mc:Choice Requires="wps">
            <w:drawing>
              <wp:anchor distT="0" distB="0" distL="114300" distR="114300" simplePos="0" relativeHeight="251659264" behindDoc="0" locked="0" layoutInCell="1" allowOverlap="1" wp14:anchorId="2BA5A258" wp14:editId="7C1DF509">
                <wp:simplePos x="0" y="0"/>
                <wp:positionH relativeFrom="column">
                  <wp:posOffset>33376</wp:posOffset>
                </wp:positionH>
                <wp:positionV relativeFrom="paragraph">
                  <wp:posOffset>37821</wp:posOffset>
                </wp:positionV>
                <wp:extent cx="6119447" cy="848563"/>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6119447" cy="848563"/>
                        </a:xfrm>
                        <a:prstGeom prst="rect">
                          <a:avLst/>
                        </a:prstGeom>
                        <a:solidFill>
                          <a:srgbClr val="E7F1F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43FDA" w14:textId="7AD5C028" w:rsidR="002366BF" w:rsidRPr="00445BA1" w:rsidRDefault="00AD167B" w:rsidP="00445BA1">
                            <w:pPr>
                              <w:pStyle w:val="DPCbody"/>
                              <w:spacing w:after="0" w:line="240" w:lineRule="auto"/>
                            </w:pPr>
                            <w:r>
                              <w:br/>
                              <w:t>Depart</w:t>
                            </w:r>
                            <w:r w:rsidRPr="00AD167B">
                              <w:t>ments must transfer digital information</w:t>
                            </w:r>
                            <w:r w:rsidR="00450B0D">
                              <w:t xml:space="preserve">, </w:t>
                            </w:r>
                            <w:r w:rsidRPr="00AD167B">
                              <w:t xml:space="preserve">data </w:t>
                            </w:r>
                            <w:r w:rsidR="00450B0D">
                              <w:t xml:space="preserve">and records </w:t>
                            </w:r>
                            <w:r w:rsidRPr="00AD167B">
                              <w:t xml:space="preserve">during machinery of government changes in accordance with </w:t>
                            </w:r>
                            <w:r w:rsidR="00342BB6">
                              <w:t xml:space="preserve">the </w:t>
                            </w:r>
                            <w:r w:rsidRPr="00AD167B">
                              <w:t>requirements set out in this standard.</w:t>
                            </w:r>
                            <w:r w:rsidR="002366BF" w:rsidRPr="00055BC0">
                              <w:rPr>
                                <w:color w:val="auto"/>
                                <w:sz w:val="24"/>
                              </w:rPr>
                              <w:br/>
                            </w:r>
                            <w:r w:rsidR="002B190E">
                              <w:rPr>
                                <w:color w:val="auto"/>
                                <w:sz w:val="24"/>
                              </w:rPr>
                              <w:t xml:space="preserve">     </w:t>
                            </w:r>
                            <w:r w:rsidR="002366BF" w:rsidRPr="00055BC0">
                              <w:rPr>
                                <w:color w:val="auto"/>
                                <w:sz w:val="24"/>
                              </w:rPr>
                              <w:t xml:space="preserve">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5A258" id="_x0000_t202" coordsize="21600,21600" o:spt="202" path="m,l,21600r21600,l21600,xe">
                <v:stroke joinstyle="miter"/>
                <v:path gradientshapeok="t" o:connecttype="rect"/>
              </v:shapetype>
              <v:shape id="Text Box 8" o:spid="_x0000_s1026" type="#_x0000_t202" style="position:absolute;margin-left:2.65pt;margin-top:3pt;width:481.85pt;height:6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" fillcolor="#e7f1fa" stroked="f" strokeweight=".5pt">
                <v:textbox inset="2mm,2mm,2mm,2mm">
                  <w:txbxContent>
                    <w:p w14:paraId="62F43FDA" w14:textId="7AD5C028" w:rsidR="002366BF" w:rsidRPr="00445BA1" w:rsidRDefault="00AD167B" w:rsidP="00445BA1">
                      <w:pPr>
                        <w:pStyle w:val="DPCbody"/>
                        <w:spacing w:after="0" w:line="240" w:lineRule="auto"/>
                      </w:pPr>
                      <w:r>
                        <w:br/>
                        <w:t>Depart</w:t>
                      </w:r>
                      <w:r w:rsidRPr="00AD167B">
                        <w:t>ments must transfer digital information</w:t>
                      </w:r>
                      <w:r w:rsidR="00450B0D">
                        <w:t xml:space="preserve">, </w:t>
                      </w:r>
                      <w:r w:rsidRPr="00AD167B">
                        <w:t xml:space="preserve">data </w:t>
                      </w:r>
                      <w:r w:rsidR="00450B0D">
                        <w:t xml:space="preserve">and records </w:t>
                      </w:r>
                      <w:r w:rsidRPr="00AD167B">
                        <w:t xml:space="preserve">during machinery of government changes in accordance with </w:t>
                      </w:r>
                      <w:r w:rsidR="00342BB6">
                        <w:t xml:space="preserve">the </w:t>
                      </w:r>
                      <w:r w:rsidRPr="00AD167B">
                        <w:t>requirements set out in this standard.</w:t>
                      </w:r>
                      <w:r w:rsidR="002366BF" w:rsidRPr="00055BC0">
                        <w:rPr>
                          <w:color w:val="auto"/>
                          <w:sz w:val="24"/>
                        </w:rPr>
                        <w:br/>
                      </w:r>
                      <w:r w:rsidR="002B190E">
                        <w:rPr>
                          <w:color w:val="auto"/>
                          <w:sz w:val="24"/>
                        </w:rPr>
                        <w:t xml:space="preserve">     </w:t>
                      </w:r>
                      <w:r w:rsidR="002366BF" w:rsidRPr="00055BC0">
                        <w:rPr>
                          <w:color w:val="auto"/>
                          <w:sz w:val="24"/>
                        </w:rPr>
                        <w:t xml:space="preserve"> </w:t>
                      </w:r>
                    </w:p>
                  </w:txbxContent>
                </v:textbox>
              </v:shape>
            </w:pict>
          </mc:Fallback>
        </mc:AlternateContent>
      </w:r>
    </w:p>
    <w:p w14:paraId="2C76F9E3" w14:textId="77777777" w:rsidR="002366BF" w:rsidRPr="003819DA" w:rsidRDefault="002366BF" w:rsidP="002366BF">
      <w:pPr>
        <w:pStyle w:val="DPCbullet1"/>
        <w:numPr>
          <w:ilvl w:val="0"/>
          <w:numId w:val="0"/>
        </w:numPr>
        <w:rPr>
          <w:szCs w:val="18"/>
        </w:rPr>
      </w:pPr>
    </w:p>
    <w:p w14:paraId="6B5D3C60" w14:textId="77777777" w:rsidR="00D63B42" w:rsidRPr="003819DA" w:rsidRDefault="00D63B42" w:rsidP="00A455A0">
      <w:pPr>
        <w:pStyle w:val="DPCbody"/>
      </w:pPr>
      <w:r w:rsidRPr="003819DA">
        <w:t xml:space="preserve"> </w:t>
      </w:r>
    </w:p>
    <w:p w14:paraId="72E21094" w14:textId="77777777" w:rsidR="00AF6CCD" w:rsidRPr="003819DA" w:rsidRDefault="00AF6CCD" w:rsidP="00A455A0">
      <w:pPr>
        <w:pStyle w:val="DPCbody"/>
      </w:pPr>
    </w:p>
    <w:p w14:paraId="65A2F892" w14:textId="77777777" w:rsidR="00E604DA" w:rsidRPr="003819DA" w:rsidRDefault="00E604DA" w:rsidP="00A455A0">
      <w:pPr>
        <w:pStyle w:val="DPCbody"/>
      </w:pPr>
    </w:p>
    <w:p w14:paraId="3826EE27" w14:textId="77777777" w:rsidR="00E5229A" w:rsidRPr="003819DA" w:rsidRDefault="00E5229A" w:rsidP="00A455A0">
      <w:pPr>
        <w:pStyle w:val="DPCbody"/>
      </w:pPr>
    </w:p>
    <w:p w14:paraId="488B2456" w14:textId="663215D8" w:rsidR="00E5229A" w:rsidRPr="003819DA" w:rsidRDefault="00E5229A" w:rsidP="00A455A0">
      <w:pPr>
        <w:pStyle w:val="DPCbody"/>
      </w:pPr>
    </w:p>
    <w:p w14:paraId="4FA42BCD" w14:textId="77777777" w:rsidR="00E604DA" w:rsidRPr="003819DA" w:rsidRDefault="00E604DA" w:rsidP="00A455A0">
      <w:pPr>
        <w:pStyle w:val="DPCbody"/>
      </w:pPr>
    </w:p>
    <w:p w14:paraId="683139B4" w14:textId="77777777" w:rsidR="0046522F" w:rsidRPr="003819DA" w:rsidRDefault="0046522F" w:rsidP="0046522F">
      <w:pPr>
        <w:pStyle w:val="Heading1"/>
      </w:pPr>
      <w:r w:rsidRPr="003819DA">
        <w:t>Document Control</w:t>
      </w:r>
    </w:p>
    <w:tbl>
      <w:tblPr>
        <w:tblStyle w:val="TableGrid"/>
        <w:tblW w:w="9923" w:type="dxa"/>
        <w:tblLook w:val="04A0" w:firstRow="1" w:lastRow="0" w:firstColumn="1" w:lastColumn="0" w:noHBand="0" w:noVBand="1"/>
      </w:tblPr>
      <w:tblGrid>
        <w:gridCol w:w="1735"/>
        <w:gridCol w:w="3510"/>
        <w:gridCol w:w="1559"/>
        <w:gridCol w:w="3119"/>
      </w:tblGrid>
      <w:tr w:rsidR="0046522F" w:rsidRPr="003819DA" w14:paraId="743AA196" w14:textId="77777777" w:rsidTr="00CF4A60">
        <w:tc>
          <w:tcPr>
            <w:tcW w:w="1735" w:type="dxa"/>
            <w:vAlign w:val="center"/>
          </w:tcPr>
          <w:p w14:paraId="437F8D40" w14:textId="77777777" w:rsidR="0046522F" w:rsidRPr="003819DA" w:rsidRDefault="0046522F" w:rsidP="0046522F">
            <w:pPr>
              <w:pStyle w:val="DPCtablecolhead"/>
              <w:spacing w:before="120" w:after="120"/>
            </w:pPr>
            <w:r w:rsidRPr="003819DA">
              <w:t>Applies to</w:t>
            </w:r>
          </w:p>
        </w:tc>
        <w:tc>
          <w:tcPr>
            <w:tcW w:w="3510" w:type="dxa"/>
            <w:vAlign w:val="center"/>
          </w:tcPr>
          <w:p w14:paraId="0F5AA872" w14:textId="77777777" w:rsidR="0046522F" w:rsidRPr="003819DA" w:rsidRDefault="0046522F" w:rsidP="0046522F">
            <w:pPr>
              <w:pStyle w:val="DPCtabletext"/>
              <w:spacing w:before="120" w:after="120"/>
            </w:pPr>
            <w:r w:rsidRPr="003819DA">
              <w:t>All departments and Victoria Police</w:t>
            </w:r>
          </w:p>
        </w:tc>
        <w:tc>
          <w:tcPr>
            <w:tcW w:w="1559" w:type="dxa"/>
            <w:vAlign w:val="center"/>
          </w:tcPr>
          <w:p w14:paraId="23FCC8E0" w14:textId="77777777" w:rsidR="0046522F" w:rsidRPr="003819DA" w:rsidRDefault="0046522F" w:rsidP="0046522F">
            <w:pPr>
              <w:pStyle w:val="DPCtablecolhead"/>
              <w:spacing w:before="120" w:after="120"/>
            </w:pPr>
            <w:r w:rsidRPr="003819DA">
              <w:t>Authority</w:t>
            </w:r>
          </w:p>
        </w:tc>
        <w:tc>
          <w:tcPr>
            <w:tcW w:w="3119" w:type="dxa"/>
            <w:vAlign w:val="center"/>
          </w:tcPr>
          <w:p w14:paraId="33B2FA57" w14:textId="77777777" w:rsidR="0046522F" w:rsidRPr="003819DA" w:rsidRDefault="00CF4A60" w:rsidP="0046522F">
            <w:pPr>
              <w:pStyle w:val="DPCtabletext"/>
              <w:spacing w:before="120" w:after="120"/>
            </w:pPr>
            <w:r w:rsidRPr="003819DA">
              <w:t>CIO Leadership Group</w:t>
            </w:r>
          </w:p>
        </w:tc>
      </w:tr>
      <w:tr w:rsidR="0046522F" w:rsidRPr="003819DA" w14:paraId="6BE2B59D" w14:textId="77777777" w:rsidTr="00CF4A60">
        <w:tc>
          <w:tcPr>
            <w:tcW w:w="1735" w:type="dxa"/>
            <w:vAlign w:val="center"/>
          </w:tcPr>
          <w:p w14:paraId="0855EA5C" w14:textId="77777777" w:rsidR="0046522F" w:rsidRPr="003819DA" w:rsidRDefault="0046522F" w:rsidP="0046522F">
            <w:pPr>
              <w:pStyle w:val="DPCtablecolhead"/>
              <w:spacing w:before="120" w:after="120"/>
            </w:pPr>
            <w:r w:rsidRPr="003819DA">
              <w:t>Period</w:t>
            </w:r>
          </w:p>
        </w:tc>
        <w:tc>
          <w:tcPr>
            <w:tcW w:w="3510" w:type="dxa"/>
            <w:vAlign w:val="center"/>
          </w:tcPr>
          <w:p w14:paraId="630C906E" w14:textId="77777777" w:rsidR="0046522F" w:rsidRPr="003819DA" w:rsidRDefault="0046522F" w:rsidP="0046522F">
            <w:pPr>
              <w:pStyle w:val="DPCtabletext"/>
              <w:spacing w:before="120" w:after="120"/>
            </w:pPr>
            <w:r w:rsidRPr="003819DA">
              <w:t>2017-2020</w:t>
            </w:r>
          </w:p>
        </w:tc>
        <w:tc>
          <w:tcPr>
            <w:tcW w:w="1559" w:type="dxa"/>
            <w:vAlign w:val="center"/>
          </w:tcPr>
          <w:p w14:paraId="740DB0F6" w14:textId="77777777" w:rsidR="0046522F" w:rsidRPr="003819DA" w:rsidRDefault="0046522F" w:rsidP="0046522F">
            <w:pPr>
              <w:pStyle w:val="DPCtablecolhead"/>
              <w:spacing w:before="120" w:after="120"/>
            </w:pPr>
            <w:r w:rsidRPr="003819DA">
              <w:t>Advised by</w:t>
            </w:r>
          </w:p>
        </w:tc>
        <w:tc>
          <w:tcPr>
            <w:tcW w:w="3119" w:type="dxa"/>
            <w:vAlign w:val="center"/>
          </w:tcPr>
          <w:p w14:paraId="4C4AC7E0" w14:textId="2BE15BCC" w:rsidR="0046522F" w:rsidRPr="003819DA" w:rsidRDefault="007165EF" w:rsidP="0046522F">
            <w:pPr>
              <w:pStyle w:val="DPCtabletext"/>
              <w:spacing w:before="120" w:after="120"/>
            </w:pPr>
            <w:r>
              <w:t>Digital Strategy Transformation</w:t>
            </w:r>
            <w:r w:rsidR="00CF4A60" w:rsidRPr="003819DA">
              <w:t xml:space="preserve">, </w:t>
            </w:r>
            <w:r w:rsidR="00CF4A60" w:rsidRPr="003819DA">
              <w:br/>
              <w:t>Department of Premier and Cabinet</w:t>
            </w:r>
          </w:p>
        </w:tc>
      </w:tr>
      <w:tr w:rsidR="0046522F" w:rsidRPr="003819DA" w14:paraId="3E20DCD7" w14:textId="77777777" w:rsidTr="00CF4A60">
        <w:tc>
          <w:tcPr>
            <w:tcW w:w="1735" w:type="dxa"/>
            <w:vAlign w:val="center"/>
          </w:tcPr>
          <w:p w14:paraId="735E2EAF" w14:textId="77777777" w:rsidR="0046522F" w:rsidRPr="003819DA" w:rsidRDefault="0046522F" w:rsidP="0046522F">
            <w:pPr>
              <w:pStyle w:val="DPCtablecolhead"/>
              <w:spacing w:before="120" w:after="120"/>
            </w:pPr>
            <w:r w:rsidRPr="003819DA">
              <w:t>Issue Date</w:t>
            </w:r>
          </w:p>
        </w:tc>
        <w:tc>
          <w:tcPr>
            <w:tcW w:w="3510" w:type="dxa"/>
            <w:vAlign w:val="center"/>
          </w:tcPr>
          <w:p w14:paraId="7F31EA14" w14:textId="56CB6D16" w:rsidR="0046522F" w:rsidRPr="003819DA" w:rsidRDefault="00E71576" w:rsidP="00E71576">
            <w:pPr>
              <w:pStyle w:val="DPCtabletext"/>
              <w:spacing w:before="120" w:after="120"/>
            </w:pPr>
            <w:r>
              <w:t>09/08/</w:t>
            </w:r>
            <w:r w:rsidR="00F24C8D" w:rsidRPr="003819DA">
              <w:t>2018</w:t>
            </w:r>
          </w:p>
        </w:tc>
        <w:tc>
          <w:tcPr>
            <w:tcW w:w="1559" w:type="dxa"/>
            <w:vAlign w:val="center"/>
          </w:tcPr>
          <w:p w14:paraId="38EE00DF" w14:textId="77777777" w:rsidR="0046522F" w:rsidRPr="003819DA" w:rsidRDefault="0046522F" w:rsidP="0046522F">
            <w:pPr>
              <w:pStyle w:val="DPCtablecolhead"/>
              <w:spacing w:before="120" w:after="120"/>
            </w:pPr>
            <w:r w:rsidRPr="003819DA">
              <w:t>Document ID</w:t>
            </w:r>
          </w:p>
        </w:tc>
        <w:tc>
          <w:tcPr>
            <w:tcW w:w="3119" w:type="dxa"/>
            <w:vAlign w:val="center"/>
          </w:tcPr>
          <w:p w14:paraId="1DA42B61" w14:textId="1EC586D8" w:rsidR="0046522F" w:rsidRPr="003819DA" w:rsidRDefault="0046522F" w:rsidP="006E2ECF">
            <w:pPr>
              <w:pStyle w:val="DPCtabletext"/>
              <w:spacing w:before="120" w:after="120"/>
            </w:pPr>
            <w:r w:rsidRPr="003819DA">
              <w:t>IM-STD-</w:t>
            </w:r>
            <w:r w:rsidR="000C1CCF" w:rsidRPr="003819DA">
              <w:t>08</w:t>
            </w:r>
          </w:p>
        </w:tc>
      </w:tr>
      <w:tr w:rsidR="0046522F" w:rsidRPr="003819DA" w14:paraId="0E81AD06" w14:textId="77777777" w:rsidTr="00CF4A60">
        <w:tc>
          <w:tcPr>
            <w:tcW w:w="1735" w:type="dxa"/>
            <w:vAlign w:val="center"/>
          </w:tcPr>
          <w:p w14:paraId="0DC4EB37" w14:textId="77777777" w:rsidR="0046522F" w:rsidRPr="003819DA" w:rsidRDefault="0046522F" w:rsidP="0046522F">
            <w:pPr>
              <w:pStyle w:val="DPCtablecolhead"/>
              <w:spacing w:before="120" w:after="120"/>
            </w:pPr>
            <w:r w:rsidRPr="003819DA">
              <w:t>Review Date</w:t>
            </w:r>
          </w:p>
        </w:tc>
        <w:tc>
          <w:tcPr>
            <w:tcW w:w="3510" w:type="dxa"/>
            <w:vAlign w:val="center"/>
          </w:tcPr>
          <w:p w14:paraId="56805EEB" w14:textId="58194A9F" w:rsidR="0046522F" w:rsidRPr="003819DA" w:rsidRDefault="00E71576" w:rsidP="0046522F">
            <w:pPr>
              <w:pStyle w:val="DPCtabletext"/>
              <w:spacing w:before="120" w:after="120"/>
            </w:pPr>
            <w:r>
              <w:t>09/08/</w:t>
            </w:r>
            <w:r w:rsidR="0046522F" w:rsidRPr="003819DA">
              <w:t>2020</w:t>
            </w:r>
          </w:p>
        </w:tc>
        <w:tc>
          <w:tcPr>
            <w:tcW w:w="1559" w:type="dxa"/>
            <w:vAlign w:val="center"/>
          </w:tcPr>
          <w:p w14:paraId="15C63138" w14:textId="77777777" w:rsidR="0046522F" w:rsidRPr="003819DA" w:rsidRDefault="0046522F" w:rsidP="0046522F">
            <w:pPr>
              <w:pStyle w:val="DPCtablecolhead"/>
              <w:spacing w:before="120" w:after="120"/>
            </w:pPr>
            <w:r w:rsidRPr="003819DA">
              <w:t>Version</w:t>
            </w:r>
          </w:p>
        </w:tc>
        <w:tc>
          <w:tcPr>
            <w:tcW w:w="3119" w:type="dxa"/>
            <w:vAlign w:val="center"/>
          </w:tcPr>
          <w:p w14:paraId="6F5AEEA2" w14:textId="51ED7E68" w:rsidR="0046522F" w:rsidRPr="003819DA" w:rsidRDefault="00E71576" w:rsidP="003819DA">
            <w:pPr>
              <w:pStyle w:val="DPCtabletext"/>
              <w:spacing w:before="120" w:after="120"/>
            </w:pPr>
            <w:r>
              <w:t>1.0</w:t>
            </w:r>
          </w:p>
        </w:tc>
      </w:tr>
    </w:tbl>
    <w:p w14:paraId="1FD76F83" w14:textId="77777777" w:rsidR="00E5229A" w:rsidRPr="003819DA" w:rsidRDefault="00E5229A" w:rsidP="00E5229A">
      <w:pPr>
        <w:spacing w:line="200" w:lineRule="exact"/>
        <w:ind w:left="101"/>
        <w:rPr>
          <w:rFonts w:ascii="Calibri" w:eastAsia="Calibri" w:hAnsi="Calibri" w:cs="Calibri"/>
        </w:rPr>
      </w:pPr>
      <w:bookmarkStart w:id="3" w:name="_GoBack"/>
      <w:bookmarkEnd w:id="3"/>
    </w:p>
    <w:p w14:paraId="26DDAE23" w14:textId="77777777" w:rsidR="00E5229A" w:rsidRPr="003819DA" w:rsidRDefault="00E5229A" w:rsidP="00E5229A">
      <w:pPr>
        <w:spacing w:line="200" w:lineRule="exact"/>
        <w:rPr>
          <w:rFonts w:ascii="Arial" w:eastAsia="Cambria" w:hAnsi="Arial"/>
          <w:sz w:val="16"/>
          <w:szCs w:val="24"/>
        </w:rPr>
      </w:pPr>
      <w:r w:rsidRPr="003819DA">
        <w:rPr>
          <w:rFonts w:ascii="Arial" w:eastAsia="Cambria" w:hAnsi="Arial"/>
          <w:noProof/>
          <w:szCs w:val="24"/>
          <w:lang w:eastAsia="en-AU"/>
        </w:rPr>
        <w:drawing>
          <wp:anchor distT="0" distB="0" distL="114300" distR="114300" simplePos="0" relativeHeight="251661312" behindDoc="0" locked="0" layoutInCell="1" allowOverlap="1" wp14:anchorId="38CED9B7" wp14:editId="72830477">
            <wp:simplePos x="0" y="0"/>
            <wp:positionH relativeFrom="column">
              <wp:align>left</wp:align>
            </wp:positionH>
            <wp:positionV relativeFrom="paragraph">
              <wp:align>top</wp:align>
            </wp:positionV>
            <wp:extent cx="750570" cy="27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570" cy="275590"/>
                    </a:xfrm>
                    <a:prstGeom prst="rect">
                      <a:avLst/>
                    </a:prstGeom>
                    <a:noFill/>
                  </pic:spPr>
                </pic:pic>
              </a:graphicData>
            </a:graphic>
            <wp14:sizeRelH relativeFrom="page">
              <wp14:pctWidth>0</wp14:pctWidth>
            </wp14:sizeRelH>
            <wp14:sizeRelV relativeFrom="page">
              <wp14:pctHeight>0</wp14:pctHeight>
            </wp14:sizeRelV>
          </wp:anchor>
        </w:drawing>
      </w:r>
      <w:r w:rsidRPr="003819DA">
        <w:rPr>
          <w:rFonts w:ascii="Calibri" w:eastAsia="Calibri" w:hAnsi="Calibri" w:cs="Calibri"/>
        </w:rPr>
        <w:br w:type="textWrapping" w:clear="all"/>
      </w:r>
      <w:r w:rsidRPr="003819DA">
        <w:rPr>
          <w:spacing w:val="-1"/>
          <w:sz w:val="16"/>
        </w:rPr>
        <w:t>Except</w:t>
      </w:r>
      <w:r w:rsidRPr="003819DA">
        <w:rPr>
          <w:spacing w:val="-6"/>
          <w:sz w:val="16"/>
        </w:rPr>
        <w:t xml:space="preserve"> </w:t>
      </w:r>
      <w:r w:rsidRPr="003819DA">
        <w:rPr>
          <w:spacing w:val="-1"/>
          <w:sz w:val="16"/>
        </w:rPr>
        <w:t>for</w:t>
      </w:r>
      <w:r w:rsidRPr="003819DA">
        <w:rPr>
          <w:spacing w:val="-6"/>
          <w:sz w:val="16"/>
        </w:rPr>
        <w:t xml:space="preserve"> </w:t>
      </w:r>
      <w:r w:rsidRPr="003819DA">
        <w:rPr>
          <w:sz w:val="16"/>
        </w:rPr>
        <w:t>any</w:t>
      </w:r>
      <w:r w:rsidRPr="003819DA">
        <w:rPr>
          <w:spacing w:val="-5"/>
          <w:sz w:val="16"/>
        </w:rPr>
        <w:t xml:space="preserve"> </w:t>
      </w:r>
      <w:r w:rsidRPr="003819DA">
        <w:rPr>
          <w:spacing w:val="-1"/>
          <w:sz w:val="16"/>
        </w:rPr>
        <w:t>logos,</w:t>
      </w:r>
      <w:r w:rsidRPr="003819DA">
        <w:rPr>
          <w:spacing w:val="-6"/>
          <w:sz w:val="16"/>
        </w:rPr>
        <w:t xml:space="preserve"> </w:t>
      </w:r>
      <w:r w:rsidRPr="003819DA">
        <w:rPr>
          <w:sz w:val="16"/>
        </w:rPr>
        <w:t>emblems,</w:t>
      </w:r>
      <w:r w:rsidRPr="003819DA">
        <w:rPr>
          <w:spacing w:val="-6"/>
          <w:sz w:val="16"/>
        </w:rPr>
        <w:t xml:space="preserve"> </w:t>
      </w:r>
      <w:r w:rsidRPr="003819DA">
        <w:rPr>
          <w:spacing w:val="-1"/>
          <w:sz w:val="16"/>
        </w:rPr>
        <w:t>trademarks</w:t>
      </w:r>
      <w:r w:rsidRPr="003819DA">
        <w:rPr>
          <w:spacing w:val="-6"/>
          <w:sz w:val="16"/>
        </w:rPr>
        <w:t xml:space="preserve"> </w:t>
      </w:r>
      <w:r w:rsidRPr="003819DA">
        <w:rPr>
          <w:sz w:val="16"/>
        </w:rPr>
        <w:t>and</w:t>
      </w:r>
      <w:r w:rsidRPr="003819DA">
        <w:rPr>
          <w:spacing w:val="-6"/>
          <w:sz w:val="16"/>
        </w:rPr>
        <w:t xml:space="preserve"> </w:t>
      </w:r>
      <w:r w:rsidRPr="003819DA">
        <w:rPr>
          <w:sz w:val="16"/>
        </w:rPr>
        <w:t>contents</w:t>
      </w:r>
      <w:r w:rsidRPr="003819DA">
        <w:rPr>
          <w:spacing w:val="-6"/>
          <w:sz w:val="16"/>
        </w:rPr>
        <w:t xml:space="preserve"> </w:t>
      </w:r>
      <w:r w:rsidRPr="003819DA">
        <w:rPr>
          <w:sz w:val="16"/>
        </w:rPr>
        <w:t>attributed</w:t>
      </w:r>
      <w:r w:rsidRPr="003819DA">
        <w:rPr>
          <w:spacing w:val="-6"/>
          <w:sz w:val="16"/>
        </w:rPr>
        <w:t xml:space="preserve"> </w:t>
      </w:r>
      <w:r w:rsidRPr="003819DA">
        <w:rPr>
          <w:sz w:val="16"/>
        </w:rPr>
        <w:t>to</w:t>
      </w:r>
      <w:r w:rsidRPr="003819DA">
        <w:rPr>
          <w:spacing w:val="-5"/>
          <w:sz w:val="16"/>
        </w:rPr>
        <w:t xml:space="preserve"> </w:t>
      </w:r>
      <w:r w:rsidRPr="003819DA">
        <w:rPr>
          <w:sz w:val="16"/>
        </w:rPr>
        <w:t>other</w:t>
      </w:r>
      <w:r w:rsidRPr="003819DA">
        <w:rPr>
          <w:spacing w:val="-6"/>
          <w:sz w:val="16"/>
        </w:rPr>
        <w:t xml:space="preserve"> </w:t>
      </w:r>
      <w:r w:rsidRPr="003819DA">
        <w:rPr>
          <w:spacing w:val="-1"/>
          <w:sz w:val="16"/>
        </w:rPr>
        <w:t>parties,</w:t>
      </w:r>
      <w:r w:rsidRPr="003819DA">
        <w:rPr>
          <w:spacing w:val="-6"/>
          <w:sz w:val="16"/>
        </w:rPr>
        <w:t xml:space="preserve"> </w:t>
      </w:r>
      <w:r w:rsidRPr="003819DA">
        <w:rPr>
          <w:sz w:val="16"/>
        </w:rPr>
        <w:t>the statements of direction,</w:t>
      </w:r>
      <w:r w:rsidRPr="003819DA">
        <w:rPr>
          <w:spacing w:val="-6"/>
          <w:sz w:val="16"/>
        </w:rPr>
        <w:t xml:space="preserve"> </w:t>
      </w:r>
      <w:r w:rsidRPr="003819DA">
        <w:rPr>
          <w:spacing w:val="-1"/>
          <w:sz w:val="16"/>
        </w:rPr>
        <w:t>policies and</w:t>
      </w:r>
      <w:r w:rsidRPr="003819DA">
        <w:rPr>
          <w:spacing w:val="-3"/>
          <w:sz w:val="16"/>
        </w:rPr>
        <w:t xml:space="preserve"> </w:t>
      </w:r>
      <w:r w:rsidRPr="003819DA">
        <w:rPr>
          <w:spacing w:val="-1"/>
          <w:sz w:val="16"/>
        </w:rPr>
        <w:t>standards</w:t>
      </w:r>
      <w:r w:rsidRPr="003819DA">
        <w:rPr>
          <w:spacing w:val="-7"/>
          <w:sz w:val="16"/>
        </w:rPr>
        <w:t xml:space="preserve"> </w:t>
      </w:r>
      <w:r w:rsidRPr="003819DA">
        <w:rPr>
          <w:spacing w:val="1"/>
          <w:sz w:val="16"/>
        </w:rPr>
        <w:t>of</w:t>
      </w:r>
      <w:r w:rsidRPr="003819DA">
        <w:rPr>
          <w:spacing w:val="-7"/>
          <w:sz w:val="16"/>
        </w:rPr>
        <w:t xml:space="preserve"> </w:t>
      </w:r>
      <w:r w:rsidRPr="003819DA">
        <w:rPr>
          <w:sz w:val="16"/>
        </w:rPr>
        <w:t>the</w:t>
      </w:r>
      <w:r w:rsidRPr="003819DA">
        <w:rPr>
          <w:spacing w:val="-7"/>
          <w:sz w:val="16"/>
        </w:rPr>
        <w:t xml:space="preserve"> </w:t>
      </w:r>
      <w:r w:rsidRPr="003819DA">
        <w:rPr>
          <w:spacing w:val="-1"/>
          <w:sz w:val="16"/>
        </w:rPr>
        <w:t>Victorian</w:t>
      </w:r>
      <w:r w:rsidRPr="003819DA">
        <w:rPr>
          <w:spacing w:val="-6"/>
          <w:sz w:val="16"/>
        </w:rPr>
        <w:t xml:space="preserve"> </w:t>
      </w:r>
      <w:r w:rsidRPr="003819DA">
        <w:rPr>
          <w:sz w:val="16"/>
        </w:rPr>
        <w:t>Government</w:t>
      </w:r>
      <w:r w:rsidRPr="003819DA">
        <w:rPr>
          <w:spacing w:val="-6"/>
          <w:sz w:val="16"/>
        </w:rPr>
        <w:t xml:space="preserve">’s Victorian Secretaries Board or </w:t>
      </w:r>
      <w:r w:rsidRPr="003819DA">
        <w:rPr>
          <w:spacing w:val="-1"/>
          <w:sz w:val="16"/>
        </w:rPr>
        <w:t>CIO Leadership Group</w:t>
      </w:r>
      <w:r w:rsidRPr="003819DA">
        <w:rPr>
          <w:spacing w:val="-6"/>
          <w:sz w:val="16"/>
        </w:rPr>
        <w:t xml:space="preserve"> </w:t>
      </w:r>
      <w:r w:rsidRPr="003819DA">
        <w:rPr>
          <w:spacing w:val="1"/>
          <w:sz w:val="16"/>
        </w:rPr>
        <w:t>are</w:t>
      </w:r>
      <w:r w:rsidRPr="003819DA">
        <w:rPr>
          <w:spacing w:val="-7"/>
          <w:sz w:val="16"/>
        </w:rPr>
        <w:t xml:space="preserve"> </w:t>
      </w:r>
      <w:r w:rsidRPr="003819DA">
        <w:rPr>
          <w:sz w:val="16"/>
        </w:rPr>
        <w:t>licensed</w:t>
      </w:r>
      <w:r w:rsidRPr="003819DA">
        <w:rPr>
          <w:spacing w:val="-6"/>
          <w:sz w:val="16"/>
        </w:rPr>
        <w:t xml:space="preserve"> </w:t>
      </w:r>
      <w:r w:rsidRPr="003819DA">
        <w:rPr>
          <w:sz w:val="16"/>
        </w:rPr>
        <w:t>under</w:t>
      </w:r>
      <w:r w:rsidRPr="003819DA">
        <w:rPr>
          <w:spacing w:val="-6"/>
          <w:sz w:val="16"/>
        </w:rPr>
        <w:t xml:space="preserve"> </w:t>
      </w:r>
      <w:r w:rsidRPr="003819DA">
        <w:rPr>
          <w:sz w:val="16"/>
        </w:rPr>
        <w:t>the</w:t>
      </w:r>
      <w:r w:rsidRPr="003819DA">
        <w:rPr>
          <w:spacing w:val="-7"/>
          <w:sz w:val="16"/>
        </w:rPr>
        <w:t xml:space="preserve"> </w:t>
      </w:r>
      <w:r w:rsidRPr="003819DA">
        <w:rPr>
          <w:spacing w:val="-1"/>
          <w:sz w:val="16"/>
        </w:rPr>
        <w:t xml:space="preserve">Creative Commons Attribution 4.0 </w:t>
      </w:r>
      <w:r w:rsidRPr="003819DA">
        <w:rPr>
          <w:sz w:val="16"/>
        </w:rPr>
        <w:t>International licence. To view</w:t>
      </w:r>
      <w:r w:rsidRPr="003819DA">
        <w:rPr>
          <w:spacing w:val="-9"/>
          <w:sz w:val="16"/>
        </w:rPr>
        <w:t xml:space="preserve"> </w:t>
      </w:r>
      <w:r w:rsidRPr="003819DA">
        <w:rPr>
          <w:sz w:val="16"/>
        </w:rPr>
        <w:t>a</w:t>
      </w:r>
      <w:r w:rsidRPr="003819DA">
        <w:rPr>
          <w:spacing w:val="-8"/>
          <w:sz w:val="16"/>
        </w:rPr>
        <w:t xml:space="preserve"> </w:t>
      </w:r>
      <w:r w:rsidRPr="003819DA">
        <w:rPr>
          <w:sz w:val="16"/>
        </w:rPr>
        <w:t>copy</w:t>
      </w:r>
      <w:r w:rsidRPr="003819DA">
        <w:rPr>
          <w:spacing w:val="-7"/>
          <w:sz w:val="16"/>
        </w:rPr>
        <w:t xml:space="preserve"> </w:t>
      </w:r>
      <w:r w:rsidRPr="003819DA">
        <w:rPr>
          <w:sz w:val="16"/>
        </w:rPr>
        <w:t>of</w:t>
      </w:r>
      <w:r w:rsidRPr="003819DA">
        <w:rPr>
          <w:spacing w:val="-9"/>
          <w:sz w:val="16"/>
        </w:rPr>
        <w:t xml:space="preserve"> </w:t>
      </w:r>
      <w:r w:rsidRPr="003819DA">
        <w:rPr>
          <w:sz w:val="16"/>
        </w:rPr>
        <w:t>this</w:t>
      </w:r>
      <w:r w:rsidRPr="003819DA">
        <w:rPr>
          <w:spacing w:val="-9"/>
          <w:sz w:val="16"/>
        </w:rPr>
        <w:t xml:space="preserve"> </w:t>
      </w:r>
      <w:r w:rsidRPr="003819DA">
        <w:rPr>
          <w:sz w:val="16"/>
        </w:rPr>
        <w:t>licence</w:t>
      </w:r>
      <w:r w:rsidRPr="003819DA">
        <w:rPr>
          <w:spacing w:val="-1"/>
          <w:sz w:val="16"/>
        </w:rPr>
        <w:t>,</w:t>
      </w:r>
      <w:r w:rsidRPr="003819DA">
        <w:rPr>
          <w:spacing w:val="-8"/>
          <w:sz w:val="16"/>
        </w:rPr>
        <w:t xml:space="preserve"> </w:t>
      </w:r>
      <w:r w:rsidRPr="003819DA">
        <w:rPr>
          <w:sz w:val="16"/>
        </w:rPr>
        <w:t>visit</w:t>
      </w:r>
      <w:r w:rsidRPr="003819DA">
        <w:rPr>
          <w:spacing w:val="-5"/>
          <w:sz w:val="16"/>
        </w:rPr>
        <w:t xml:space="preserve"> </w:t>
      </w:r>
      <w:hyperlink r:id="rId17" w:history="1">
        <w:r w:rsidRPr="003819DA">
          <w:rPr>
            <w:rStyle w:val="Hyperlink"/>
            <w:rFonts w:eastAsia="MS Gothic"/>
            <w:sz w:val="16"/>
          </w:rPr>
          <w:t>https://creativecommons.org/licenses/by/4.0/</w:t>
        </w:r>
      </w:hyperlink>
      <w:r w:rsidRPr="003819DA">
        <w:rPr>
          <w:sz w:val="16"/>
        </w:rPr>
        <w:t xml:space="preserve">. </w:t>
      </w:r>
    </w:p>
    <w:p w14:paraId="216E3B60" w14:textId="77777777" w:rsidR="00E5229A" w:rsidRPr="003819DA" w:rsidRDefault="00E5229A" w:rsidP="0046522F">
      <w:pPr>
        <w:pStyle w:val="DPCbody"/>
      </w:pPr>
    </w:p>
    <w:p w14:paraId="1CE8905E" w14:textId="77777777" w:rsidR="00302EBD" w:rsidRPr="003819DA" w:rsidRDefault="00302EBD">
      <w:pPr>
        <w:rPr>
          <w:rFonts w:asciiTheme="majorHAnsi" w:eastAsia="MS Gothic" w:hAnsiTheme="majorHAnsi" w:cs="Arial"/>
          <w:bCs/>
          <w:color w:val="0072CE"/>
          <w:kern w:val="32"/>
          <w:sz w:val="44"/>
          <w:szCs w:val="52"/>
        </w:rPr>
      </w:pPr>
      <w:r w:rsidRPr="003819DA">
        <w:br w:type="page"/>
      </w:r>
    </w:p>
    <w:p w14:paraId="20F72C5C" w14:textId="77777777" w:rsidR="0046522F" w:rsidRPr="003819DA" w:rsidRDefault="0046522F" w:rsidP="0046522F">
      <w:pPr>
        <w:pStyle w:val="Heading1"/>
      </w:pPr>
      <w:r w:rsidRPr="003819DA">
        <w:lastRenderedPageBreak/>
        <w:t>Requirements</w:t>
      </w:r>
      <w:r w:rsidR="002366BF" w:rsidRPr="003819DA">
        <w:tab/>
      </w:r>
    </w:p>
    <w:tbl>
      <w:tblPr>
        <w:tblStyle w:val="TableGrid"/>
        <w:tblW w:w="5000" w:type="pct"/>
        <w:tblInd w:w="0" w:type="dxa"/>
        <w:tblBorders>
          <w:top w:val="none" w:sz="0" w:space="0" w:color="auto"/>
          <w:bottom w:val="none" w:sz="0" w:space="0" w:color="auto"/>
          <w:insideH w:val="none" w:sz="0" w:space="0" w:color="auto"/>
        </w:tblBorders>
        <w:tblLook w:val="04A0" w:firstRow="1" w:lastRow="0" w:firstColumn="1" w:lastColumn="0" w:noHBand="0" w:noVBand="1"/>
      </w:tblPr>
      <w:tblGrid>
        <w:gridCol w:w="1454"/>
        <w:gridCol w:w="8683"/>
      </w:tblGrid>
      <w:tr w:rsidR="00E952D3" w:rsidRPr="003819DA" w14:paraId="234A8475" w14:textId="77777777" w:rsidTr="00E952D3">
        <w:tc>
          <w:tcPr>
            <w:tcW w:w="717" w:type="pct"/>
          </w:tcPr>
          <w:p w14:paraId="3405EC17" w14:textId="32EA6F0B" w:rsidR="00E952D3" w:rsidRPr="003819DA" w:rsidRDefault="00E952D3" w:rsidP="00E952D3">
            <w:pPr>
              <w:pStyle w:val="DPCbody"/>
            </w:pPr>
            <w:r w:rsidRPr="003819DA">
              <w:rPr>
                <w:noProof/>
                <w:sz w:val="48"/>
                <w:lang w:eastAsia="en-AU"/>
              </w:rPr>
              <w:drawing>
                <wp:anchor distT="0" distB="0" distL="114300" distR="114300" simplePos="0" relativeHeight="251671552" behindDoc="0" locked="0" layoutInCell="1" allowOverlap="0" wp14:anchorId="66B2D0BC" wp14:editId="4B8FB006">
                  <wp:simplePos x="0" y="0"/>
                  <wp:positionH relativeFrom="column">
                    <wp:posOffset>121920</wp:posOffset>
                  </wp:positionH>
                  <wp:positionV relativeFrom="paragraph">
                    <wp:posOffset>201930</wp:posOffset>
                  </wp:positionV>
                  <wp:extent cx="568960" cy="449580"/>
                  <wp:effectExtent l="0" t="0" r="254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568960" cy="449580"/>
                          </a:xfrm>
                          <a:prstGeom prst="rect">
                            <a:avLst/>
                          </a:prstGeom>
                        </pic:spPr>
                      </pic:pic>
                    </a:graphicData>
                  </a:graphic>
                  <wp14:sizeRelH relativeFrom="margin">
                    <wp14:pctWidth>0</wp14:pctWidth>
                  </wp14:sizeRelH>
                  <wp14:sizeRelV relativeFrom="margin">
                    <wp14:pctHeight>0</wp14:pctHeight>
                  </wp14:sizeRelV>
                </wp:anchor>
              </w:drawing>
            </w:r>
          </w:p>
        </w:tc>
        <w:tc>
          <w:tcPr>
            <w:tcW w:w="4283" w:type="pct"/>
          </w:tcPr>
          <w:p w14:paraId="4DE9F871" w14:textId="26D8A9C5" w:rsidR="00E952D3" w:rsidRPr="003819DA" w:rsidRDefault="00BC5F4D" w:rsidP="00E952D3">
            <w:pPr>
              <w:pStyle w:val="DPCbody"/>
              <w:ind w:left="-20"/>
            </w:pPr>
            <w:r w:rsidRPr="003819DA">
              <w:t xml:space="preserve">In this standard </w:t>
            </w:r>
            <w:r w:rsidR="00E952D3" w:rsidRPr="003819DA">
              <w:t xml:space="preserve">‘information’ </w:t>
            </w:r>
            <w:r w:rsidRPr="003819DA">
              <w:t xml:space="preserve">and ‘information asset’ </w:t>
            </w:r>
            <w:r w:rsidR="00E952D3" w:rsidRPr="003819DA">
              <w:t>refers to ‘information’</w:t>
            </w:r>
            <w:r w:rsidR="00D5536B" w:rsidRPr="003819DA">
              <w:t xml:space="preserve">, </w:t>
            </w:r>
            <w:r w:rsidR="00E952D3" w:rsidRPr="003819DA">
              <w:t>‘data’</w:t>
            </w:r>
            <w:r w:rsidR="00D5536B" w:rsidRPr="003819DA">
              <w:t xml:space="preserve"> and ‘record’</w:t>
            </w:r>
            <w:r w:rsidR="00E952D3" w:rsidRPr="003819DA">
              <w:t>.</w:t>
            </w:r>
            <w:r w:rsidRPr="003819DA">
              <w:t xml:space="preserve"> </w:t>
            </w:r>
          </w:p>
          <w:p w14:paraId="623EEE58" w14:textId="655ABA02" w:rsidR="00E952D3" w:rsidRPr="003819DA" w:rsidRDefault="00E952D3" w:rsidP="00E952D3">
            <w:pPr>
              <w:pStyle w:val="DPCbody"/>
              <w:ind w:left="-20"/>
            </w:pPr>
            <w:r w:rsidRPr="003819DA">
              <w:t xml:space="preserve">This standard should be read in conjunction with the </w:t>
            </w:r>
            <w:hyperlink r:id="rId19" w:history="1">
              <w:r w:rsidRPr="003819DA">
                <w:rPr>
                  <w:rStyle w:val="Hyperlink"/>
                  <w:i/>
                </w:rPr>
                <w:t>Victorian public sector operating manual on machinery of government changes</w:t>
              </w:r>
            </w:hyperlink>
            <w:r w:rsidRPr="003819DA">
              <w:t xml:space="preserve"> and the </w:t>
            </w:r>
            <w:hyperlink r:id="rId20" w:history="1">
              <w:r w:rsidRPr="003819DA">
                <w:rPr>
                  <w:rStyle w:val="Hyperlink"/>
                  <w:i/>
                </w:rPr>
                <w:t>PROS 10/17 G3 Transfer of Custodianship Guideline</w:t>
              </w:r>
            </w:hyperlink>
            <w:r w:rsidRPr="003819DA">
              <w:t>.</w:t>
            </w:r>
          </w:p>
        </w:tc>
      </w:tr>
    </w:tbl>
    <w:p w14:paraId="5E6C0E6A" w14:textId="4B05C430" w:rsidR="008325E2" w:rsidRPr="003819DA" w:rsidRDefault="00E37012" w:rsidP="008325E2">
      <w:pPr>
        <w:pStyle w:val="DPCbody"/>
        <w:tabs>
          <w:tab w:val="left" w:pos="8610"/>
        </w:tabs>
      </w:pPr>
      <w:r w:rsidRPr="003819DA">
        <w:t xml:space="preserve">In implementing </w:t>
      </w:r>
      <w:r w:rsidR="009E6CCD" w:rsidRPr="003819DA">
        <w:t>a machinery of government (MOG) change d</w:t>
      </w:r>
      <w:r w:rsidR="008325E2" w:rsidRPr="003819DA">
        <w:t>epartments</w:t>
      </w:r>
      <w:r w:rsidR="00C01C86" w:rsidRPr="003819DA">
        <w:t xml:space="preserve"> </w:t>
      </w:r>
      <w:r w:rsidR="00D52EEE" w:rsidRPr="003819DA">
        <w:t xml:space="preserve">must </w:t>
      </w:r>
      <w:r w:rsidR="008325E2" w:rsidRPr="003819DA">
        <w:t>at a minimum:</w:t>
      </w:r>
      <w:r w:rsidR="008325E2" w:rsidRPr="003819DA">
        <w:tab/>
      </w:r>
    </w:p>
    <w:p w14:paraId="1A46837A" w14:textId="77777777" w:rsidR="00B2739C" w:rsidRPr="003819DA" w:rsidRDefault="00B2739C" w:rsidP="008325E2">
      <w:pPr>
        <w:pStyle w:val="DPCbody"/>
        <w:tabs>
          <w:tab w:val="left" w:pos="8610"/>
        </w:tabs>
        <w:rPr>
          <w:u w:val="single"/>
        </w:rPr>
      </w:pPr>
      <w:r w:rsidRPr="003819DA">
        <w:rPr>
          <w:u w:val="single"/>
        </w:rPr>
        <w:t>General</w:t>
      </w:r>
    </w:p>
    <w:p w14:paraId="5EFEB0CF" w14:textId="0C6DF2F3" w:rsidR="00B2739C" w:rsidRPr="003819DA" w:rsidRDefault="00666698" w:rsidP="00B2739C">
      <w:pPr>
        <w:pStyle w:val="DPCnumberdigit"/>
      </w:pPr>
      <w:r w:rsidRPr="003819DA">
        <w:t>C</w:t>
      </w:r>
      <w:r w:rsidR="00B2739C" w:rsidRPr="003819DA">
        <w:t>ollaboratively</w:t>
      </w:r>
      <w:r w:rsidRPr="003819DA">
        <w:t xml:space="preserve"> (between the transferring and receiving departments) agree </w:t>
      </w:r>
      <w:r w:rsidR="00B2739C" w:rsidRPr="003819DA">
        <w:t xml:space="preserve">on the minimum information </w:t>
      </w:r>
      <w:r w:rsidRPr="003819DA">
        <w:t xml:space="preserve">assets </w:t>
      </w:r>
      <w:r w:rsidR="00B2739C" w:rsidRPr="003819DA">
        <w:t xml:space="preserve">and </w:t>
      </w:r>
      <w:r w:rsidRPr="003819DA">
        <w:t xml:space="preserve">associated </w:t>
      </w:r>
      <w:r w:rsidR="00B2739C" w:rsidRPr="003819DA">
        <w:t>metadata to be transferred.</w:t>
      </w:r>
    </w:p>
    <w:p w14:paraId="7271EC92" w14:textId="22B854DD" w:rsidR="000D707F" w:rsidRPr="003819DA" w:rsidRDefault="00D9692F" w:rsidP="008325E2">
      <w:pPr>
        <w:pStyle w:val="DPCbody"/>
        <w:tabs>
          <w:tab w:val="left" w:pos="8610"/>
        </w:tabs>
        <w:rPr>
          <w:u w:val="single"/>
        </w:rPr>
      </w:pPr>
      <w:r w:rsidRPr="003819DA">
        <w:rPr>
          <w:u w:val="single"/>
        </w:rPr>
        <w:t>Transferring</w:t>
      </w:r>
      <w:r w:rsidR="00E37012" w:rsidRPr="003819DA">
        <w:rPr>
          <w:u w:val="single"/>
        </w:rPr>
        <w:t xml:space="preserve"> </w:t>
      </w:r>
      <w:r w:rsidR="000D707F" w:rsidRPr="003819DA">
        <w:rPr>
          <w:u w:val="single"/>
        </w:rPr>
        <w:t>department</w:t>
      </w:r>
      <w:r w:rsidR="00C80BD8">
        <w:rPr>
          <w:rFonts w:ascii="ZWAdobeF" w:hAnsi="ZWAdobeF" w:cs="ZWAdobeF"/>
          <w:color w:val="auto"/>
          <w:sz w:val="2"/>
          <w:szCs w:val="2"/>
        </w:rPr>
        <w:t>0F</w:t>
      </w:r>
      <w:r w:rsidR="00AD5B74" w:rsidRPr="003819DA">
        <w:rPr>
          <w:rStyle w:val="FootnoteReference"/>
          <w:u w:val="single"/>
        </w:rPr>
        <w:footnoteReference w:id="1"/>
      </w:r>
    </w:p>
    <w:p w14:paraId="399D8A1A" w14:textId="460EADFD" w:rsidR="00B2739C" w:rsidRPr="003819DA" w:rsidRDefault="00B2739C" w:rsidP="00B2739C">
      <w:pPr>
        <w:pStyle w:val="DPCnumberdigit"/>
      </w:pPr>
      <w:r w:rsidRPr="003819DA">
        <w:t>Transfer, in an agreed format and in accordance with the classification level of the information, the information assets and associated metadata, which relate to the function being transferred.</w:t>
      </w:r>
    </w:p>
    <w:p w14:paraId="5668E118" w14:textId="6E62F3CB" w:rsidR="00456100" w:rsidRPr="003819DA" w:rsidRDefault="00456100" w:rsidP="00283701">
      <w:pPr>
        <w:pStyle w:val="DPCnumberdigit"/>
      </w:pPr>
      <w:r w:rsidRPr="003819DA">
        <w:t xml:space="preserve">Ensure information assets that are owned by a transferred function, but continue to reside </w:t>
      </w:r>
      <w:r w:rsidR="00666698" w:rsidRPr="003819DA">
        <w:t>in</w:t>
      </w:r>
      <w:r w:rsidRPr="003819DA">
        <w:t xml:space="preserve"> the transferring department’s systems</w:t>
      </w:r>
      <w:r w:rsidR="00B2739C" w:rsidRPr="003819DA">
        <w:t>,</w:t>
      </w:r>
      <w:r w:rsidRPr="003819DA">
        <w:t xml:space="preserve"> are: </w:t>
      </w:r>
    </w:p>
    <w:p w14:paraId="109045E4" w14:textId="12FF7916" w:rsidR="00456100" w:rsidRPr="003819DA" w:rsidRDefault="00456100" w:rsidP="00456100">
      <w:pPr>
        <w:pStyle w:val="DPCnumberdigitindent"/>
      </w:pPr>
      <w:r w:rsidRPr="003819DA">
        <w:t>recorded in the department’s information asset register</w:t>
      </w:r>
      <w:r w:rsidR="00AB7405" w:rsidRPr="003819DA">
        <w:t xml:space="preserve"> (IAR)</w:t>
      </w:r>
      <w:r w:rsidRPr="003819DA">
        <w:t xml:space="preserve"> as being owned by the receiving department</w:t>
      </w:r>
    </w:p>
    <w:p w14:paraId="09D5EC16" w14:textId="245FAAC7" w:rsidR="00456100" w:rsidRPr="003819DA" w:rsidRDefault="00456100" w:rsidP="00456100">
      <w:pPr>
        <w:pStyle w:val="DPCnumberdigitindent"/>
      </w:pPr>
      <w:r w:rsidRPr="003819DA">
        <w:t>assigned a responsible officer as the information custodian in the transferring department.</w:t>
      </w:r>
      <w:r w:rsidR="007301EB" w:rsidRPr="003819DA">
        <w:t xml:space="preserve"> </w:t>
      </w:r>
    </w:p>
    <w:p w14:paraId="719E66EC" w14:textId="7A429B13" w:rsidR="00116AC0" w:rsidRPr="003819DA" w:rsidRDefault="00116AC0" w:rsidP="00116AC0">
      <w:pPr>
        <w:pStyle w:val="DPCnumberdigit"/>
      </w:pPr>
      <w:r w:rsidRPr="003819DA">
        <w:t xml:space="preserve">Ensure </w:t>
      </w:r>
      <w:r w:rsidR="00003A77" w:rsidRPr="003819DA">
        <w:t xml:space="preserve">all </w:t>
      </w:r>
      <w:r w:rsidR="00A26D07" w:rsidRPr="003819DA">
        <w:t>information assets</w:t>
      </w:r>
      <w:r w:rsidRPr="003819DA">
        <w:t xml:space="preserve"> being transferred </w:t>
      </w:r>
      <w:r w:rsidR="0052612F" w:rsidRPr="003819DA">
        <w:t>are</w:t>
      </w:r>
      <w:r w:rsidRPr="003819DA">
        <w:t>:</w:t>
      </w:r>
    </w:p>
    <w:p w14:paraId="64DF5FCC" w14:textId="149C7529" w:rsidR="00116AC0" w:rsidRPr="003819DA" w:rsidRDefault="00116AC0" w:rsidP="00116AC0">
      <w:pPr>
        <w:pStyle w:val="DPCnumberdigitindent"/>
      </w:pPr>
      <w:r w:rsidRPr="003819DA">
        <w:t xml:space="preserve">quality assured </w:t>
      </w:r>
      <w:r w:rsidR="0052612F" w:rsidRPr="003819DA">
        <w:t xml:space="preserve">to the highest level possible </w:t>
      </w:r>
      <w:r w:rsidRPr="003819DA">
        <w:t>prior to transfer</w:t>
      </w:r>
      <w:r w:rsidR="00A26D07" w:rsidRPr="003819DA">
        <w:t xml:space="preserve"> (</w:t>
      </w:r>
      <w:r w:rsidR="00003A77" w:rsidRPr="003819DA">
        <w:t>particularly Cabinet-in-confidence (CIC) records</w:t>
      </w:r>
      <w:r w:rsidR="00C80BD8">
        <w:rPr>
          <w:rFonts w:ascii="ZWAdobeF" w:hAnsi="ZWAdobeF" w:cs="ZWAdobeF"/>
          <w:color w:val="auto"/>
          <w:sz w:val="2"/>
          <w:szCs w:val="2"/>
        </w:rPr>
        <w:t>1F</w:t>
      </w:r>
      <w:r w:rsidR="003819DA">
        <w:rPr>
          <w:rStyle w:val="FootnoteReference"/>
        </w:rPr>
        <w:footnoteReference w:id="2"/>
      </w:r>
      <w:r w:rsidR="00003A77" w:rsidRPr="003819DA">
        <w:t>)</w:t>
      </w:r>
      <w:r w:rsidR="005F2BE3">
        <w:t>0</w:t>
      </w:r>
    </w:p>
    <w:p w14:paraId="68441BD0" w14:textId="729B9848" w:rsidR="00A26D07" w:rsidRPr="003819DA" w:rsidRDefault="00A26D07" w:rsidP="00840E08">
      <w:pPr>
        <w:pStyle w:val="DPCnumberdigitindent"/>
      </w:pPr>
      <w:r w:rsidRPr="003819DA">
        <w:t xml:space="preserve">disposal action sentenced (see the </w:t>
      </w:r>
      <w:r w:rsidRPr="003819DA">
        <w:rPr>
          <w:i/>
        </w:rPr>
        <w:t>PROS 10/17 G3 Transfer of Custodianship Guideline</w:t>
      </w:r>
      <w:r w:rsidRPr="003819DA">
        <w:t xml:space="preserve">, </w:t>
      </w:r>
      <w:r w:rsidR="00840E08" w:rsidRPr="003819DA">
        <w:t>4.1 Step One: Complete Outstanding Disposal Actions)</w:t>
      </w:r>
    </w:p>
    <w:p w14:paraId="2BD5313B" w14:textId="2CCE5DC1" w:rsidR="00A26D07" w:rsidRPr="003819DA" w:rsidRDefault="00A26D07" w:rsidP="00116AC0">
      <w:pPr>
        <w:pStyle w:val="DPCnumberdigitindent"/>
      </w:pPr>
      <w:r w:rsidRPr="003819DA">
        <w:t>established as a permanent or temporary record.</w:t>
      </w:r>
    </w:p>
    <w:p w14:paraId="6BDFEBA4" w14:textId="4F71B25D" w:rsidR="00BC5F4D" w:rsidRPr="003819DA" w:rsidRDefault="008903D6" w:rsidP="00B2739C">
      <w:pPr>
        <w:pStyle w:val="DPCnumberdigit"/>
      </w:pPr>
      <w:r w:rsidRPr="003819DA">
        <w:t xml:space="preserve">Transfer </w:t>
      </w:r>
      <w:r w:rsidRPr="003819DA">
        <w:rPr>
          <w:u w:val="single"/>
        </w:rPr>
        <w:t>all</w:t>
      </w:r>
      <w:r w:rsidRPr="003819DA">
        <w:t xml:space="preserve"> permanent and temporary CIC records. </w:t>
      </w:r>
    </w:p>
    <w:p w14:paraId="02BFAB97" w14:textId="0ACAE524" w:rsidR="008903D6" w:rsidRPr="003819DA" w:rsidRDefault="00BC5F4D" w:rsidP="00BC5F4D">
      <w:pPr>
        <w:pStyle w:val="DPCnumberdigit"/>
        <w:numPr>
          <w:ilvl w:val="0"/>
          <w:numId w:val="0"/>
        </w:numPr>
      </w:pPr>
      <w:r w:rsidRPr="003819DA">
        <w:rPr>
          <w:noProof/>
          <w:sz w:val="48"/>
          <w:lang w:eastAsia="en-AU"/>
        </w:rPr>
        <w:drawing>
          <wp:anchor distT="0" distB="0" distL="114300" distR="114300" simplePos="0" relativeHeight="251677696" behindDoc="0" locked="0" layoutInCell="1" allowOverlap="0" wp14:anchorId="65637635" wp14:editId="5E68CE65">
            <wp:simplePos x="0" y="0"/>
            <wp:positionH relativeFrom="column">
              <wp:posOffset>257175</wp:posOffset>
            </wp:positionH>
            <wp:positionV relativeFrom="paragraph">
              <wp:posOffset>20955</wp:posOffset>
            </wp:positionV>
            <wp:extent cx="568960" cy="449580"/>
            <wp:effectExtent l="0" t="0" r="254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568960" cy="449580"/>
                    </a:xfrm>
                    <a:prstGeom prst="rect">
                      <a:avLst/>
                    </a:prstGeom>
                  </pic:spPr>
                </pic:pic>
              </a:graphicData>
            </a:graphic>
            <wp14:sizeRelH relativeFrom="margin">
              <wp14:pctWidth>0</wp14:pctWidth>
            </wp14:sizeRelH>
            <wp14:sizeRelV relativeFrom="margin">
              <wp14:pctHeight>0</wp14:pctHeight>
            </wp14:sizeRelV>
          </wp:anchor>
        </w:drawing>
      </w:r>
      <w:r w:rsidR="008903D6" w:rsidRPr="003819DA">
        <w:t xml:space="preserve">A copy of a CIC </w:t>
      </w:r>
      <w:r w:rsidRPr="003819DA">
        <w:t xml:space="preserve">record </w:t>
      </w:r>
      <w:r w:rsidR="008903D6" w:rsidRPr="003819DA">
        <w:t>should not be kept in the transferring department or remain accessible on the transferring department’s system</w:t>
      </w:r>
      <w:r w:rsidRPr="003819DA">
        <w:t>s</w:t>
      </w:r>
      <w:r w:rsidR="008903D6" w:rsidRPr="003819DA">
        <w:t>.</w:t>
      </w:r>
      <w:r w:rsidRPr="003819DA">
        <w:br/>
      </w:r>
    </w:p>
    <w:p w14:paraId="1A9F6152" w14:textId="0E2680F9" w:rsidR="00B2739C" w:rsidRPr="003819DA" w:rsidRDefault="00B2739C" w:rsidP="00B2739C">
      <w:pPr>
        <w:pStyle w:val="DPCnumberdigit"/>
      </w:pPr>
      <w:r w:rsidRPr="003819DA">
        <w:t>Provide the receiving department with the most current version of electronic document and records management system (EDRMS) records being transferred, as determined by the functions being transferred, as well as the history (previous versions and audit trail) of the record and associated metadata.</w:t>
      </w:r>
      <w:r w:rsidR="007301EB" w:rsidRPr="003819DA">
        <w:t xml:space="preserve"> </w:t>
      </w:r>
    </w:p>
    <w:p w14:paraId="6ECEBA91" w14:textId="17FDE0C7" w:rsidR="00456100" w:rsidRPr="003819DA" w:rsidRDefault="00456100" w:rsidP="00456100">
      <w:pPr>
        <w:pStyle w:val="DPCnumberdigit"/>
      </w:pPr>
      <w:r w:rsidRPr="003819DA">
        <w:lastRenderedPageBreak/>
        <w:t xml:space="preserve">Transfer digital information </w:t>
      </w:r>
      <w:r w:rsidR="00BC5F4D" w:rsidRPr="003819DA">
        <w:t>assets</w:t>
      </w:r>
      <w:r w:rsidRPr="003819DA">
        <w:t xml:space="preserve"> located </w:t>
      </w:r>
      <w:r w:rsidR="0052195A" w:rsidRPr="003819DA">
        <w:t>outside the EDRMS (e.g.</w:t>
      </w:r>
      <w:r w:rsidRPr="003819DA">
        <w:t xml:space="preserve"> </w:t>
      </w:r>
      <w:r w:rsidR="0052195A" w:rsidRPr="003819DA">
        <w:t xml:space="preserve">in the cloud, </w:t>
      </w:r>
      <w:r w:rsidRPr="003819DA">
        <w:t>network drives</w:t>
      </w:r>
      <w:r w:rsidR="0052195A" w:rsidRPr="003819DA">
        <w:t>)</w:t>
      </w:r>
      <w:r w:rsidR="00193CD0" w:rsidRPr="003819DA">
        <w:t xml:space="preserve"> </w:t>
      </w:r>
      <w:r w:rsidRPr="003819DA">
        <w:t>with as much supporting information a</w:t>
      </w:r>
      <w:r w:rsidR="0052195A" w:rsidRPr="003819DA">
        <w:t>s</w:t>
      </w:r>
      <w:r w:rsidRPr="003819DA">
        <w:t xml:space="preserve"> possible (e.g. metadata).</w:t>
      </w:r>
    </w:p>
    <w:p w14:paraId="09753436" w14:textId="68EAB068" w:rsidR="00D9692F" w:rsidRPr="003819DA" w:rsidRDefault="009E6CCD" w:rsidP="008325E2">
      <w:pPr>
        <w:pStyle w:val="DPCnumberdigit"/>
      </w:pPr>
      <w:r w:rsidRPr="003819DA">
        <w:t xml:space="preserve">Transfer </w:t>
      </w:r>
      <w:r w:rsidR="000D707F" w:rsidRPr="003819DA">
        <w:t xml:space="preserve">to </w:t>
      </w:r>
      <w:r w:rsidRPr="003819DA">
        <w:t>the receiving department</w:t>
      </w:r>
      <w:r w:rsidR="00274EEE" w:rsidRPr="003819DA">
        <w:t>,</w:t>
      </w:r>
      <w:r w:rsidRPr="003819DA">
        <w:t xml:space="preserve"> </w:t>
      </w:r>
      <w:r w:rsidR="00AC098B" w:rsidRPr="003819DA">
        <w:t>in a</w:t>
      </w:r>
      <w:r w:rsidR="00445BA1" w:rsidRPr="003819DA">
        <w:t xml:space="preserve"> mutually agreed </w:t>
      </w:r>
      <w:r w:rsidR="00AC098B" w:rsidRPr="003819DA">
        <w:t>format</w:t>
      </w:r>
      <w:r w:rsidR="00445BA1" w:rsidRPr="003819DA">
        <w:t>,</w:t>
      </w:r>
      <w:r w:rsidR="00AC098B" w:rsidRPr="003819DA">
        <w:t xml:space="preserve"> </w:t>
      </w:r>
      <w:r w:rsidRPr="003819DA">
        <w:t xml:space="preserve">the </w:t>
      </w:r>
      <w:r w:rsidR="00386ADC" w:rsidRPr="003819DA">
        <w:t>metadata</w:t>
      </w:r>
      <w:r w:rsidR="00445BA1" w:rsidRPr="003819DA">
        <w:t xml:space="preserve"> </w:t>
      </w:r>
      <w:r w:rsidRPr="003819DA">
        <w:t xml:space="preserve">entries in </w:t>
      </w:r>
      <w:r w:rsidR="0052195A" w:rsidRPr="003819DA">
        <w:t>the transferring department’s</w:t>
      </w:r>
      <w:r w:rsidR="00AC098B" w:rsidRPr="003819DA">
        <w:t xml:space="preserve"> </w:t>
      </w:r>
      <w:r w:rsidR="00AB7405" w:rsidRPr="003819DA">
        <w:t>IAR</w:t>
      </w:r>
      <w:r w:rsidR="00445BA1" w:rsidRPr="003819DA">
        <w:t xml:space="preserve"> which relate to the function being transferred.</w:t>
      </w:r>
      <w:r w:rsidR="00E537C3" w:rsidRPr="003819DA">
        <w:t xml:space="preserve"> </w:t>
      </w:r>
    </w:p>
    <w:p w14:paraId="4B24106D" w14:textId="51475553" w:rsidR="00274EEE" w:rsidRPr="003819DA" w:rsidRDefault="00617CEC" w:rsidP="00274EEE">
      <w:pPr>
        <w:pStyle w:val="DPCnumberdigit"/>
      </w:pPr>
      <w:r w:rsidRPr="003819DA">
        <w:t>Advise DataVic</w:t>
      </w:r>
      <w:r w:rsidR="00274EEE" w:rsidRPr="003819DA">
        <w:t xml:space="preserve"> </w:t>
      </w:r>
      <w:r w:rsidRPr="003819DA">
        <w:t>to change the</w:t>
      </w:r>
      <w:r w:rsidR="00274EEE" w:rsidRPr="003819DA">
        <w:t xml:space="preserve"> ownership</w:t>
      </w:r>
      <w:r w:rsidR="00C80BD8">
        <w:rPr>
          <w:rFonts w:ascii="ZWAdobeF" w:hAnsi="ZWAdobeF" w:cs="ZWAdobeF"/>
          <w:color w:val="auto"/>
          <w:sz w:val="2"/>
          <w:szCs w:val="2"/>
        </w:rPr>
        <w:t>2F</w:t>
      </w:r>
      <w:r w:rsidR="00F20338" w:rsidRPr="003819DA">
        <w:rPr>
          <w:rStyle w:val="FootnoteReference"/>
        </w:rPr>
        <w:footnoteReference w:id="3"/>
      </w:r>
      <w:r w:rsidR="00274EEE" w:rsidRPr="003819DA">
        <w:t xml:space="preserve"> of all data assets registered on </w:t>
      </w:r>
      <w:hyperlink r:id="rId21" w:history="1">
        <w:r w:rsidR="00274EEE" w:rsidRPr="003819DA">
          <w:rPr>
            <w:rStyle w:val="Hyperlink"/>
          </w:rPr>
          <w:t>Data.vic.gov.au</w:t>
        </w:r>
      </w:hyperlink>
      <w:r w:rsidR="00274EEE" w:rsidRPr="003819DA">
        <w:t xml:space="preserve"> and the WoVG Data Register to the receiving department.</w:t>
      </w:r>
    </w:p>
    <w:p w14:paraId="435A3CAA" w14:textId="2824505E" w:rsidR="0052195A" w:rsidRPr="003819DA" w:rsidRDefault="0052195A" w:rsidP="0052195A">
      <w:pPr>
        <w:pStyle w:val="DPCnumberdigit"/>
      </w:pPr>
      <w:r w:rsidRPr="003819DA">
        <w:t xml:space="preserve">Provide the receiving department with an overview of the classification of the information being transferred, based on Business Impact Levels, and consolidated guidance on the commensurate storage, handling and destruction requirements under the </w:t>
      </w:r>
      <w:hyperlink r:id="rId22" w:history="1">
        <w:r w:rsidRPr="003819DA">
          <w:rPr>
            <w:rStyle w:val="Hyperlink"/>
            <w:i/>
          </w:rPr>
          <w:t>Victorian Protective Data Security Framework</w:t>
        </w:r>
      </w:hyperlink>
      <w:r w:rsidRPr="003819DA">
        <w:t xml:space="preserve"> (VPDSF).</w:t>
      </w:r>
    </w:p>
    <w:p w14:paraId="58DB777C" w14:textId="63F5311E" w:rsidR="00444809" w:rsidRPr="003819DA" w:rsidRDefault="0028146D" w:rsidP="00444809">
      <w:pPr>
        <w:pStyle w:val="DPCnumberdigit"/>
        <w:numPr>
          <w:ilvl w:val="0"/>
          <w:numId w:val="0"/>
        </w:numPr>
        <w:ind w:left="397"/>
      </w:pPr>
      <w:r w:rsidRPr="003819DA">
        <w:rPr>
          <w:noProof/>
          <w:sz w:val="48"/>
          <w:lang w:eastAsia="en-AU"/>
        </w:rPr>
        <w:drawing>
          <wp:anchor distT="0" distB="0" distL="114300" distR="114300" simplePos="0" relativeHeight="251669504" behindDoc="0" locked="0" layoutInCell="1" allowOverlap="0" wp14:anchorId="58DBC8E0" wp14:editId="6C837E36">
            <wp:simplePos x="0" y="0"/>
            <wp:positionH relativeFrom="column">
              <wp:posOffset>184785</wp:posOffset>
            </wp:positionH>
            <wp:positionV relativeFrom="paragraph">
              <wp:posOffset>78740</wp:posOffset>
            </wp:positionV>
            <wp:extent cx="568960" cy="449580"/>
            <wp:effectExtent l="0" t="0" r="254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568960" cy="449580"/>
                    </a:xfrm>
                    <a:prstGeom prst="rect">
                      <a:avLst/>
                    </a:prstGeom>
                  </pic:spPr>
                </pic:pic>
              </a:graphicData>
            </a:graphic>
            <wp14:sizeRelH relativeFrom="margin">
              <wp14:pctWidth>0</wp14:pctWidth>
            </wp14:sizeRelH>
            <wp14:sizeRelV relativeFrom="margin">
              <wp14:pctHeight>0</wp14:pctHeight>
            </wp14:sizeRelV>
          </wp:anchor>
        </w:drawing>
      </w:r>
      <w:r w:rsidR="00456100" w:rsidRPr="003819DA">
        <w:t xml:space="preserve">Information should not </w:t>
      </w:r>
      <w:r w:rsidRPr="003819DA">
        <w:t>be kept on the transferring department’s systems without a supporting memorandum of understanding (MOU) in place for its management (see requirement 1</w:t>
      </w:r>
      <w:r w:rsidR="004A3A8E" w:rsidRPr="003819DA">
        <w:t>2.</w:t>
      </w:r>
      <w:r w:rsidRPr="003819DA">
        <w:t xml:space="preserve"> below).</w:t>
      </w:r>
      <w:r w:rsidR="00444809" w:rsidRPr="003819DA">
        <w:br/>
      </w:r>
    </w:p>
    <w:p w14:paraId="14D4C9A1" w14:textId="38A12A2B" w:rsidR="00C01C86" w:rsidRPr="003819DA" w:rsidRDefault="000D707F" w:rsidP="00C01C86">
      <w:pPr>
        <w:pStyle w:val="DPCbody"/>
        <w:rPr>
          <w:u w:val="single"/>
        </w:rPr>
      </w:pPr>
      <w:r w:rsidRPr="003819DA">
        <w:rPr>
          <w:u w:val="single"/>
        </w:rPr>
        <w:t>Receiving department</w:t>
      </w:r>
      <w:r w:rsidR="00C80BD8">
        <w:rPr>
          <w:rFonts w:ascii="ZWAdobeF" w:hAnsi="ZWAdobeF" w:cs="ZWAdobeF"/>
          <w:color w:val="auto"/>
          <w:sz w:val="2"/>
          <w:szCs w:val="2"/>
        </w:rPr>
        <w:t>3F</w:t>
      </w:r>
      <w:r w:rsidR="00346073" w:rsidRPr="003819DA">
        <w:rPr>
          <w:rStyle w:val="FootnoteReference"/>
          <w:u w:val="single"/>
        </w:rPr>
        <w:footnoteReference w:id="4"/>
      </w:r>
    </w:p>
    <w:p w14:paraId="4A209331" w14:textId="6E0E1097" w:rsidR="00AD167B" w:rsidRPr="003819DA" w:rsidRDefault="00386ADC" w:rsidP="000D707F">
      <w:pPr>
        <w:pStyle w:val="DPCnumberdigit"/>
      </w:pPr>
      <w:r w:rsidRPr="003819DA">
        <w:t xml:space="preserve">Import into </w:t>
      </w:r>
      <w:r w:rsidR="0075478C" w:rsidRPr="003819DA">
        <w:t>the department’s</w:t>
      </w:r>
      <w:r w:rsidRPr="003819DA">
        <w:t xml:space="preserve"> information asset register</w:t>
      </w:r>
      <w:r w:rsidR="00AB7405" w:rsidRPr="003819DA">
        <w:t xml:space="preserve"> (IAR)</w:t>
      </w:r>
      <w:r w:rsidRPr="003819DA">
        <w:t xml:space="preserve"> the metadata which relates to the function</w:t>
      </w:r>
      <w:r w:rsidR="00274EEE" w:rsidRPr="003819DA">
        <w:t>/s</w:t>
      </w:r>
      <w:r w:rsidRPr="003819DA">
        <w:t xml:space="preserve"> being transferred</w:t>
      </w:r>
      <w:r w:rsidR="00575F25" w:rsidRPr="003819DA">
        <w:t xml:space="preserve"> </w:t>
      </w:r>
      <w:r w:rsidR="00274EEE" w:rsidRPr="003819DA">
        <w:t>in</w:t>
      </w:r>
      <w:r w:rsidR="00575F25" w:rsidRPr="003819DA">
        <w:t>to the department</w:t>
      </w:r>
      <w:r w:rsidR="00456100" w:rsidRPr="003819DA">
        <w:t>.</w:t>
      </w:r>
    </w:p>
    <w:p w14:paraId="68F7FB99" w14:textId="41854316" w:rsidR="00116AC0" w:rsidRPr="003819DA" w:rsidRDefault="004A3A8E" w:rsidP="00116AC0">
      <w:pPr>
        <w:pStyle w:val="DPCnumberdigit"/>
        <w:tabs>
          <w:tab w:val="center" w:pos="4960"/>
        </w:tabs>
      </w:pPr>
      <w:r w:rsidRPr="003819DA">
        <w:t>I</w:t>
      </w:r>
      <w:r w:rsidR="000D707F" w:rsidRPr="003819DA">
        <w:t xml:space="preserve">mport </w:t>
      </w:r>
      <w:r w:rsidR="00C01C86" w:rsidRPr="003819DA">
        <w:t xml:space="preserve">into </w:t>
      </w:r>
      <w:r w:rsidR="0075478C" w:rsidRPr="003819DA">
        <w:t xml:space="preserve">the department’s </w:t>
      </w:r>
      <w:r w:rsidR="00C01C86" w:rsidRPr="003819DA">
        <w:t>EDRMS</w:t>
      </w:r>
      <w:r w:rsidR="00386ADC" w:rsidRPr="003819DA">
        <w:t>,</w:t>
      </w:r>
      <w:r w:rsidR="00C01C86" w:rsidRPr="003819DA">
        <w:t xml:space="preserve"> and other systems</w:t>
      </w:r>
      <w:r w:rsidR="00386ADC" w:rsidRPr="003819DA">
        <w:t>,</w:t>
      </w:r>
      <w:r w:rsidR="00C01C86" w:rsidRPr="003819DA">
        <w:t xml:space="preserve"> the information received </w:t>
      </w:r>
      <w:r w:rsidRPr="003819DA">
        <w:t xml:space="preserve">including </w:t>
      </w:r>
      <w:r w:rsidR="000D707F" w:rsidRPr="003819DA">
        <w:t>the</w:t>
      </w:r>
      <w:r w:rsidR="00456100" w:rsidRPr="003819DA">
        <w:t xml:space="preserve"> associated</w:t>
      </w:r>
      <w:r w:rsidR="000D707F" w:rsidRPr="003819DA">
        <w:t xml:space="preserve"> </w:t>
      </w:r>
      <w:r w:rsidR="00575F25" w:rsidRPr="003819DA">
        <w:rPr>
          <w:u w:val="single"/>
        </w:rPr>
        <w:t>full</w:t>
      </w:r>
      <w:r w:rsidR="00456100" w:rsidRPr="003819DA">
        <w:rPr>
          <w:u w:val="single"/>
        </w:rPr>
        <w:t xml:space="preserve"> original</w:t>
      </w:r>
      <w:r w:rsidR="00575F25" w:rsidRPr="003819DA">
        <w:rPr>
          <w:u w:val="single"/>
        </w:rPr>
        <w:t xml:space="preserve"> </w:t>
      </w:r>
      <w:r w:rsidR="00C01C86" w:rsidRPr="003819DA">
        <w:rPr>
          <w:u w:val="single"/>
        </w:rPr>
        <w:t>metadata record</w:t>
      </w:r>
      <w:r w:rsidR="00C01C86" w:rsidRPr="003819DA">
        <w:t>.</w:t>
      </w:r>
    </w:p>
    <w:p w14:paraId="43B9EF65" w14:textId="63E77520" w:rsidR="00697820" w:rsidRPr="003819DA" w:rsidRDefault="00697820" w:rsidP="00444809">
      <w:pPr>
        <w:pStyle w:val="DPCnumberdigit"/>
        <w:tabs>
          <w:tab w:val="center" w:pos="4960"/>
        </w:tabs>
      </w:pPr>
      <w:r w:rsidRPr="003819DA">
        <w:t>Handle, store and dispose of the information received according to its security classification (see requirement 9. above).</w:t>
      </w:r>
    </w:p>
    <w:p w14:paraId="7335790A" w14:textId="77777777" w:rsidR="008903D6" w:rsidRPr="003819DA" w:rsidRDefault="00A9658F" w:rsidP="00444809">
      <w:pPr>
        <w:pStyle w:val="DPCnumberdigit"/>
        <w:tabs>
          <w:tab w:val="center" w:pos="4960"/>
        </w:tabs>
      </w:pPr>
      <w:r w:rsidRPr="003819DA">
        <w:t xml:space="preserve">Maintain the higher level of security required by </w:t>
      </w:r>
      <w:r w:rsidR="00116AC0" w:rsidRPr="003819DA">
        <w:t xml:space="preserve">CIC </w:t>
      </w:r>
      <w:r w:rsidRPr="003819DA">
        <w:t xml:space="preserve">records by ensuring the CIC records imported into </w:t>
      </w:r>
      <w:r w:rsidR="00116AC0" w:rsidRPr="003819DA">
        <w:t xml:space="preserve">the departmental EDRMS </w:t>
      </w:r>
      <w:r w:rsidRPr="003819DA">
        <w:t xml:space="preserve">are kept separate </w:t>
      </w:r>
      <w:r w:rsidR="00116AC0" w:rsidRPr="003819DA">
        <w:t xml:space="preserve">from </w:t>
      </w:r>
      <w:r w:rsidRPr="003819DA">
        <w:t xml:space="preserve">other </w:t>
      </w:r>
      <w:r w:rsidR="00116AC0" w:rsidRPr="003819DA">
        <w:t>corporate records.</w:t>
      </w:r>
    </w:p>
    <w:p w14:paraId="78F7A924" w14:textId="49626D9F" w:rsidR="008903D6" w:rsidRPr="003819DA" w:rsidRDefault="008903D6" w:rsidP="008903D6">
      <w:pPr>
        <w:pStyle w:val="DPCnumberdigit"/>
        <w:tabs>
          <w:tab w:val="center" w:pos="4960"/>
        </w:tabs>
      </w:pPr>
      <w:r w:rsidRPr="003819DA">
        <w:t xml:space="preserve">Review and confirm </w:t>
      </w:r>
      <w:r w:rsidR="00BC5F4D" w:rsidRPr="003819DA">
        <w:t xml:space="preserve">information assets </w:t>
      </w:r>
      <w:r w:rsidRPr="003819DA">
        <w:t xml:space="preserve">received </w:t>
      </w:r>
      <w:r w:rsidR="00BC5F4D" w:rsidRPr="003819DA">
        <w:t xml:space="preserve">(particularly CIC records) </w:t>
      </w:r>
      <w:r w:rsidRPr="003819DA">
        <w:t xml:space="preserve">are of an acceptable </w:t>
      </w:r>
      <w:r w:rsidR="00DA218D" w:rsidRPr="003819DA">
        <w:t>level of quality</w:t>
      </w:r>
      <w:r w:rsidRPr="003819DA">
        <w:t>.  For example identifiable as CIC and temporary or permanent</w:t>
      </w:r>
      <w:r w:rsidR="00BC5F4D" w:rsidRPr="003819DA">
        <w:t xml:space="preserve"> with a</w:t>
      </w:r>
      <w:r w:rsidRPr="003819DA">
        <w:t xml:space="preserve"> </w:t>
      </w:r>
      <w:r w:rsidR="00BC5F4D" w:rsidRPr="003819DA">
        <w:t>complete metadata record.</w:t>
      </w:r>
      <w:r w:rsidRPr="003819DA">
        <w:t xml:space="preserve"> </w:t>
      </w:r>
    </w:p>
    <w:p w14:paraId="0639F84F" w14:textId="2B5F544A" w:rsidR="008903D6" w:rsidRPr="003819DA" w:rsidRDefault="00BC5F4D" w:rsidP="00450B0D">
      <w:pPr>
        <w:pStyle w:val="DPCnumberdigit"/>
        <w:numPr>
          <w:ilvl w:val="0"/>
          <w:numId w:val="0"/>
        </w:numPr>
      </w:pPr>
      <w:r w:rsidRPr="003819DA">
        <w:rPr>
          <w:noProof/>
          <w:sz w:val="48"/>
          <w:lang w:eastAsia="en-AU"/>
        </w:rPr>
        <w:drawing>
          <wp:anchor distT="0" distB="0" distL="114300" distR="114300" simplePos="0" relativeHeight="251675648" behindDoc="0" locked="0" layoutInCell="1" allowOverlap="0" wp14:anchorId="1325931E" wp14:editId="0331551B">
            <wp:simplePos x="0" y="0"/>
            <wp:positionH relativeFrom="column">
              <wp:posOffset>208915</wp:posOffset>
            </wp:positionH>
            <wp:positionV relativeFrom="paragraph">
              <wp:posOffset>33655</wp:posOffset>
            </wp:positionV>
            <wp:extent cx="568960" cy="449580"/>
            <wp:effectExtent l="0" t="0" r="254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568960" cy="449580"/>
                    </a:xfrm>
                    <a:prstGeom prst="rect">
                      <a:avLst/>
                    </a:prstGeom>
                  </pic:spPr>
                </pic:pic>
              </a:graphicData>
            </a:graphic>
            <wp14:sizeRelH relativeFrom="margin">
              <wp14:pctWidth>0</wp14:pctWidth>
            </wp14:sizeRelH>
            <wp14:sizeRelV relativeFrom="margin">
              <wp14:pctHeight>0</wp14:pctHeight>
            </wp14:sizeRelV>
          </wp:anchor>
        </w:drawing>
      </w:r>
      <w:r w:rsidR="00450B0D" w:rsidRPr="003819DA">
        <w:t>Departments who have responsibility for a portfolio function at the time of commencement of caretaker have responsibility for the complete 4 year term of the CIC records.</w:t>
      </w:r>
    </w:p>
    <w:p w14:paraId="5C9822B6" w14:textId="2296A69B" w:rsidR="000705CF" w:rsidRPr="003819DA" w:rsidRDefault="00D9692F" w:rsidP="000D707F">
      <w:pPr>
        <w:pStyle w:val="DPCnumberdigit"/>
        <w:numPr>
          <w:ilvl w:val="0"/>
          <w:numId w:val="0"/>
        </w:numPr>
        <w:rPr>
          <w:u w:val="single"/>
        </w:rPr>
      </w:pPr>
      <w:r w:rsidRPr="003819DA">
        <w:rPr>
          <w:u w:val="single"/>
        </w:rPr>
        <w:t>Functions ceasing to exist</w:t>
      </w:r>
    </w:p>
    <w:p w14:paraId="67DE7CE3" w14:textId="6380B85D" w:rsidR="00342BB6" w:rsidRPr="003819DA" w:rsidRDefault="00342BB6" w:rsidP="00342BB6">
      <w:pPr>
        <w:pStyle w:val="DPCnumberdigit"/>
      </w:pPr>
      <w:r w:rsidRPr="003819DA">
        <w:t>Ensure</w:t>
      </w:r>
      <w:r w:rsidR="0028146D" w:rsidRPr="003819DA">
        <w:t>, where a function ceases to exist,</w:t>
      </w:r>
      <w:r w:rsidRPr="003819DA">
        <w:t xml:space="preserve"> the ownership of </w:t>
      </w:r>
      <w:r w:rsidR="0028146D" w:rsidRPr="003819DA">
        <w:t xml:space="preserve">its </w:t>
      </w:r>
      <w:r w:rsidRPr="003819DA">
        <w:t xml:space="preserve">data assets registered on Data.vic.gov.au </w:t>
      </w:r>
      <w:r w:rsidR="004A3A8E" w:rsidRPr="003819DA">
        <w:t xml:space="preserve">are </w:t>
      </w:r>
      <w:r w:rsidR="00456100" w:rsidRPr="003819DA">
        <w:t xml:space="preserve">allocated to its original </w:t>
      </w:r>
      <w:r w:rsidR="00E53E59" w:rsidRPr="003819DA">
        <w:t>department.</w:t>
      </w:r>
    </w:p>
    <w:p w14:paraId="006231F8" w14:textId="622E3AE7" w:rsidR="008115BD" w:rsidRPr="003819DA" w:rsidRDefault="008115BD" w:rsidP="008115BD">
      <w:pPr>
        <w:pStyle w:val="DPCnumberdigit"/>
      </w:pPr>
      <w:r w:rsidRPr="003819DA">
        <w:t>Ensure</w:t>
      </w:r>
      <w:r w:rsidR="0028146D" w:rsidRPr="003819DA">
        <w:t>,</w:t>
      </w:r>
      <w:r w:rsidRPr="003819DA">
        <w:t xml:space="preserve"> where a function ceases to exist</w:t>
      </w:r>
      <w:r w:rsidR="0028146D" w:rsidRPr="003819DA">
        <w:t>,</w:t>
      </w:r>
      <w:r w:rsidRPr="003819DA">
        <w:t xml:space="preserve"> ownership of its temporary records are assigned to </w:t>
      </w:r>
      <w:r w:rsidR="004A3A8E" w:rsidRPr="003819DA">
        <w:t xml:space="preserve">a function within the department that has the authority to </w:t>
      </w:r>
      <w:r w:rsidRPr="003819DA">
        <w:t>sign off and authorise disposal over time</w:t>
      </w:r>
      <w:r w:rsidR="004A3A8E" w:rsidRPr="003819DA">
        <w:t>.</w:t>
      </w:r>
    </w:p>
    <w:p w14:paraId="306B8380" w14:textId="0C0481F5" w:rsidR="00697820" w:rsidRPr="003819DA" w:rsidRDefault="00697820" w:rsidP="008115BD">
      <w:pPr>
        <w:pStyle w:val="DPCnumberdigit"/>
      </w:pPr>
      <w:r w:rsidRPr="003819DA">
        <w:lastRenderedPageBreak/>
        <w:t>Ensure, where a function ceases to exist,</w:t>
      </w:r>
      <w:r w:rsidR="00003A77" w:rsidRPr="003819DA">
        <w:t xml:space="preserve"> its</w:t>
      </w:r>
      <w:r w:rsidRPr="003819DA">
        <w:t xml:space="preserve"> permanent records </w:t>
      </w:r>
      <w:r w:rsidR="00782A3B" w:rsidRPr="003819DA">
        <w:t xml:space="preserve">(except for CIC records – see requirement 19) </w:t>
      </w:r>
      <w:r w:rsidRPr="003819DA">
        <w:t xml:space="preserve">are transferred to PROV as </w:t>
      </w:r>
      <w:r w:rsidR="00003A77" w:rsidRPr="003819DA">
        <w:t xml:space="preserve">per </w:t>
      </w:r>
      <w:r w:rsidR="00003A77" w:rsidRPr="003819DA">
        <w:rPr>
          <w:i/>
        </w:rPr>
        <w:t>PROS 10/17 G3 Transfer of Custodianship Guideline.</w:t>
      </w:r>
    </w:p>
    <w:p w14:paraId="3270ADB2" w14:textId="244607FF" w:rsidR="00782A3B" w:rsidRPr="003819DA" w:rsidRDefault="00782A3B" w:rsidP="00782A3B">
      <w:pPr>
        <w:pStyle w:val="DPCnumberdigit"/>
      </w:pPr>
      <w:r w:rsidRPr="003819DA">
        <w:t>Ensure, where a function ceases to exist, its permanent C</w:t>
      </w:r>
      <w:r w:rsidR="00A042C7" w:rsidRPr="003819DA">
        <w:t>I</w:t>
      </w:r>
      <w:r w:rsidRPr="003819DA">
        <w:t xml:space="preserve">C records remain in a secure location with the originating portfolio/department for the remainder of the 4 year term.  </w:t>
      </w:r>
    </w:p>
    <w:p w14:paraId="61734BD5" w14:textId="77777777" w:rsidR="00A042C7" w:rsidRPr="003819DA" w:rsidRDefault="00A042C7" w:rsidP="00A042C7">
      <w:pPr>
        <w:pStyle w:val="DPCnumberdigit"/>
        <w:numPr>
          <w:ilvl w:val="0"/>
          <w:numId w:val="0"/>
        </w:numPr>
        <w:ind w:left="720"/>
      </w:pPr>
    </w:p>
    <w:p w14:paraId="43E79A0B" w14:textId="48D20A97" w:rsidR="00177808" w:rsidRPr="003819DA" w:rsidRDefault="00177808" w:rsidP="000D707F">
      <w:pPr>
        <w:pStyle w:val="DPCnumberdigit"/>
        <w:numPr>
          <w:ilvl w:val="0"/>
          <w:numId w:val="0"/>
        </w:numPr>
        <w:rPr>
          <w:u w:val="single"/>
        </w:rPr>
      </w:pPr>
      <w:r w:rsidRPr="003819DA">
        <w:rPr>
          <w:u w:val="single"/>
        </w:rPr>
        <w:t>Governance</w:t>
      </w:r>
    </w:p>
    <w:p w14:paraId="25A2ED78" w14:textId="1CA4ED14" w:rsidR="00274EEE" w:rsidRPr="003819DA" w:rsidRDefault="00274EEE" w:rsidP="00274EEE">
      <w:pPr>
        <w:pStyle w:val="DPCnumberdigit"/>
      </w:pPr>
      <w:r w:rsidRPr="003819DA">
        <w:t>Collaboratively</w:t>
      </w:r>
      <w:r w:rsidR="000D4EC3" w:rsidRPr="003819DA">
        <w:t xml:space="preserve"> (</w:t>
      </w:r>
      <w:r w:rsidR="0052195A" w:rsidRPr="003819DA">
        <w:t xml:space="preserve">between </w:t>
      </w:r>
      <w:r w:rsidR="000D4EC3" w:rsidRPr="003819DA">
        <w:t>transferring and receiving departments)</w:t>
      </w:r>
      <w:r w:rsidRPr="003819DA">
        <w:t xml:space="preserve"> develop a </w:t>
      </w:r>
      <w:r w:rsidR="0028146D" w:rsidRPr="003819DA">
        <w:t>MOU</w:t>
      </w:r>
      <w:r w:rsidRPr="003819DA">
        <w:t xml:space="preserve"> that </w:t>
      </w:r>
      <w:r w:rsidR="000D4EC3" w:rsidRPr="003819DA">
        <w:t>covers</w:t>
      </w:r>
      <w:r w:rsidRPr="003819DA">
        <w:t>:</w:t>
      </w:r>
    </w:p>
    <w:p w14:paraId="7289CB7E" w14:textId="77777777" w:rsidR="0052195A" w:rsidRPr="003819DA" w:rsidRDefault="0052195A" w:rsidP="00274EEE">
      <w:pPr>
        <w:pStyle w:val="DPCnumberdigitindent"/>
      </w:pPr>
      <w:r w:rsidRPr="003819DA">
        <w:t xml:space="preserve">transfer and destruction requirements of information assets, as per the VPDSF </w:t>
      </w:r>
    </w:p>
    <w:p w14:paraId="132E72EA" w14:textId="3BA209CA" w:rsidR="0052612F" w:rsidRPr="003819DA" w:rsidRDefault="0052612F" w:rsidP="0052612F">
      <w:pPr>
        <w:pStyle w:val="DPCnumberdigitindent"/>
      </w:pPr>
      <w:r w:rsidRPr="003819DA">
        <w:t>transfer of CIC records located by the transferring department post MOG finalisation for processing by the receiving department during caretaker</w:t>
      </w:r>
    </w:p>
    <w:p w14:paraId="29048387" w14:textId="2B5088DA" w:rsidR="00274EEE" w:rsidRPr="003819DA" w:rsidRDefault="00274EEE" w:rsidP="00274EEE">
      <w:pPr>
        <w:pStyle w:val="DPCnumberdigitindent"/>
      </w:pPr>
      <w:r w:rsidRPr="003819DA">
        <w:t>transfer of information assets identified after the function has been transferred</w:t>
      </w:r>
    </w:p>
    <w:p w14:paraId="0B8DDA3A" w14:textId="7B4F1221" w:rsidR="00444809" w:rsidRPr="003819DA" w:rsidRDefault="00444809" w:rsidP="00274EEE">
      <w:pPr>
        <w:pStyle w:val="DPCnumberdigitindent"/>
      </w:pPr>
      <w:r w:rsidRPr="003819DA">
        <w:t>ownership of information assets that continue to reside in the transferring department’s systems</w:t>
      </w:r>
    </w:p>
    <w:p w14:paraId="365587D3" w14:textId="1BC7EA1E" w:rsidR="00C87161" w:rsidRPr="003819DA" w:rsidRDefault="00C87161" w:rsidP="00C87161">
      <w:pPr>
        <w:pStyle w:val="DPCnumberdigitindent"/>
      </w:pPr>
      <w:r w:rsidRPr="003819DA">
        <w:t xml:space="preserve">management of information assets </w:t>
      </w:r>
      <w:r w:rsidR="004A3A8E" w:rsidRPr="003819DA">
        <w:t xml:space="preserve">that continue to reside in the transferring department’s systems including how that information will be supported, who is responsible for compliance, and system access requirements </w:t>
      </w:r>
      <w:r w:rsidR="00444809" w:rsidRPr="003819DA">
        <w:t xml:space="preserve">(as well as </w:t>
      </w:r>
      <w:r w:rsidR="004A3A8E" w:rsidRPr="003819DA">
        <w:t xml:space="preserve">service level </w:t>
      </w:r>
      <w:r w:rsidR="00444809" w:rsidRPr="003819DA">
        <w:t>requirements).</w:t>
      </w:r>
      <w:r w:rsidR="004A3A8E" w:rsidRPr="003819DA">
        <w:t xml:space="preserve"> </w:t>
      </w:r>
    </w:p>
    <w:p w14:paraId="77F3C8A9" w14:textId="0829A80D" w:rsidR="0052612F" w:rsidRPr="003819DA" w:rsidRDefault="0052612F" w:rsidP="0052612F">
      <w:pPr>
        <w:pStyle w:val="DPCnumberdigitindent"/>
        <w:numPr>
          <w:ilvl w:val="0"/>
          <w:numId w:val="0"/>
        </w:numPr>
      </w:pPr>
      <w:r w:rsidRPr="003819DA">
        <w:rPr>
          <w:noProof/>
          <w:sz w:val="48"/>
          <w:lang w:eastAsia="en-AU"/>
        </w:rPr>
        <w:drawing>
          <wp:anchor distT="0" distB="0" distL="114300" distR="114300" simplePos="0" relativeHeight="251673600" behindDoc="0" locked="0" layoutInCell="1" allowOverlap="0" wp14:anchorId="268D25CF" wp14:editId="1057F71E">
            <wp:simplePos x="0" y="0"/>
            <wp:positionH relativeFrom="column">
              <wp:posOffset>61595</wp:posOffset>
            </wp:positionH>
            <wp:positionV relativeFrom="paragraph">
              <wp:posOffset>149860</wp:posOffset>
            </wp:positionV>
            <wp:extent cx="568325" cy="449580"/>
            <wp:effectExtent l="0" t="0" r="3175"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568325" cy="449580"/>
                    </a:xfrm>
                    <a:prstGeom prst="rect">
                      <a:avLst/>
                    </a:prstGeom>
                  </pic:spPr>
                </pic:pic>
              </a:graphicData>
            </a:graphic>
            <wp14:sizeRelH relativeFrom="margin">
              <wp14:pctWidth>0</wp14:pctWidth>
            </wp14:sizeRelH>
            <wp14:sizeRelV relativeFrom="margin">
              <wp14:pctHeight>0</wp14:pctHeight>
            </wp14:sizeRelV>
          </wp:anchor>
        </w:drawing>
      </w:r>
      <w:r w:rsidRPr="003819DA">
        <w:br/>
        <w:t>Departments who have responsibility for a portfolio at the time of commencement of caretaker have responsibility for the complete 4 year term of the CIC records.</w:t>
      </w:r>
    </w:p>
    <w:p w14:paraId="4F280678" w14:textId="77777777" w:rsidR="00673388" w:rsidRPr="003819DA" w:rsidRDefault="0046522F" w:rsidP="00A90B1B">
      <w:pPr>
        <w:pStyle w:val="Heading1"/>
      </w:pPr>
      <w:r w:rsidRPr="003819DA">
        <w:t>Overview</w:t>
      </w:r>
    </w:p>
    <w:p w14:paraId="4D8D0EAC" w14:textId="74CE9C28" w:rsidR="00246E0C" w:rsidRPr="003819DA" w:rsidRDefault="00246E0C" w:rsidP="00246E0C">
      <w:pPr>
        <w:pStyle w:val="DPCbody"/>
      </w:pPr>
      <w:r w:rsidRPr="003819DA">
        <w:t xml:space="preserve">The purpose of the </w:t>
      </w:r>
      <w:r w:rsidRPr="003819DA">
        <w:rPr>
          <w:i/>
        </w:rPr>
        <w:t xml:space="preserve">Machinery of Government Standard </w:t>
      </w:r>
      <w:r w:rsidRPr="003819DA">
        <w:t xml:space="preserve">(the standard) is to define a common approach and the minimum requirements </w:t>
      </w:r>
      <w:r w:rsidR="009700DD" w:rsidRPr="003819DA">
        <w:t xml:space="preserve">for the transfer of </w:t>
      </w:r>
      <w:r w:rsidRPr="003819DA">
        <w:rPr>
          <w:b/>
        </w:rPr>
        <w:t>digital information</w:t>
      </w:r>
      <w:r w:rsidRPr="003819DA">
        <w:t xml:space="preserve"> </w:t>
      </w:r>
      <w:r w:rsidR="009700DD" w:rsidRPr="003819DA">
        <w:t xml:space="preserve">as a result of </w:t>
      </w:r>
      <w:r w:rsidRPr="003819DA">
        <w:t>MOG changes within the Victorian Government (government).</w:t>
      </w:r>
      <w:r w:rsidR="00D5536B" w:rsidRPr="003819DA">
        <w:t xml:space="preserve"> Digital information, in this context, is defined as information that is created, stored, managed and used in a digital (electronic) format. This includes information contained in office applications, online and web-based environments, databases and digital communication tools e.g. emails.</w:t>
      </w:r>
    </w:p>
    <w:p w14:paraId="3778B799" w14:textId="71B1C9BE" w:rsidR="00A90B1B" w:rsidRPr="003819DA" w:rsidRDefault="00246E0C" w:rsidP="00A90B1B">
      <w:pPr>
        <w:pStyle w:val="DPCbody"/>
      </w:pPr>
      <w:r w:rsidRPr="003819DA">
        <w:t xml:space="preserve">MOG changes </w:t>
      </w:r>
      <w:r w:rsidR="00E53E59" w:rsidRPr="003819DA">
        <w:t>can</w:t>
      </w:r>
      <w:r w:rsidR="00804F52" w:rsidRPr="003819DA">
        <w:t xml:space="preserve"> occur following </w:t>
      </w:r>
      <w:r w:rsidR="00A90B1B" w:rsidRPr="003819DA">
        <w:t xml:space="preserve">a State Government </w:t>
      </w:r>
      <w:r w:rsidR="00F75D67" w:rsidRPr="003819DA">
        <w:t>election</w:t>
      </w:r>
      <w:r w:rsidR="00E53E59" w:rsidRPr="003819DA">
        <w:t>,</w:t>
      </w:r>
      <w:r w:rsidR="00F75D67" w:rsidRPr="003819DA">
        <w:t xml:space="preserve"> but</w:t>
      </w:r>
      <w:r w:rsidR="00804F52" w:rsidRPr="003819DA">
        <w:t xml:space="preserve"> may occur at any time</w:t>
      </w:r>
      <w:r w:rsidR="00A90B1B" w:rsidRPr="003819DA">
        <w:t xml:space="preserve"> as a </w:t>
      </w:r>
      <w:r w:rsidR="00DC65FC" w:rsidRPr="003819DA">
        <w:t>result</w:t>
      </w:r>
      <w:r w:rsidR="00A90B1B" w:rsidRPr="003819DA">
        <w:t xml:space="preserve"> of a sector or departmental restructure. </w:t>
      </w:r>
      <w:r w:rsidRPr="003819DA">
        <w:t xml:space="preserve">MOG changes </w:t>
      </w:r>
      <w:r w:rsidR="00A90B1B" w:rsidRPr="003819DA">
        <w:t xml:space="preserve">may result in the transfer of functions and the subsequent transfer of information </w:t>
      </w:r>
      <w:r w:rsidR="009700DD" w:rsidRPr="003819DA">
        <w:t xml:space="preserve">and data </w:t>
      </w:r>
      <w:r w:rsidR="00F75D67" w:rsidRPr="003819DA">
        <w:t xml:space="preserve">assets </w:t>
      </w:r>
      <w:r w:rsidR="00A90B1B" w:rsidRPr="003819DA">
        <w:t>between departments and agencies.</w:t>
      </w:r>
    </w:p>
    <w:p w14:paraId="2D283DA1" w14:textId="77777777" w:rsidR="0046522F" w:rsidRPr="003819DA" w:rsidRDefault="0046522F" w:rsidP="00A90B1B">
      <w:pPr>
        <w:pStyle w:val="Heading1"/>
      </w:pPr>
      <w:r w:rsidRPr="003819DA">
        <w:t>Rationale</w:t>
      </w:r>
      <w:r w:rsidR="004D369E" w:rsidRPr="003819DA">
        <w:tab/>
      </w:r>
    </w:p>
    <w:p w14:paraId="7BD1032E" w14:textId="77777777" w:rsidR="00B05FF2" w:rsidRPr="003819DA" w:rsidRDefault="00B05FF2" w:rsidP="00B05FF2">
      <w:pPr>
        <w:pStyle w:val="DPCbody"/>
      </w:pPr>
      <w:r w:rsidRPr="003819DA">
        <w:t xml:space="preserve">MOG changes are </w:t>
      </w:r>
      <w:r w:rsidR="009700DD" w:rsidRPr="003819DA">
        <w:t xml:space="preserve">a </w:t>
      </w:r>
      <w:r w:rsidRPr="003819DA">
        <w:t xml:space="preserve">complex digital information management challenge involving extensive resourcing, time and cost. </w:t>
      </w:r>
      <w:r w:rsidR="00E537C3" w:rsidRPr="003819DA">
        <w:t>MOG changes</w:t>
      </w:r>
      <w:r w:rsidRPr="003819DA">
        <w:t xml:space="preserve"> are hindered by the volume of information involved and the lack of </w:t>
      </w:r>
      <w:r w:rsidR="00A94887" w:rsidRPr="003819DA">
        <w:t xml:space="preserve">cross government </w:t>
      </w:r>
      <w:r w:rsidRPr="003819DA">
        <w:t>consistency in digital information management.</w:t>
      </w:r>
    </w:p>
    <w:p w14:paraId="1C73F6AC" w14:textId="62EBE54A" w:rsidR="00DC65FC" w:rsidRPr="003819DA" w:rsidRDefault="00A90B1B" w:rsidP="00B05FF2">
      <w:pPr>
        <w:pStyle w:val="DPCbody"/>
      </w:pPr>
      <w:r w:rsidRPr="003819DA">
        <w:lastRenderedPageBreak/>
        <w:t xml:space="preserve">The Department of Treasury and Finance’s </w:t>
      </w:r>
      <w:r w:rsidRPr="003819DA">
        <w:rPr>
          <w:i/>
        </w:rPr>
        <w:t>Victorian public sector operating manual on machinery of government changes</w:t>
      </w:r>
      <w:r w:rsidRPr="003819DA">
        <w:t xml:space="preserve"> provides guidance on the transfer of responsibility, functions and people between departments and agencies as a result of </w:t>
      </w:r>
      <w:r w:rsidR="00E53E59" w:rsidRPr="003819DA">
        <w:t xml:space="preserve">a </w:t>
      </w:r>
      <w:r w:rsidRPr="003819DA">
        <w:t>MOG change.</w:t>
      </w:r>
      <w:r w:rsidR="007301EB" w:rsidRPr="003819DA">
        <w:t xml:space="preserve"> </w:t>
      </w:r>
      <w:r w:rsidRPr="003819DA">
        <w:t xml:space="preserve">The Public Record Office Victoria’s </w:t>
      </w:r>
      <w:r w:rsidRPr="003819DA">
        <w:rPr>
          <w:i/>
        </w:rPr>
        <w:t>PROS 10/17 G3 Transfer of Custodianship Guideline</w:t>
      </w:r>
      <w:r w:rsidR="00DC65FC" w:rsidRPr="003819DA">
        <w:t xml:space="preserve"> provides guidance on the transfer of ownership (custodianship) of records. </w:t>
      </w:r>
    </w:p>
    <w:p w14:paraId="27CADACF" w14:textId="0B9D96DC" w:rsidR="00B05FF2" w:rsidRPr="003819DA" w:rsidRDefault="00E537C3" w:rsidP="00A94887">
      <w:pPr>
        <w:pStyle w:val="DPCbody"/>
      </w:pPr>
      <w:r w:rsidRPr="003819DA">
        <w:t xml:space="preserve">This standard helps to ensure continuity of government operations and to maintain </w:t>
      </w:r>
      <w:r w:rsidR="00A94887" w:rsidRPr="003819DA">
        <w:t xml:space="preserve">the business value and integrity of </w:t>
      </w:r>
      <w:r w:rsidR="00E53E59" w:rsidRPr="003819DA">
        <w:t xml:space="preserve">digital </w:t>
      </w:r>
      <w:r w:rsidR="00A94887" w:rsidRPr="003819DA">
        <w:t xml:space="preserve">information being transferred </w:t>
      </w:r>
      <w:r w:rsidRPr="003819DA">
        <w:t>by defining</w:t>
      </w:r>
      <w:r w:rsidR="00A94887" w:rsidRPr="003819DA">
        <w:t>,</w:t>
      </w:r>
      <w:r w:rsidR="00DC65FC" w:rsidRPr="003819DA">
        <w:t xml:space="preserve"> at a lower level of detail</w:t>
      </w:r>
      <w:r w:rsidR="00A94887" w:rsidRPr="003819DA">
        <w:t>,</w:t>
      </w:r>
      <w:r w:rsidR="00DC65FC" w:rsidRPr="003819DA">
        <w:t xml:space="preserve"> the minimum requirements for </w:t>
      </w:r>
      <w:r w:rsidR="00A90B1B" w:rsidRPr="003819DA">
        <w:t xml:space="preserve">the transfer of </w:t>
      </w:r>
      <w:r w:rsidRPr="003819DA">
        <w:t>digital information</w:t>
      </w:r>
      <w:r w:rsidR="00E53E59" w:rsidRPr="003819DA">
        <w:t xml:space="preserve"> and</w:t>
      </w:r>
      <w:r w:rsidRPr="003819DA">
        <w:t xml:space="preserve"> </w:t>
      </w:r>
      <w:r w:rsidR="00DC65FC" w:rsidRPr="003819DA">
        <w:t>data.</w:t>
      </w:r>
      <w:r w:rsidR="007301EB" w:rsidRPr="003819DA">
        <w:t xml:space="preserve"> </w:t>
      </w:r>
    </w:p>
    <w:p w14:paraId="2C390520" w14:textId="77777777" w:rsidR="0046522F" w:rsidRPr="003819DA" w:rsidRDefault="0046522F" w:rsidP="0046522F">
      <w:pPr>
        <w:pStyle w:val="Heading1"/>
      </w:pPr>
      <w:r w:rsidRPr="003819DA">
        <w:t>Derivation, scope and glossary</w:t>
      </w:r>
    </w:p>
    <w:p w14:paraId="228672DF" w14:textId="77777777" w:rsidR="0046522F" w:rsidRPr="003819DA" w:rsidRDefault="0046522F" w:rsidP="0046522F">
      <w:pPr>
        <w:pStyle w:val="Heading2"/>
      </w:pPr>
      <w:r w:rsidRPr="003819DA">
        <w:t>Derivation</w:t>
      </w:r>
    </w:p>
    <w:p w14:paraId="1AF18B1D" w14:textId="3B069810" w:rsidR="0046522F" w:rsidRPr="003819DA" w:rsidRDefault="00133098" w:rsidP="0046522F">
      <w:pPr>
        <w:pStyle w:val="DPCbody"/>
      </w:pPr>
      <w:r w:rsidRPr="003819DA">
        <w:t>This standard is derived from</w:t>
      </w:r>
      <w:r w:rsidR="00302EBD" w:rsidRPr="003819DA">
        <w:t xml:space="preserve"> the </w:t>
      </w:r>
      <w:hyperlink r:id="rId23" w:anchor="information-management-policy" w:history="1">
        <w:r w:rsidR="00302EBD" w:rsidRPr="003819DA">
          <w:rPr>
            <w:rStyle w:val="Hyperlink"/>
          </w:rPr>
          <w:t>WoVG Information Management Policy</w:t>
        </w:r>
      </w:hyperlink>
      <w:r w:rsidR="00302EBD" w:rsidRPr="003819DA">
        <w:t>, and is</w:t>
      </w:r>
      <w:r w:rsidR="00302EBD" w:rsidRPr="003819DA">
        <w:rPr>
          <w:rStyle w:val="Hyperlink"/>
        </w:rPr>
        <w:t xml:space="preserve"> </w:t>
      </w:r>
      <w:r w:rsidR="00302EBD" w:rsidRPr="003819DA">
        <w:t xml:space="preserve">guided by the </w:t>
      </w:r>
      <w:hyperlink r:id="rId24" w:history="1">
        <w:r w:rsidR="00DE43B1" w:rsidRPr="002C26FE">
          <w:rPr>
            <w:rStyle w:val="Hyperlink"/>
          </w:rPr>
          <w:t xml:space="preserve">Victorian Government </w:t>
        </w:r>
        <w:r w:rsidR="00302EBD" w:rsidRPr="002C26FE">
          <w:rPr>
            <w:rStyle w:val="Hyperlink"/>
          </w:rPr>
          <w:t>Information Technology Strategy 2016–2020</w:t>
        </w:r>
      </w:hyperlink>
      <w:r w:rsidR="00302EBD" w:rsidRPr="003819DA">
        <w:t xml:space="preserve"> (IT strategy).</w:t>
      </w:r>
      <w:r w:rsidR="007301EB" w:rsidRPr="003819DA">
        <w:t xml:space="preserve"> </w:t>
      </w:r>
    </w:p>
    <w:p w14:paraId="3F72908E" w14:textId="77777777" w:rsidR="0046522F" w:rsidRPr="003819DA" w:rsidRDefault="0046522F" w:rsidP="0046522F">
      <w:pPr>
        <w:pStyle w:val="Heading2"/>
      </w:pPr>
      <w:r w:rsidRPr="003819DA">
        <w:t>Scope</w:t>
      </w:r>
    </w:p>
    <w:p w14:paraId="29207A31" w14:textId="77777777" w:rsidR="0046522F" w:rsidRPr="003819DA" w:rsidRDefault="00133098" w:rsidP="0046522F">
      <w:pPr>
        <w:pStyle w:val="DPCbody"/>
      </w:pPr>
      <w:r w:rsidRPr="003819DA">
        <w:t>The following departments and agencies are formally in scope:</w:t>
      </w:r>
    </w:p>
    <w:p w14:paraId="5DFC8523" w14:textId="77777777" w:rsidR="00133098" w:rsidRPr="003819DA" w:rsidRDefault="00133098" w:rsidP="00133098">
      <w:pPr>
        <w:pStyle w:val="DPCbullet1"/>
      </w:pPr>
      <w:r w:rsidRPr="003819DA">
        <w:t>Department of Economic Development, Jobs, Transport and Resources</w:t>
      </w:r>
    </w:p>
    <w:p w14:paraId="3B8C79AA" w14:textId="77777777" w:rsidR="00133098" w:rsidRPr="003819DA" w:rsidRDefault="00133098" w:rsidP="00133098">
      <w:pPr>
        <w:pStyle w:val="DPCbullet1"/>
      </w:pPr>
      <w:r w:rsidRPr="003819DA">
        <w:t>Department of Education and Training</w:t>
      </w:r>
    </w:p>
    <w:p w14:paraId="17244275" w14:textId="77777777" w:rsidR="00133098" w:rsidRPr="003819DA" w:rsidRDefault="00133098" w:rsidP="00133098">
      <w:pPr>
        <w:pStyle w:val="DPCbullet1"/>
      </w:pPr>
      <w:r w:rsidRPr="003819DA">
        <w:t>Department of Environment, Land, Water and Planning</w:t>
      </w:r>
    </w:p>
    <w:p w14:paraId="651631DB" w14:textId="77777777" w:rsidR="00133098" w:rsidRPr="003819DA" w:rsidRDefault="00133098" w:rsidP="00133098">
      <w:pPr>
        <w:pStyle w:val="DPCbullet1"/>
      </w:pPr>
      <w:r w:rsidRPr="003819DA">
        <w:t>Department of Health and Human Services</w:t>
      </w:r>
    </w:p>
    <w:p w14:paraId="1F8396F8" w14:textId="77777777" w:rsidR="00133098" w:rsidRPr="003819DA" w:rsidRDefault="00133098" w:rsidP="00133098">
      <w:pPr>
        <w:pStyle w:val="DPCbullet1"/>
      </w:pPr>
      <w:r w:rsidRPr="003819DA">
        <w:t>Department of Justice and Regulation</w:t>
      </w:r>
    </w:p>
    <w:p w14:paraId="16437DF7" w14:textId="77777777" w:rsidR="00133098" w:rsidRPr="003819DA" w:rsidRDefault="00133098" w:rsidP="00133098">
      <w:pPr>
        <w:pStyle w:val="DPCbullet1"/>
      </w:pPr>
      <w:r w:rsidRPr="003819DA">
        <w:t>Department of Premier and Cabinet</w:t>
      </w:r>
    </w:p>
    <w:p w14:paraId="3644265A" w14:textId="77777777" w:rsidR="00133098" w:rsidRPr="003819DA" w:rsidRDefault="00133098" w:rsidP="00133098">
      <w:pPr>
        <w:pStyle w:val="DPCbullet1"/>
      </w:pPr>
      <w:r w:rsidRPr="003819DA">
        <w:t>Department of Treasury and Finance</w:t>
      </w:r>
    </w:p>
    <w:p w14:paraId="6F801852" w14:textId="77777777" w:rsidR="00133098" w:rsidRPr="003819DA" w:rsidRDefault="00133098" w:rsidP="00133098">
      <w:pPr>
        <w:pStyle w:val="DPCbullet1"/>
      </w:pPr>
      <w:r w:rsidRPr="003819DA">
        <w:t>Victoria Police.</w:t>
      </w:r>
    </w:p>
    <w:p w14:paraId="2031E286" w14:textId="77777777" w:rsidR="00E537C3" w:rsidRPr="003819DA" w:rsidRDefault="005D2C74" w:rsidP="00E537C3">
      <w:pPr>
        <w:pStyle w:val="DPCbullet1"/>
        <w:numPr>
          <w:ilvl w:val="0"/>
          <w:numId w:val="0"/>
        </w:numPr>
      </w:pPr>
      <w:r w:rsidRPr="003819DA">
        <w:t>These are referred to collectively as ‘departments’ in this document.</w:t>
      </w:r>
    </w:p>
    <w:p w14:paraId="34CBF557" w14:textId="77777777" w:rsidR="00133098" w:rsidRPr="003819DA" w:rsidRDefault="00A455A0" w:rsidP="00E537C3">
      <w:pPr>
        <w:pStyle w:val="DPCbullet1"/>
        <w:numPr>
          <w:ilvl w:val="0"/>
          <w:numId w:val="0"/>
        </w:numPr>
      </w:pPr>
      <w:r w:rsidRPr="003819DA">
        <w:t>While not required, t</w:t>
      </w:r>
      <w:r w:rsidR="00133098" w:rsidRPr="003819DA">
        <w:t xml:space="preserve">he standard </w:t>
      </w:r>
      <w:r w:rsidRPr="003819DA">
        <w:t>may be adopted by agencies and partner organisations, if desired.</w:t>
      </w:r>
      <w:r w:rsidR="00133098" w:rsidRPr="003819DA">
        <w:t xml:space="preserve"> </w:t>
      </w:r>
    </w:p>
    <w:p w14:paraId="0F8FC919" w14:textId="77777777" w:rsidR="0046522F" w:rsidRPr="003819DA" w:rsidRDefault="0046522F" w:rsidP="0046522F">
      <w:pPr>
        <w:pStyle w:val="Heading2"/>
      </w:pPr>
      <w:r w:rsidRPr="003819DA">
        <w:t>Glossary</w:t>
      </w:r>
    </w:p>
    <w:p w14:paraId="1A228A4B" w14:textId="24737817" w:rsidR="0046522F" w:rsidRPr="003819DA" w:rsidRDefault="00133098" w:rsidP="0046522F">
      <w:pPr>
        <w:pStyle w:val="DPCbody"/>
      </w:pPr>
      <w:r w:rsidRPr="003819DA">
        <w:t xml:space="preserve">The glossary of terms and abbreviations used in this document are defined in the </w:t>
      </w:r>
      <w:hyperlink r:id="rId25" w:anchor="information-management-glossary" w:history="1">
        <w:r w:rsidRPr="005E37A4">
          <w:rPr>
            <w:rStyle w:val="Hyperlink"/>
          </w:rPr>
          <w:t>Information Management Glossary</w:t>
        </w:r>
      </w:hyperlink>
      <w:r w:rsidRPr="005E37A4">
        <w:t>.</w:t>
      </w:r>
    </w:p>
    <w:p w14:paraId="3A201A4A" w14:textId="77777777" w:rsidR="0046522F" w:rsidRPr="003819DA" w:rsidRDefault="0046522F" w:rsidP="0046522F">
      <w:pPr>
        <w:pStyle w:val="Heading1"/>
      </w:pPr>
      <w:r w:rsidRPr="003819DA">
        <w:t>Related documents, tools and references</w:t>
      </w:r>
    </w:p>
    <w:p w14:paraId="3CA0ACBF" w14:textId="319D033C" w:rsidR="00AB7405" w:rsidRPr="003819DA" w:rsidRDefault="00C80BD8" w:rsidP="002366BF">
      <w:pPr>
        <w:pStyle w:val="DPCbullet1"/>
        <w:rPr>
          <w:rStyle w:val="Hyperlink"/>
        </w:rPr>
      </w:pPr>
      <w:hyperlink r:id="rId26" w:history="1">
        <w:r w:rsidR="00AB7405" w:rsidRPr="003819DA">
          <w:rPr>
            <w:rStyle w:val="Hyperlink"/>
          </w:rPr>
          <w:t>DataVic Access Policy</w:t>
        </w:r>
      </w:hyperlink>
      <w:r w:rsidR="00AB7405" w:rsidRPr="003819DA">
        <w:rPr>
          <w:rStyle w:val="Hyperlink"/>
        </w:rPr>
        <w:t xml:space="preserve"> </w:t>
      </w:r>
    </w:p>
    <w:p w14:paraId="7B0FF705" w14:textId="77777777" w:rsidR="00AB7405" w:rsidRPr="003819DA" w:rsidRDefault="00C80BD8" w:rsidP="00501351">
      <w:pPr>
        <w:pStyle w:val="DPCbullet1"/>
        <w:rPr>
          <w:rStyle w:val="Hyperlink"/>
        </w:rPr>
      </w:pPr>
      <w:hyperlink r:id="rId27" w:history="1">
        <w:r w:rsidR="00AB7405" w:rsidRPr="003819DA">
          <w:rPr>
            <w:rStyle w:val="Hyperlink"/>
          </w:rPr>
          <w:t>Freedom of Information guidelines</w:t>
        </w:r>
      </w:hyperlink>
    </w:p>
    <w:p w14:paraId="2E8480A4" w14:textId="77777777" w:rsidR="00AB7405" w:rsidRPr="003819DA" w:rsidRDefault="00C80BD8" w:rsidP="00501351">
      <w:pPr>
        <w:pStyle w:val="DPCbullet1"/>
        <w:rPr>
          <w:rStyle w:val="Hyperlink"/>
        </w:rPr>
      </w:pPr>
      <w:hyperlink r:id="rId28" w:history="1">
        <w:r w:rsidR="00AB7405" w:rsidRPr="003819DA">
          <w:rPr>
            <w:rStyle w:val="Hyperlink"/>
          </w:rPr>
          <w:t>Public Record Office of Victoria (PROV) Standards Framework and Policies</w:t>
        </w:r>
      </w:hyperlink>
    </w:p>
    <w:p w14:paraId="2C47D6CA" w14:textId="77777777" w:rsidR="00AB7405" w:rsidRPr="003819DA" w:rsidRDefault="00C80BD8" w:rsidP="00501351">
      <w:pPr>
        <w:pStyle w:val="DPCbullet1"/>
      </w:pPr>
      <w:hyperlink r:id="rId29" w:history="1">
        <w:r w:rsidR="00AB7405" w:rsidRPr="003819DA">
          <w:rPr>
            <w:rStyle w:val="Hyperlink"/>
          </w:rPr>
          <w:t>Victorian Protective Data Security Framework</w:t>
        </w:r>
      </w:hyperlink>
      <w:r w:rsidR="00AB7405" w:rsidRPr="003819DA">
        <w:t xml:space="preserve"> </w:t>
      </w:r>
    </w:p>
    <w:p w14:paraId="5B07DA99" w14:textId="77777777" w:rsidR="00AB7405" w:rsidRPr="003819DA" w:rsidRDefault="00C80BD8" w:rsidP="00501351">
      <w:pPr>
        <w:pStyle w:val="DPCbullet1"/>
        <w:rPr>
          <w:rStyle w:val="Hyperlink"/>
        </w:rPr>
      </w:pPr>
      <w:hyperlink r:id="rId30" w:history="1">
        <w:r w:rsidR="00AB7405" w:rsidRPr="003819DA">
          <w:rPr>
            <w:rStyle w:val="Hyperlink"/>
          </w:rPr>
          <w:t>Victorian public sector operating manual on machinery of government changes</w:t>
        </w:r>
      </w:hyperlink>
      <w:r w:rsidR="00AB7405" w:rsidRPr="003819DA">
        <w:rPr>
          <w:rStyle w:val="Hyperlink"/>
        </w:rPr>
        <w:t xml:space="preserve"> </w:t>
      </w:r>
    </w:p>
    <w:p w14:paraId="575A09E7" w14:textId="0A0A3ADC" w:rsidR="00AB7405" w:rsidRPr="003819DA" w:rsidRDefault="00C80BD8" w:rsidP="00501351">
      <w:pPr>
        <w:pStyle w:val="DPCbullet1"/>
        <w:rPr>
          <w:rStyle w:val="Hyperlink"/>
        </w:rPr>
      </w:pPr>
      <w:hyperlink r:id="rId31" w:anchor="information-management-framework" w:history="1">
        <w:r w:rsidR="00AB7405" w:rsidRPr="003819DA">
          <w:rPr>
            <w:rStyle w:val="Hyperlink"/>
          </w:rPr>
          <w:t>WOVG Information Management Framework</w:t>
        </w:r>
      </w:hyperlink>
    </w:p>
    <w:p w14:paraId="343AD975" w14:textId="4B5CAAA6" w:rsidR="00AB7405" w:rsidRPr="003819DA" w:rsidRDefault="00C80BD8" w:rsidP="00501351">
      <w:pPr>
        <w:pStyle w:val="DPCbullet1"/>
        <w:rPr>
          <w:rStyle w:val="Hyperlink"/>
        </w:rPr>
      </w:pPr>
      <w:hyperlink r:id="rId32" w:anchor="information-management-governance-standards" w:history="1">
        <w:r w:rsidR="00AB7405" w:rsidRPr="003819DA">
          <w:rPr>
            <w:rStyle w:val="Hyperlink"/>
          </w:rPr>
          <w:t>WOVG Information Management Governance Standard</w:t>
        </w:r>
      </w:hyperlink>
    </w:p>
    <w:p w14:paraId="50B51E9E" w14:textId="4783C1C0" w:rsidR="00AB7405" w:rsidRPr="003819DA" w:rsidRDefault="00C80BD8" w:rsidP="00501351">
      <w:pPr>
        <w:pStyle w:val="DPCbullet1"/>
        <w:rPr>
          <w:rStyle w:val="Hyperlink"/>
        </w:rPr>
      </w:pPr>
      <w:hyperlink r:id="rId33" w:anchor="information-management-policy" w:history="1">
        <w:r w:rsidR="00AB7405" w:rsidRPr="003819DA">
          <w:rPr>
            <w:rStyle w:val="Hyperlink"/>
          </w:rPr>
          <w:t>WOVG Information Management Policy</w:t>
        </w:r>
      </w:hyperlink>
    </w:p>
    <w:p w14:paraId="08D68957" w14:textId="77777777" w:rsidR="0046522F" w:rsidRPr="003819DA" w:rsidRDefault="0046522F" w:rsidP="0046522F">
      <w:pPr>
        <w:pStyle w:val="Heading1"/>
      </w:pPr>
      <w:r w:rsidRPr="003819DA">
        <w:t>Further information</w:t>
      </w:r>
    </w:p>
    <w:p w14:paraId="4DBB2C12" w14:textId="66995121" w:rsidR="008325E2" w:rsidRPr="003819DA" w:rsidRDefault="0046522F" w:rsidP="007309B9">
      <w:pPr>
        <w:pStyle w:val="DPCbody"/>
      </w:pPr>
      <w:r w:rsidRPr="003819DA">
        <w:t xml:space="preserve">For further information regarding this standard, please contact </w:t>
      </w:r>
      <w:r w:rsidR="000D3C28">
        <w:t xml:space="preserve">Digital Strategy </w:t>
      </w:r>
      <w:r w:rsidR="00D44679">
        <w:t xml:space="preserve">and </w:t>
      </w:r>
      <w:r w:rsidR="000D3C28">
        <w:t>Transformation</w:t>
      </w:r>
      <w:r w:rsidRPr="003819DA">
        <w:t xml:space="preserve">, Department of Premier and Cabinet, at: </w:t>
      </w:r>
      <w:hyperlink r:id="rId34" w:history="1">
        <w:r w:rsidR="00D44679">
          <w:rPr>
            <w:rStyle w:val="Hyperlink"/>
          </w:rPr>
          <w:t>digital.transformation</w:t>
        </w:r>
        <w:r w:rsidRPr="003819DA">
          <w:rPr>
            <w:rStyle w:val="Hyperlink"/>
          </w:rPr>
          <w:t>@dpc.vic.gov.au</w:t>
        </w:r>
      </w:hyperlink>
      <w:r w:rsidRPr="003819DA">
        <w:t>.</w:t>
      </w:r>
      <w:r w:rsidR="008325E2" w:rsidRPr="003819DA">
        <w:br w:type="page"/>
      </w:r>
    </w:p>
    <w:p w14:paraId="209690FF" w14:textId="77777777" w:rsidR="008325E2" w:rsidRPr="003819DA" w:rsidRDefault="008325E2" w:rsidP="000858F9">
      <w:pPr>
        <w:pStyle w:val="Heading1"/>
      </w:pPr>
      <w:r w:rsidRPr="003819DA">
        <w:lastRenderedPageBreak/>
        <w:t>Supporting information</w:t>
      </w:r>
    </w:p>
    <w:p w14:paraId="4B45540A" w14:textId="77777777" w:rsidR="00386ADC" w:rsidRPr="003819DA" w:rsidRDefault="00386ADC" w:rsidP="00386ADC">
      <w:pPr>
        <w:pStyle w:val="Heading2"/>
      </w:pPr>
      <w:r w:rsidRPr="003819DA">
        <w:t>Metadata</w:t>
      </w:r>
    </w:p>
    <w:p w14:paraId="3DB5CF76" w14:textId="274EA75E" w:rsidR="00386ADC" w:rsidRPr="003819DA" w:rsidRDefault="00A94887" w:rsidP="00386ADC">
      <w:pPr>
        <w:pStyle w:val="DPCbody"/>
      </w:pPr>
      <w:r w:rsidRPr="003819DA">
        <w:t>Metadata is much like an entry in a library catalogue</w:t>
      </w:r>
      <w:r w:rsidR="00E537C3" w:rsidRPr="003819DA">
        <w:t>.</w:t>
      </w:r>
      <w:r w:rsidR="007301EB" w:rsidRPr="003819DA">
        <w:t xml:space="preserve"> </w:t>
      </w:r>
      <w:r w:rsidR="00E537C3" w:rsidRPr="003819DA">
        <w:t>It</w:t>
      </w:r>
      <w:r w:rsidRPr="003819DA">
        <w:t xml:space="preserve"> </w:t>
      </w:r>
      <w:r w:rsidR="00386ADC" w:rsidRPr="003819DA">
        <w:t xml:space="preserve">refers to structured </w:t>
      </w:r>
      <w:r w:rsidR="003D1B84" w:rsidRPr="003819DA">
        <w:t>data</w:t>
      </w:r>
      <w:r w:rsidR="00386ADC" w:rsidRPr="003819DA">
        <w:t xml:space="preserve"> that describes, explains, locates or otherwise makes it easier to discover, retrieve, use or manage an information asset.</w:t>
      </w:r>
      <w:r w:rsidRPr="003819DA">
        <w:t xml:space="preserve"> </w:t>
      </w:r>
    </w:p>
    <w:p w14:paraId="02E4B4D1" w14:textId="5CC89227" w:rsidR="00386ADC" w:rsidRPr="003819DA" w:rsidRDefault="00386ADC" w:rsidP="00386ADC">
      <w:pPr>
        <w:pStyle w:val="DPCbody"/>
      </w:pPr>
      <w:r w:rsidRPr="003819DA">
        <w:t xml:space="preserve">Most information systems will have metadata </w:t>
      </w:r>
      <w:r w:rsidR="00A94887" w:rsidRPr="003819DA">
        <w:t xml:space="preserve">to describe each </w:t>
      </w:r>
      <w:r w:rsidRPr="003819DA">
        <w:t>information asset.</w:t>
      </w:r>
      <w:r w:rsidR="007301EB" w:rsidRPr="003819DA">
        <w:t xml:space="preserve"> </w:t>
      </w:r>
      <w:r w:rsidR="00E537C3" w:rsidRPr="003819DA">
        <w:t>For example, a</w:t>
      </w:r>
      <w:r w:rsidRPr="003819DA">
        <w:t xml:space="preserve">n EDRMS will have metadata </w:t>
      </w:r>
      <w:r w:rsidR="00A94887" w:rsidRPr="003819DA">
        <w:t xml:space="preserve">to </w:t>
      </w:r>
      <w:r w:rsidRPr="003819DA">
        <w:t xml:space="preserve">describe </w:t>
      </w:r>
      <w:r w:rsidR="003D1B84" w:rsidRPr="003819DA">
        <w:t xml:space="preserve">a </w:t>
      </w:r>
      <w:r w:rsidRPr="003819DA">
        <w:t>record</w:t>
      </w:r>
      <w:r w:rsidR="003D1B84" w:rsidRPr="003819DA">
        <w:t xml:space="preserve"> </w:t>
      </w:r>
      <w:r w:rsidRPr="003819DA">
        <w:t xml:space="preserve">and an </w:t>
      </w:r>
      <w:r w:rsidR="00AB7405" w:rsidRPr="003819DA">
        <w:t xml:space="preserve">IAR </w:t>
      </w:r>
      <w:r w:rsidRPr="003819DA">
        <w:t xml:space="preserve">will have metadata </w:t>
      </w:r>
      <w:r w:rsidR="00A94887" w:rsidRPr="003819DA">
        <w:t xml:space="preserve">to </w:t>
      </w:r>
      <w:r w:rsidRPr="003819DA">
        <w:t>describe each information asset.</w:t>
      </w:r>
      <w:r w:rsidR="007301EB" w:rsidRPr="003819DA">
        <w:t xml:space="preserve"> </w:t>
      </w:r>
      <w:r w:rsidRPr="003819DA">
        <w:t xml:space="preserve">In most instances the metadata will </w:t>
      </w:r>
      <w:r w:rsidR="003D1B84" w:rsidRPr="003819DA">
        <w:t xml:space="preserve">be </w:t>
      </w:r>
      <w:r w:rsidR="00FA406E" w:rsidRPr="003819DA">
        <w:t xml:space="preserve">a combination of </w:t>
      </w:r>
      <w:r w:rsidRPr="003819DA">
        <w:t>system</w:t>
      </w:r>
      <w:r w:rsidR="003D1B84" w:rsidRPr="003819DA">
        <w:t>-</w:t>
      </w:r>
      <w:r w:rsidRPr="003819DA">
        <w:t xml:space="preserve">generated and user </w:t>
      </w:r>
      <w:r w:rsidR="00A94887" w:rsidRPr="003819DA">
        <w:t>defined</w:t>
      </w:r>
      <w:r w:rsidRPr="003819DA">
        <w:t>; in many instances it will be incomplete.</w:t>
      </w:r>
      <w:r w:rsidR="007301EB" w:rsidRPr="003819DA">
        <w:t xml:space="preserve"> </w:t>
      </w:r>
    </w:p>
    <w:p w14:paraId="3FEDF87E" w14:textId="77777777" w:rsidR="00F77B29" w:rsidRPr="003819DA" w:rsidRDefault="003D1B84" w:rsidP="00386ADC">
      <w:pPr>
        <w:pStyle w:val="DPCbody"/>
      </w:pPr>
      <w:r w:rsidRPr="003819DA">
        <w:t>When transferring information assets</w:t>
      </w:r>
      <w:r w:rsidR="00182144" w:rsidRPr="003819DA">
        <w:t>,</w:t>
      </w:r>
      <w:r w:rsidRPr="003819DA">
        <w:t xml:space="preserve"> as a result of MOG changes</w:t>
      </w:r>
      <w:r w:rsidR="00182144" w:rsidRPr="003819DA">
        <w:t>,</w:t>
      </w:r>
      <w:r w:rsidRPr="003819DA">
        <w:t xml:space="preserve"> the information asset should include the</w:t>
      </w:r>
      <w:r w:rsidR="00F77B29" w:rsidRPr="003819DA">
        <w:t xml:space="preserve"> original</w:t>
      </w:r>
      <w:r w:rsidRPr="003819DA">
        <w:t xml:space="preserve"> metadata (even if the metadata is incomplete).</w:t>
      </w:r>
      <w:r w:rsidR="007301EB" w:rsidRPr="003819DA">
        <w:t xml:space="preserve"> </w:t>
      </w:r>
      <w:r w:rsidRPr="003819DA">
        <w:t xml:space="preserve">Transferring the metadata with the information asset </w:t>
      </w:r>
      <w:r w:rsidR="00182144" w:rsidRPr="003819DA">
        <w:t>(and importing it into the destination system</w:t>
      </w:r>
      <w:r w:rsidR="00F77B29" w:rsidRPr="003819DA">
        <w:t xml:space="preserve"> as is</w:t>
      </w:r>
      <w:r w:rsidR="00182144" w:rsidRPr="003819DA">
        <w:t xml:space="preserve">) </w:t>
      </w:r>
      <w:r w:rsidRPr="003819DA">
        <w:t xml:space="preserve">ensures that the information retains its </w:t>
      </w:r>
      <w:r w:rsidR="00FA406E" w:rsidRPr="003819DA">
        <w:t>discoverability</w:t>
      </w:r>
      <w:r w:rsidR="0057566B" w:rsidRPr="003819DA">
        <w:t xml:space="preserve">, </w:t>
      </w:r>
      <w:r w:rsidR="00FA406E" w:rsidRPr="003819DA">
        <w:t xml:space="preserve">business value and </w:t>
      </w:r>
      <w:r w:rsidRPr="003819DA">
        <w:t xml:space="preserve">integrity as a record under the </w:t>
      </w:r>
      <w:r w:rsidRPr="003819DA">
        <w:rPr>
          <w:i/>
        </w:rPr>
        <w:t>Public Records Act 197</w:t>
      </w:r>
      <w:r w:rsidR="00E53445" w:rsidRPr="003819DA">
        <w:rPr>
          <w:i/>
        </w:rPr>
        <w:t>3</w:t>
      </w:r>
      <w:r w:rsidR="00FA406E" w:rsidRPr="003819DA">
        <w:t>.</w:t>
      </w:r>
      <w:r w:rsidR="007301EB" w:rsidRPr="003819DA">
        <w:t xml:space="preserve"> </w:t>
      </w:r>
    </w:p>
    <w:p w14:paraId="14075532" w14:textId="6AC725B7" w:rsidR="00F77B29" w:rsidRPr="003819DA" w:rsidRDefault="00F77B29" w:rsidP="00386ADC">
      <w:pPr>
        <w:pStyle w:val="DPCbody"/>
      </w:pPr>
      <w:r w:rsidRPr="003819DA">
        <w:t xml:space="preserve">Importing an information asset into the receiving department’s EDRMS and replacing the ‘date created’ and ‘creator’ metadata with the same date (e.g. import date) and a standard name (e.g. administrator), compromises the ability to know when and who created the information. </w:t>
      </w:r>
    </w:p>
    <w:p w14:paraId="6DBD810C" w14:textId="24C01152" w:rsidR="00741151" w:rsidRPr="003819DA" w:rsidRDefault="0057566B" w:rsidP="00741151">
      <w:pPr>
        <w:pStyle w:val="DPCbody"/>
      </w:pPr>
      <w:r w:rsidRPr="003819DA">
        <w:rPr>
          <w:noProof/>
          <w:sz w:val="48"/>
          <w:lang w:eastAsia="en-AU"/>
        </w:rPr>
        <w:drawing>
          <wp:anchor distT="0" distB="0" distL="114300" distR="114300" simplePos="0" relativeHeight="251667456" behindDoc="0" locked="0" layoutInCell="1" allowOverlap="0" wp14:anchorId="4DFF11BB" wp14:editId="0171C917">
            <wp:simplePos x="0" y="0"/>
            <wp:positionH relativeFrom="column">
              <wp:posOffset>135255</wp:posOffset>
            </wp:positionH>
            <wp:positionV relativeFrom="paragraph">
              <wp:posOffset>80010</wp:posOffset>
            </wp:positionV>
            <wp:extent cx="619125" cy="489585"/>
            <wp:effectExtent l="0" t="0" r="952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8">
                      <a:extLst>
                        <a:ext uri="{28A0092B-C50C-407E-A947-70E740481C1C}">
                          <a14:useLocalDpi xmlns:a14="http://schemas.microsoft.com/office/drawing/2010/main" val="0"/>
                        </a:ext>
                      </a:extLst>
                    </a:blip>
                    <a:stretch>
                      <a:fillRect/>
                    </a:stretch>
                  </pic:blipFill>
                  <pic:spPr>
                    <a:xfrm>
                      <a:off x="0" y="0"/>
                      <a:ext cx="619125" cy="489585"/>
                    </a:xfrm>
                    <a:prstGeom prst="rect">
                      <a:avLst/>
                    </a:prstGeom>
                  </pic:spPr>
                </pic:pic>
              </a:graphicData>
            </a:graphic>
            <wp14:sizeRelH relativeFrom="margin">
              <wp14:pctWidth>0</wp14:pctWidth>
            </wp14:sizeRelH>
            <wp14:sizeRelV relativeFrom="margin">
              <wp14:pctHeight>0</wp14:pctHeight>
            </wp14:sizeRelV>
          </wp:anchor>
        </w:drawing>
      </w:r>
      <w:r w:rsidR="00741151" w:rsidRPr="003819DA">
        <w:t xml:space="preserve">If the transferring department/agency’s metadata schema differs from the receiving department/agency’s system them the metadata should be mapped </w:t>
      </w:r>
      <w:r w:rsidR="00A94887" w:rsidRPr="003819DA">
        <w:t xml:space="preserve">to the destination system </w:t>
      </w:r>
      <w:r w:rsidR="00741151" w:rsidRPr="003819DA">
        <w:t>and populated.</w:t>
      </w:r>
    </w:p>
    <w:p w14:paraId="1A0C927D" w14:textId="5D5D4065" w:rsidR="00E02DF6" w:rsidRPr="003819DA" w:rsidRDefault="00F50006" w:rsidP="00E02DF6">
      <w:pPr>
        <w:pStyle w:val="Heading2"/>
      </w:pPr>
      <w:r w:rsidRPr="003819DA">
        <w:t>Transferring a record</w:t>
      </w:r>
    </w:p>
    <w:p w14:paraId="2DFEE77C" w14:textId="388B8B3F" w:rsidR="00D85CC8" w:rsidRPr="003819DA" w:rsidRDefault="00D85CC8" w:rsidP="00D85CC8">
      <w:pPr>
        <w:pStyle w:val="DPCbody"/>
      </w:pPr>
      <w:r w:rsidRPr="003819DA">
        <w:t>The transfer of records during a MOG change, transfers ownership and legal responsibility under the Act.</w:t>
      </w:r>
      <w:r w:rsidR="007301EB" w:rsidRPr="003819DA">
        <w:t xml:space="preserve"> </w:t>
      </w:r>
      <w:r w:rsidRPr="003819DA">
        <w:t>PROV</w:t>
      </w:r>
      <w:r w:rsidR="00F50006" w:rsidRPr="003819DA">
        <w:t xml:space="preserve">’s </w:t>
      </w:r>
      <w:hyperlink r:id="rId35" w:history="1">
        <w:r w:rsidR="00F50006" w:rsidRPr="003819DA">
          <w:rPr>
            <w:rStyle w:val="Hyperlink"/>
            <w:i/>
          </w:rPr>
          <w:t>PROS 10/17 Operations Management Standard</w:t>
        </w:r>
      </w:hyperlink>
      <w:r w:rsidR="00F50006" w:rsidRPr="003819DA">
        <w:t xml:space="preserve"> and </w:t>
      </w:r>
      <w:hyperlink r:id="rId36" w:history="1">
        <w:r w:rsidR="00F50006" w:rsidRPr="003819DA">
          <w:rPr>
            <w:rStyle w:val="Hyperlink"/>
            <w:i/>
          </w:rPr>
          <w:t>PROS 10/17 S1 Operations Management Specification</w:t>
        </w:r>
      </w:hyperlink>
      <w:r w:rsidR="00F50006" w:rsidRPr="003819DA">
        <w:t xml:space="preserve"> defines the minimum requirements for transfer of record custodianship during a MOG, with guidance provided in the </w:t>
      </w:r>
      <w:hyperlink r:id="rId37" w:history="1">
        <w:r w:rsidRPr="003819DA">
          <w:rPr>
            <w:rStyle w:val="Hyperlink"/>
            <w:i/>
          </w:rPr>
          <w:t>PROS 10/17 G3 Transfer of Custodianship Guideline</w:t>
        </w:r>
      </w:hyperlink>
      <w:r w:rsidRPr="003819DA">
        <w:t xml:space="preserve">. </w:t>
      </w:r>
    </w:p>
    <w:p w14:paraId="350AF701" w14:textId="56609E32" w:rsidR="00E02DF6" w:rsidRPr="003819DA" w:rsidRDefault="00F75D67" w:rsidP="00E02DF6">
      <w:pPr>
        <w:pStyle w:val="Heading2"/>
      </w:pPr>
      <w:r w:rsidRPr="003819DA">
        <w:t>The information r</w:t>
      </w:r>
      <w:r w:rsidR="00E02DF6" w:rsidRPr="003819DA">
        <w:t>esides where?</w:t>
      </w:r>
    </w:p>
    <w:p w14:paraId="7ADD1A23" w14:textId="33DF4B4D" w:rsidR="00F75D67" w:rsidRDefault="00F75D67" w:rsidP="00E02DF6">
      <w:pPr>
        <w:pStyle w:val="DPCbody"/>
      </w:pPr>
      <w:r w:rsidRPr="003819DA">
        <w:t xml:space="preserve">In many instances a function will be transferred to another department, but its information will continue to reside and be accessible in the </w:t>
      </w:r>
      <w:r w:rsidR="008A658B">
        <w:t>transferring (</w:t>
      </w:r>
      <w:r w:rsidRPr="003819DA">
        <w:t>originating</w:t>
      </w:r>
      <w:r w:rsidR="008A658B">
        <w:t>)</w:t>
      </w:r>
      <w:r w:rsidRPr="003819DA">
        <w:t xml:space="preserve"> department’s system</w:t>
      </w:r>
      <w:r w:rsidR="008A658B">
        <w:t>s</w:t>
      </w:r>
      <w:r w:rsidRPr="003819DA">
        <w:t>.</w:t>
      </w:r>
      <w:r w:rsidR="007301EB" w:rsidRPr="003819DA">
        <w:t xml:space="preserve"> </w:t>
      </w:r>
      <w:r w:rsidRPr="003819DA">
        <w:t>This is no different to a cloud-based system where the application and t</w:t>
      </w:r>
      <w:r w:rsidR="0075478C" w:rsidRPr="003819DA">
        <w:t xml:space="preserve">echnology layer is owned by an external service </w:t>
      </w:r>
      <w:r w:rsidRPr="003819DA">
        <w:t>provider</w:t>
      </w:r>
      <w:r w:rsidR="00D85CC8" w:rsidRPr="003819DA">
        <w:t xml:space="preserve"> (the transferring department)</w:t>
      </w:r>
      <w:r w:rsidRPr="003819DA">
        <w:t xml:space="preserve">, but the information is owned by </w:t>
      </w:r>
      <w:r w:rsidR="00D85CC8" w:rsidRPr="003819DA">
        <w:t xml:space="preserve">the </w:t>
      </w:r>
      <w:r w:rsidRPr="003819DA">
        <w:t>department</w:t>
      </w:r>
      <w:r w:rsidR="0075478C" w:rsidRPr="003819DA">
        <w:t xml:space="preserve"> (the receiving department)</w:t>
      </w:r>
      <w:r w:rsidRPr="003819DA">
        <w:t>.</w:t>
      </w:r>
      <w:r w:rsidR="007301EB" w:rsidRPr="003819DA">
        <w:t xml:space="preserve"> </w:t>
      </w:r>
    </w:p>
    <w:p w14:paraId="1858A1D7" w14:textId="77777777" w:rsidR="008A658B" w:rsidRPr="003819DA" w:rsidRDefault="008A658B" w:rsidP="00E02DF6">
      <w:pPr>
        <w:pStyle w:val="DPCbody"/>
      </w:pPr>
    </w:p>
    <w:p w14:paraId="5F9FDB48" w14:textId="4BC2926C" w:rsidR="00E02DF6" w:rsidRPr="003819DA" w:rsidRDefault="00F75D67" w:rsidP="00F75D67">
      <w:pPr>
        <w:pStyle w:val="IntenseQuote"/>
        <w:rPr>
          <w:b/>
          <w:i w:val="0"/>
        </w:rPr>
      </w:pPr>
      <w:r w:rsidRPr="003819DA">
        <w:rPr>
          <w:b/>
          <w:i w:val="0"/>
        </w:rPr>
        <w:t xml:space="preserve"> “</w:t>
      </w:r>
      <w:r w:rsidR="00AB7405" w:rsidRPr="003819DA">
        <w:rPr>
          <w:b/>
          <w:i w:val="0"/>
        </w:rPr>
        <w:t>You’re</w:t>
      </w:r>
      <w:r w:rsidR="00E02DF6" w:rsidRPr="003819DA">
        <w:rPr>
          <w:b/>
          <w:i w:val="0"/>
        </w:rPr>
        <w:t xml:space="preserve"> using our jar, but they are still </w:t>
      </w:r>
      <w:r w:rsidRPr="003819DA">
        <w:rPr>
          <w:b/>
          <w:i w:val="0"/>
        </w:rPr>
        <w:t xml:space="preserve">your </w:t>
      </w:r>
      <w:r w:rsidR="00E02DF6" w:rsidRPr="003819DA">
        <w:rPr>
          <w:b/>
          <w:i w:val="0"/>
        </w:rPr>
        <w:t>jelly beans</w:t>
      </w:r>
      <w:r w:rsidRPr="003819DA">
        <w:rPr>
          <w:b/>
          <w:i w:val="0"/>
        </w:rPr>
        <w:t>”</w:t>
      </w:r>
    </w:p>
    <w:p w14:paraId="571ABFE1" w14:textId="77777777" w:rsidR="008115BD" w:rsidRPr="003819DA" w:rsidRDefault="008115BD" w:rsidP="008115BD">
      <w:pPr>
        <w:pStyle w:val="Heading2"/>
      </w:pPr>
      <w:r w:rsidRPr="003819DA">
        <w:lastRenderedPageBreak/>
        <w:t>Information asset register</w:t>
      </w:r>
    </w:p>
    <w:p w14:paraId="3A9CCDC7" w14:textId="6AE3EBC2" w:rsidR="008115BD" w:rsidRPr="003819DA" w:rsidRDefault="008115BD" w:rsidP="008115BD">
      <w:pPr>
        <w:pStyle w:val="DPCbody"/>
      </w:pPr>
      <w:r w:rsidRPr="003819DA">
        <w:t xml:space="preserve">The transferring department’s </w:t>
      </w:r>
      <w:r w:rsidR="003B6B63" w:rsidRPr="003819DA">
        <w:t>IAR</w:t>
      </w:r>
      <w:r w:rsidRPr="003819DA">
        <w:t xml:space="preserve"> is a useful tool for identifying information assets to be transferred.</w:t>
      </w:r>
    </w:p>
    <w:p w14:paraId="1A2CBFF1" w14:textId="3CDBDC6C" w:rsidR="008115BD" w:rsidRPr="003819DA" w:rsidRDefault="008115BD" w:rsidP="008115BD">
      <w:pPr>
        <w:pStyle w:val="DPCbody"/>
      </w:pPr>
      <w:r w:rsidRPr="003819DA">
        <w:t xml:space="preserve">If an </w:t>
      </w:r>
      <w:r w:rsidR="003B6B63" w:rsidRPr="003819DA">
        <w:t xml:space="preserve">IAR </w:t>
      </w:r>
      <w:r w:rsidRPr="003819DA">
        <w:t>doesn’t exi</w:t>
      </w:r>
      <w:r w:rsidR="00AB7405" w:rsidRPr="003819DA">
        <w:t>s</w:t>
      </w:r>
      <w:r w:rsidRPr="003819DA">
        <w:t>t</w:t>
      </w:r>
      <w:r w:rsidR="00AB7405" w:rsidRPr="003819DA">
        <w:t xml:space="preserve"> (or the information asset isn’t registered in the </w:t>
      </w:r>
      <w:r w:rsidR="003B6B63" w:rsidRPr="003819DA">
        <w:t>IAR)</w:t>
      </w:r>
      <w:r w:rsidRPr="003819DA">
        <w:t xml:space="preserve">, the transferring department should develop a register </w:t>
      </w:r>
      <w:r w:rsidR="003B6B63" w:rsidRPr="003819DA">
        <w:t>(or create an entry</w:t>
      </w:r>
      <w:r w:rsidR="00E26837" w:rsidRPr="003819DA">
        <w:t xml:space="preserve"> in the register</w:t>
      </w:r>
      <w:r w:rsidR="003B6B63" w:rsidRPr="003819DA">
        <w:t xml:space="preserve">) </w:t>
      </w:r>
      <w:r w:rsidRPr="003819DA">
        <w:t>in consultation with functions to be transferred to identify the information assets (information, data and web content) to be transferred.</w:t>
      </w:r>
    </w:p>
    <w:p w14:paraId="7B1EA554" w14:textId="7D48C9AF" w:rsidR="00782A3B" w:rsidRPr="003819DA" w:rsidRDefault="00782A3B" w:rsidP="00782A3B">
      <w:pPr>
        <w:pStyle w:val="Heading2"/>
      </w:pPr>
      <w:r w:rsidRPr="003819DA">
        <w:t>CIC Records</w:t>
      </w:r>
    </w:p>
    <w:p w14:paraId="651FC766" w14:textId="034E48B0" w:rsidR="00557AEB" w:rsidRPr="003819DA" w:rsidRDefault="00782A3B" w:rsidP="00782A3B">
      <w:pPr>
        <w:pStyle w:val="DPCbody"/>
      </w:pPr>
      <w:r w:rsidRPr="003819DA">
        <w:t xml:space="preserve">CIC records are treated differently during MOG changes.  </w:t>
      </w:r>
      <w:r w:rsidR="00CA192C" w:rsidRPr="003819DA">
        <w:t xml:space="preserve">All </w:t>
      </w:r>
      <w:r w:rsidRPr="003819DA">
        <w:t xml:space="preserve">CIC records </w:t>
      </w:r>
      <w:r w:rsidR="00CA192C" w:rsidRPr="003819DA">
        <w:t xml:space="preserve">(permanent and temporary) </w:t>
      </w:r>
      <w:r w:rsidR="00CA192C" w:rsidRPr="003819DA">
        <w:rPr>
          <w:u w:val="single"/>
        </w:rPr>
        <w:t>must</w:t>
      </w:r>
      <w:r w:rsidR="00CA192C" w:rsidRPr="003819DA">
        <w:t xml:space="preserve"> be </w:t>
      </w:r>
      <w:r w:rsidRPr="003819DA">
        <w:t xml:space="preserve">transferred with the </w:t>
      </w:r>
      <w:r w:rsidR="00557AEB" w:rsidRPr="003819DA">
        <w:t>transfer of a</w:t>
      </w:r>
      <w:r w:rsidR="000D79EA" w:rsidRPr="003819DA">
        <w:t xml:space="preserve"> </w:t>
      </w:r>
      <w:r w:rsidRPr="003819DA">
        <w:t>functional portfolio</w:t>
      </w:r>
      <w:r w:rsidR="00557AEB" w:rsidRPr="003819DA">
        <w:t xml:space="preserve"> and </w:t>
      </w:r>
      <w:r w:rsidRPr="003819DA">
        <w:t>should not remain accessible in the transferring department’</w:t>
      </w:r>
      <w:r w:rsidR="00CA192C" w:rsidRPr="003819DA">
        <w:t>s systems</w:t>
      </w:r>
      <w:r w:rsidR="00557AEB" w:rsidRPr="003819DA">
        <w:t xml:space="preserve">.  </w:t>
      </w:r>
    </w:p>
    <w:p w14:paraId="718CE7CB" w14:textId="02F8132F" w:rsidR="00782A3B" w:rsidRPr="003819DA" w:rsidRDefault="00557AEB" w:rsidP="00782A3B">
      <w:pPr>
        <w:pStyle w:val="DPCbody"/>
      </w:pPr>
      <w:r w:rsidRPr="003819DA">
        <w:t xml:space="preserve">Once the CIC data has been migrated to the receiving department, every </w:t>
      </w:r>
      <w:r w:rsidR="00CA192C" w:rsidRPr="003819DA">
        <w:t xml:space="preserve">attempt should be made to identify and erase </w:t>
      </w:r>
      <w:r w:rsidRPr="003819DA">
        <w:t xml:space="preserve">transferred </w:t>
      </w:r>
      <w:r w:rsidR="00CA192C" w:rsidRPr="003819DA">
        <w:t>CIC records from the transferring department’s systems</w:t>
      </w:r>
      <w:r w:rsidR="000D79EA" w:rsidRPr="003819DA">
        <w:t xml:space="preserve"> (including</w:t>
      </w:r>
      <w:r w:rsidRPr="003819DA">
        <w:t xml:space="preserve"> from the </w:t>
      </w:r>
      <w:r w:rsidR="000D79EA" w:rsidRPr="003819DA">
        <w:t>EDRMS, databases and network drives)</w:t>
      </w:r>
      <w:r w:rsidR="00CA192C" w:rsidRPr="003819DA">
        <w:t xml:space="preserve">.  </w:t>
      </w:r>
      <w:r w:rsidRPr="003819DA">
        <w:t xml:space="preserve">This may </w:t>
      </w:r>
      <w:r w:rsidR="00782A3B" w:rsidRPr="003819DA">
        <w:t xml:space="preserve">seem obvious but </w:t>
      </w:r>
      <w:r w:rsidRPr="003819DA">
        <w:t xml:space="preserve">there have been instances in the past where data has been migrated </w:t>
      </w:r>
      <w:r w:rsidR="00782A3B" w:rsidRPr="003819DA">
        <w:t xml:space="preserve">for </w:t>
      </w:r>
      <w:r w:rsidR="00A042C7" w:rsidRPr="003819DA">
        <w:t>a</w:t>
      </w:r>
      <w:r w:rsidR="00782A3B" w:rsidRPr="003819DA">
        <w:t xml:space="preserve"> MOG and </w:t>
      </w:r>
      <w:r w:rsidRPr="003819DA">
        <w:t xml:space="preserve">the transferring department </w:t>
      </w:r>
      <w:r w:rsidR="00782A3B" w:rsidRPr="003819DA">
        <w:t xml:space="preserve">didn't clear the data from </w:t>
      </w:r>
      <w:r w:rsidRPr="003819DA">
        <w:t xml:space="preserve">its </w:t>
      </w:r>
      <w:r w:rsidR="00A042C7" w:rsidRPr="003819DA">
        <w:t>EDRMS</w:t>
      </w:r>
      <w:r w:rsidR="00782A3B" w:rsidRPr="003819DA">
        <w:t xml:space="preserve">. </w:t>
      </w:r>
      <w:r w:rsidR="00A042C7" w:rsidRPr="003819DA">
        <w:t xml:space="preserve">This resulted in a duplicate transfer to </w:t>
      </w:r>
      <w:r w:rsidR="00782A3B" w:rsidRPr="003819DA">
        <w:t xml:space="preserve">PROV </w:t>
      </w:r>
      <w:r w:rsidRPr="003819DA">
        <w:t>of identical CI</w:t>
      </w:r>
      <w:r w:rsidR="00782A3B" w:rsidRPr="003819DA">
        <w:t>C data</w:t>
      </w:r>
      <w:r w:rsidR="00A042C7" w:rsidRPr="003819DA">
        <w:t xml:space="preserve"> at the next caretaker period.</w:t>
      </w:r>
    </w:p>
    <w:p w14:paraId="43545980" w14:textId="4FA1B5E2" w:rsidR="004B350E" w:rsidRPr="003819DA" w:rsidRDefault="00A042C7" w:rsidP="004B350E">
      <w:pPr>
        <w:pStyle w:val="DPCnumberdigit"/>
        <w:numPr>
          <w:ilvl w:val="0"/>
          <w:numId w:val="0"/>
        </w:numPr>
      </w:pPr>
      <w:r w:rsidRPr="003819DA">
        <w:t>When a function ceases to exist, the permanent C</w:t>
      </w:r>
      <w:r w:rsidR="004B350E" w:rsidRPr="003819DA">
        <w:t>I</w:t>
      </w:r>
      <w:r w:rsidRPr="003819DA">
        <w:t xml:space="preserve">C records remain in a secure location with the originating portfolio/department for the remainder of the 4 year term.  </w:t>
      </w:r>
      <w:r w:rsidR="004B350E" w:rsidRPr="003819DA">
        <w:t xml:space="preserve">During the </w:t>
      </w:r>
      <w:r w:rsidR="0026396A" w:rsidRPr="003819DA">
        <w:t xml:space="preserve">next </w:t>
      </w:r>
      <w:r w:rsidR="004B350E" w:rsidRPr="003819DA">
        <w:t xml:space="preserve">caretaker period custody is </w:t>
      </w:r>
      <w:r w:rsidR="0026396A" w:rsidRPr="003819DA">
        <w:t xml:space="preserve">then </w:t>
      </w:r>
      <w:r w:rsidR="004B350E" w:rsidRPr="003819DA">
        <w:t xml:space="preserve">transferred to the Cabinet Office (in the Department of Premier and Cabinet) in accordance with </w:t>
      </w:r>
      <w:hyperlink r:id="rId38" w:history="1">
        <w:r w:rsidR="004B350E" w:rsidRPr="003819DA">
          <w:rPr>
            <w:rStyle w:val="Hyperlink"/>
            <w:i/>
          </w:rPr>
          <w:t>PROS 07/01 Retention and Disposal Authority for Records of Common Administrative Functions</w:t>
        </w:r>
      </w:hyperlink>
      <w:r w:rsidR="004B350E" w:rsidRPr="003819DA">
        <w:t>. Post-election, they are transferred to PROV.</w:t>
      </w:r>
    </w:p>
    <w:p w14:paraId="6B926A49" w14:textId="77777777" w:rsidR="008A658B" w:rsidRDefault="008A658B">
      <w:pPr>
        <w:rPr>
          <w:rFonts w:asciiTheme="majorHAnsi" w:eastAsia="MS Gothic" w:hAnsiTheme="majorHAnsi" w:cs="Arial"/>
          <w:bCs/>
          <w:color w:val="0072CE"/>
          <w:kern w:val="32"/>
          <w:sz w:val="44"/>
          <w:szCs w:val="52"/>
        </w:rPr>
      </w:pPr>
      <w:r>
        <w:br w:type="page"/>
      </w:r>
    </w:p>
    <w:p w14:paraId="3C97D744" w14:textId="596DFD11" w:rsidR="0046522F" w:rsidRPr="003819DA" w:rsidRDefault="0046522F" w:rsidP="0026396A">
      <w:pPr>
        <w:pStyle w:val="Heading1"/>
      </w:pPr>
      <w:r w:rsidRPr="003819DA">
        <w:lastRenderedPageBreak/>
        <w:t>Document Control</w:t>
      </w:r>
    </w:p>
    <w:p w14:paraId="282A161C" w14:textId="77777777" w:rsidR="0046522F" w:rsidRPr="003819DA" w:rsidRDefault="0046522F" w:rsidP="0046522F">
      <w:pPr>
        <w:pStyle w:val="Heading2"/>
      </w:pPr>
      <w:r w:rsidRPr="003819DA">
        <w:t>Approval</w:t>
      </w:r>
    </w:p>
    <w:p w14:paraId="719EF1CE" w14:textId="4610B837" w:rsidR="0046522F" w:rsidRPr="003819DA" w:rsidRDefault="0046522F" w:rsidP="0046522F">
      <w:pPr>
        <w:pStyle w:val="DPCbody"/>
      </w:pPr>
      <w:r w:rsidRPr="003819DA">
        <w:t xml:space="preserve">This document was approved by the </w:t>
      </w:r>
      <w:r w:rsidR="006E2ECF" w:rsidRPr="003819DA">
        <w:t>CIO Leadership Group</w:t>
      </w:r>
      <w:r w:rsidRPr="003819DA">
        <w:t xml:space="preserve"> under authority of</w:t>
      </w:r>
      <w:r w:rsidR="00302EBD" w:rsidRPr="003819DA">
        <w:t xml:space="preserve"> </w:t>
      </w:r>
      <w:r w:rsidR="006E2ECF" w:rsidRPr="003819DA">
        <w:t xml:space="preserve">the Victorian Secretaries Board </w:t>
      </w:r>
      <w:r w:rsidRPr="003819DA">
        <w:t xml:space="preserve">on </w:t>
      </w:r>
      <w:r w:rsidR="00E71576">
        <w:t>06/08/2018</w:t>
      </w:r>
      <w:r w:rsidR="006E2ECF" w:rsidRPr="003819DA">
        <w:t xml:space="preserve"> </w:t>
      </w:r>
      <w:r w:rsidRPr="003819DA">
        <w:t>and applies from the date of issue (see first page).</w:t>
      </w:r>
    </w:p>
    <w:p w14:paraId="79AF7088" w14:textId="77777777" w:rsidR="0046522F" w:rsidRPr="003819DA" w:rsidRDefault="0046522F" w:rsidP="0046522F">
      <w:pPr>
        <w:pStyle w:val="Heading2"/>
      </w:pPr>
      <w:r w:rsidRPr="003819DA">
        <w:t>Version history</w:t>
      </w:r>
    </w:p>
    <w:tbl>
      <w:tblPr>
        <w:tblStyle w:val="TableGrid"/>
        <w:tblW w:w="5000" w:type="pct"/>
        <w:tblLook w:val="04A0" w:firstRow="1" w:lastRow="0" w:firstColumn="1" w:lastColumn="0" w:noHBand="0" w:noVBand="1"/>
      </w:tblPr>
      <w:tblGrid>
        <w:gridCol w:w="1339"/>
        <w:gridCol w:w="2027"/>
        <w:gridCol w:w="6771"/>
      </w:tblGrid>
      <w:tr w:rsidR="0046522F" w:rsidRPr="003819DA" w14:paraId="0288BD19" w14:textId="77777777" w:rsidTr="006E2ECF">
        <w:tc>
          <w:tcPr>
            <w:tcW w:w="1339" w:type="dxa"/>
            <w:vAlign w:val="center"/>
          </w:tcPr>
          <w:p w14:paraId="5A7D059E" w14:textId="77777777" w:rsidR="0046522F" w:rsidRPr="003819DA" w:rsidRDefault="0046522F" w:rsidP="0046522F">
            <w:pPr>
              <w:pStyle w:val="DPCtablecolhead"/>
              <w:spacing w:before="120" w:after="120"/>
            </w:pPr>
            <w:r w:rsidRPr="003819DA">
              <w:t>Version</w:t>
            </w:r>
          </w:p>
        </w:tc>
        <w:tc>
          <w:tcPr>
            <w:tcW w:w="2027" w:type="dxa"/>
            <w:vAlign w:val="center"/>
          </w:tcPr>
          <w:p w14:paraId="094D741D" w14:textId="77777777" w:rsidR="0046522F" w:rsidRPr="003819DA" w:rsidRDefault="0046522F" w:rsidP="0046522F">
            <w:pPr>
              <w:pStyle w:val="DPCtablecolhead"/>
              <w:spacing w:before="120" w:after="120"/>
            </w:pPr>
            <w:r w:rsidRPr="003819DA">
              <w:t>Date</w:t>
            </w:r>
          </w:p>
        </w:tc>
        <w:tc>
          <w:tcPr>
            <w:tcW w:w="6771" w:type="dxa"/>
            <w:vAlign w:val="center"/>
          </w:tcPr>
          <w:p w14:paraId="7B6C3DB8" w14:textId="77777777" w:rsidR="0046522F" w:rsidRPr="003819DA" w:rsidRDefault="0046522F" w:rsidP="0046522F">
            <w:pPr>
              <w:pStyle w:val="DPCtablecolhead"/>
              <w:spacing w:before="120" w:after="120"/>
            </w:pPr>
            <w:r w:rsidRPr="003819DA">
              <w:t>Comments</w:t>
            </w:r>
          </w:p>
        </w:tc>
      </w:tr>
      <w:tr w:rsidR="0046522F" w:rsidRPr="003819DA" w14:paraId="40A93829" w14:textId="77777777" w:rsidTr="006E2ECF">
        <w:tc>
          <w:tcPr>
            <w:tcW w:w="1339" w:type="dxa"/>
            <w:vAlign w:val="center"/>
          </w:tcPr>
          <w:p w14:paraId="52CB284B" w14:textId="23C35717" w:rsidR="0046522F" w:rsidRPr="003819DA" w:rsidRDefault="00F50006" w:rsidP="0046522F">
            <w:pPr>
              <w:pStyle w:val="DPCtabletext"/>
              <w:spacing w:before="120" w:after="120"/>
            </w:pPr>
            <w:r w:rsidRPr="003819DA">
              <w:t>0.1</w:t>
            </w:r>
          </w:p>
        </w:tc>
        <w:tc>
          <w:tcPr>
            <w:tcW w:w="2027" w:type="dxa"/>
            <w:vAlign w:val="center"/>
          </w:tcPr>
          <w:p w14:paraId="56D5B8A3" w14:textId="17235613" w:rsidR="0046522F" w:rsidRPr="003819DA" w:rsidRDefault="00F50006" w:rsidP="0046522F">
            <w:pPr>
              <w:pStyle w:val="DPCtabletext"/>
              <w:spacing w:before="120" w:after="120"/>
            </w:pPr>
            <w:r w:rsidRPr="003819DA">
              <w:t>03/04/2018</w:t>
            </w:r>
          </w:p>
        </w:tc>
        <w:tc>
          <w:tcPr>
            <w:tcW w:w="6771" w:type="dxa"/>
            <w:vAlign w:val="center"/>
          </w:tcPr>
          <w:p w14:paraId="60192B91" w14:textId="42000445" w:rsidR="0046522F" w:rsidRPr="003819DA" w:rsidRDefault="00F50006" w:rsidP="0046522F">
            <w:pPr>
              <w:pStyle w:val="DPCtabletext"/>
              <w:spacing w:before="120" w:after="120"/>
            </w:pPr>
            <w:r w:rsidRPr="003819DA">
              <w:t>First draft for review by working group</w:t>
            </w:r>
          </w:p>
        </w:tc>
      </w:tr>
      <w:tr w:rsidR="001E76DB" w:rsidRPr="003819DA" w14:paraId="2B0CF126" w14:textId="77777777" w:rsidTr="006E2ECF">
        <w:tc>
          <w:tcPr>
            <w:tcW w:w="1339" w:type="dxa"/>
            <w:vAlign w:val="center"/>
          </w:tcPr>
          <w:p w14:paraId="07F7878C" w14:textId="2A8C070A" w:rsidR="001E76DB" w:rsidRPr="003819DA" w:rsidRDefault="001E76DB" w:rsidP="0046522F">
            <w:pPr>
              <w:pStyle w:val="DPCtabletext"/>
              <w:spacing w:before="120" w:after="120"/>
            </w:pPr>
            <w:r w:rsidRPr="003819DA">
              <w:t>0.2</w:t>
            </w:r>
          </w:p>
        </w:tc>
        <w:tc>
          <w:tcPr>
            <w:tcW w:w="2027" w:type="dxa"/>
            <w:vAlign w:val="center"/>
          </w:tcPr>
          <w:p w14:paraId="3E17B823" w14:textId="58F6C201" w:rsidR="001E76DB" w:rsidRPr="003819DA" w:rsidRDefault="001E76DB" w:rsidP="0046522F">
            <w:pPr>
              <w:pStyle w:val="DPCtabletext"/>
              <w:spacing w:before="120" w:after="120"/>
            </w:pPr>
            <w:r w:rsidRPr="003819DA">
              <w:t>27/04/2018</w:t>
            </w:r>
          </w:p>
        </w:tc>
        <w:tc>
          <w:tcPr>
            <w:tcW w:w="6771" w:type="dxa"/>
            <w:vAlign w:val="center"/>
          </w:tcPr>
          <w:p w14:paraId="2EFFEBFC" w14:textId="0D7D831F" w:rsidR="001E76DB" w:rsidRPr="003819DA" w:rsidRDefault="001E76DB" w:rsidP="0046522F">
            <w:pPr>
              <w:pStyle w:val="DPCtabletext"/>
              <w:spacing w:before="120" w:after="120"/>
            </w:pPr>
            <w:r w:rsidRPr="003819DA">
              <w:t>Second draft for review by IMG members</w:t>
            </w:r>
          </w:p>
        </w:tc>
      </w:tr>
      <w:tr w:rsidR="0075478C" w:rsidRPr="003819DA" w14:paraId="7A71E0D5" w14:textId="77777777" w:rsidTr="006E2ECF">
        <w:tc>
          <w:tcPr>
            <w:tcW w:w="1339" w:type="dxa"/>
            <w:vAlign w:val="center"/>
          </w:tcPr>
          <w:p w14:paraId="1CBA258B" w14:textId="7DCB4B6E" w:rsidR="0075478C" w:rsidRPr="003819DA" w:rsidRDefault="0075478C" w:rsidP="0046522F">
            <w:pPr>
              <w:pStyle w:val="DPCtabletext"/>
              <w:spacing w:before="120" w:after="120"/>
            </w:pPr>
            <w:r w:rsidRPr="003819DA">
              <w:t>0.3</w:t>
            </w:r>
          </w:p>
        </w:tc>
        <w:tc>
          <w:tcPr>
            <w:tcW w:w="2027" w:type="dxa"/>
            <w:vAlign w:val="center"/>
          </w:tcPr>
          <w:p w14:paraId="2C3F02F0" w14:textId="7B19A522" w:rsidR="0075478C" w:rsidRPr="003819DA" w:rsidRDefault="0075478C" w:rsidP="0046522F">
            <w:pPr>
              <w:pStyle w:val="DPCtabletext"/>
              <w:spacing w:before="120" w:after="120"/>
            </w:pPr>
            <w:r w:rsidRPr="003819DA">
              <w:t>15/05/2018</w:t>
            </w:r>
          </w:p>
        </w:tc>
        <w:tc>
          <w:tcPr>
            <w:tcW w:w="6771" w:type="dxa"/>
            <w:vAlign w:val="center"/>
          </w:tcPr>
          <w:p w14:paraId="086088EF" w14:textId="39BF6599" w:rsidR="0075478C" w:rsidRPr="003819DA" w:rsidRDefault="0075478C" w:rsidP="0075478C">
            <w:pPr>
              <w:pStyle w:val="DPCtabletext"/>
              <w:spacing w:before="120" w:after="120"/>
            </w:pPr>
            <w:r w:rsidRPr="003819DA">
              <w:t>Final draft for endorsement by IMG members</w:t>
            </w:r>
          </w:p>
        </w:tc>
      </w:tr>
      <w:tr w:rsidR="0026396A" w:rsidRPr="003819DA" w14:paraId="2D5A3D19" w14:textId="77777777" w:rsidTr="006E2ECF">
        <w:tc>
          <w:tcPr>
            <w:tcW w:w="1339" w:type="dxa"/>
            <w:vAlign w:val="center"/>
          </w:tcPr>
          <w:p w14:paraId="3F691C4A" w14:textId="79E6AF8F" w:rsidR="0026396A" w:rsidRPr="003819DA" w:rsidRDefault="0026396A" w:rsidP="0046522F">
            <w:pPr>
              <w:pStyle w:val="DPCtabletext"/>
              <w:spacing w:before="120" w:after="120"/>
            </w:pPr>
            <w:r w:rsidRPr="003819DA">
              <w:t>0.4</w:t>
            </w:r>
          </w:p>
        </w:tc>
        <w:tc>
          <w:tcPr>
            <w:tcW w:w="2027" w:type="dxa"/>
            <w:vAlign w:val="center"/>
          </w:tcPr>
          <w:p w14:paraId="3E6F1B60" w14:textId="21EA0C18" w:rsidR="0026396A" w:rsidRPr="003819DA" w:rsidRDefault="0026396A" w:rsidP="0046522F">
            <w:pPr>
              <w:pStyle w:val="DPCtabletext"/>
              <w:spacing w:before="120" w:after="120"/>
            </w:pPr>
            <w:r w:rsidRPr="003819DA">
              <w:t>21/05/2018</w:t>
            </w:r>
          </w:p>
        </w:tc>
        <w:tc>
          <w:tcPr>
            <w:tcW w:w="6771" w:type="dxa"/>
            <w:vAlign w:val="center"/>
          </w:tcPr>
          <w:p w14:paraId="4779F935" w14:textId="2ADEB409" w:rsidR="0026396A" w:rsidRPr="003819DA" w:rsidRDefault="0026396A" w:rsidP="0075478C">
            <w:pPr>
              <w:pStyle w:val="DPCtabletext"/>
              <w:spacing w:before="120" w:after="120"/>
            </w:pPr>
            <w:r w:rsidRPr="003819DA">
              <w:t>Some additional changes to the final draft</w:t>
            </w:r>
          </w:p>
        </w:tc>
      </w:tr>
      <w:tr w:rsidR="003819DA" w:rsidRPr="00CF4A60" w14:paraId="20E522B8" w14:textId="77777777" w:rsidTr="006E2ECF">
        <w:tc>
          <w:tcPr>
            <w:tcW w:w="1339" w:type="dxa"/>
            <w:vAlign w:val="center"/>
          </w:tcPr>
          <w:p w14:paraId="72EB489A" w14:textId="1171C33D" w:rsidR="003819DA" w:rsidRPr="003819DA" w:rsidRDefault="003819DA" w:rsidP="0046522F">
            <w:pPr>
              <w:pStyle w:val="DPCtabletext"/>
              <w:spacing w:before="120" w:after="120"/>
            </w:pPr>
            <w:r w:rsidRPr="003819DA">
              <w:t>0.5</w:t>
            </w:r>
          </w:p>
        </w:tc>
        <w:tc>
          <w:tcPr>
            <w:tcW w:w="2027" w:type="dxa"/>
            <w:vAlign w:val="center"/>
          </w:tcPr>
          <w:p w14:paraId="474D2E70" w14:textId="545BBF32" w:rsidR="003819DA" w:rsidRPr="003819DA" w:rsidRDefault="003819DA" w:rsidP="0046522F">
            <w:pPr>
              <w:pStyle w:val="DPCtabletext"/>
              <w:spacing w:before="120" w:after="120"/>
            </w:pPr>
            <w:r w:rsidRPr="003819DA">
              <w:t>25/06/2018</w:t>
            </w:r>
          </w:p>
        </w:tc>
        <w:tc>
          <w:tcPr>
            <w:tcW w:w="6771" w:type="dxa"/>
            <w:vAlign w:val="center"/>
          </w:tcPr>
          <w:p w14:paraId="76FB4724" w14:textId="56E42104" w:rsidR="003819DA" w:rsidRDefault="008A658B" w:rsidP="0075478C">
            <w:pPr>
              <w:pStyle w:val="DPCtabletext"/>
              <w:spacing w:before="120" w:after="120"/>
            </w:pPr>
            <w:r>
              <w:t xml:space="preserve">Reference to the </w:t>
            </w:r>
            <w:r w:rsidRPr="008A658B">
              <w:rPr>
                <w:i/>
              </w:rPr>
              <w:t>FOI Act</w:t>
            </w:r>
            <w:r>
              <w:t xml:space="preserve"> added and version for endorsement by the WOVG Information Management Group</w:t>
            </w:r>
          </w:p>
        </w:tc>
      </w:tr>
      <w:tr w:rsidR="008A658B" w:rsidRPr="00CF4A60" w14:paraId="4AD7F20F" w14:textId="77777777" w:rsidTr="006E2ECF">
        <w:tc>
          <w:tcPr>
            <w:tcW w:w="1339" w:type="dxa"/>
            <w:vAlign w:val="center"/>
          </w:tcPr>
          <w:p w14:paraId="26C62C8D" w14:textId="6B046F0C" w:rsidR="008A658B" w:rsidRPr="003819DA" w:rsidRDefault="008A658B" w:rsidP="0046522F">
            <w:pPr>
              <w:pStyle w:val="DPCtabletext"/>
              <w:spacing w:before="120" w:after="120"/>
            </w:pPr>
            <w:r>
              <w:t>1.0</w:t>
            </w:r>
          </w:p>
        </w:tc>
        <w:tc>
          <w:tcPr>
            <w:tcW w:w="2027" w:type="dxa"/>
            <w:vAlign w:val="center"/>
          </w:tcPr>
          <w:p w14:paraId="1BA7F078" w14:textId="09989465" w:rsidR="008A658B" w:rsidRPr="003819DA" w:rsidRDefault="00E71576" w:rsidP="0046522F">
            <w:pPr>
              <w:pStyle w:val="DPCtabletext"/>
              <w:spacing w:before="120" w:after="120"/>
            </w:pPr>
            <w:r>
              <w:t>09/08</w:t>
            </w:r>
            <w:r w:rsidR="008A658B">
              <w:t>/2018</w:t>
            </w:r>
          </w:p>
        </w:tc>
        <w:tc>
          <w:tcPr>
            <w:tcW w:w="6771" w:type="dxa"/>
            <w:vAlign w:val="center"/>
          </w:tcPr>
          <w:p w14:paraId="14C0FDDE" w14:textId="47CF060E" w:rsidR="008A658B" w:rsidRPr="003819DA" w:rsidRDefault="008A658B" w:rsidP="00E71576">
            <w:pPr>
              <w:pStyle w:val="DPCtabletext"/>
              <w:spacing w:before="120" w:after="120"/>
            </w:pPr>
            <w:r>
              <w:t xml:space="preserve">Final version </w:t>
            </w:r>
            <w:r w:rsidR="00E71576">
              <w:t>approved in principal.</w:t>
            </w:r>
          </w:p>
        </w:tc>
      </w:tr>
    </w:tbl>
    <w:p w14:paraId="36DC589C" w14:textId="77777777" w:rsidR="0046522F" w:rsidRPr="008C748D" w:rsidRDefault="0046522F" w:rsidP="009C09C5">
      <w:pPr>
        <w:pStyle w:val="DPCbodyaftertablefigure"/>
      </w:pPr>
    </w:p>
    <w:sectPr w:rsidR="0046522F" w:rsidRPr="008C748D" w:rsidSect="001B5CC1">
      <w:headerReference w:type="default" r:id="rId39"/>
      <w:footerReference w:type="default" r:id="rId40"/>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F4F71" w14:textId="77777777" w:rsidR="0008376A" w:rsidRDefault="0008376A">
      <w:r>
        <w:separator/>
      </w:r>
    </w:p>
  </w:endnote>
  <w:endnote w:type="continuationSeparator" w:id="0">
    <w:p w14:paraId="4B3E161F" w14:textId="77777777" w:rsidR="0008376A" w:rsidRDefault="0008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15D7" w14:textId="749BEF8D" w:rsidR="00853CF6" w:rsidRDefault="005E37A4" w:rsidP="005E37A4">
    <w:pPr>
      <w:pStyle w:val="Footer"/>
      <w:rPr>
        <w:rFonts w:ascii="Arial" w:hAnsi="Arial"/>
        <w:b/>
        <w:color w:val="3F3F3F"/>
      </w:rPr>
    </w:pPr>
    <w:bookmarkStart w:id="0" w:name="aliashNonProtectiveMarki1FooterEvenPages"/>
    <w:r>
      <w:rPr>
        <w:rFonts w:ascii="Arial" w:hAnsi="Arial"/>
        <w:b/>
        <w:color w:val="3F3F3F"/>
      </w:rPr>
      <w:t>Public</w:t>
    </w:r>
  </w:p>
  <w:bookmarkEnd w:id="0"/>
  <w:p w14:paraId="54219951" w14:textId="77777777" w:rsidR="00853CF6" w:rsidRDefault="00853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4047" w14:textId="604D7E1A" w:rsidR="00853CF6" w:rsidRDefault="00C80BD8" w:rsidP="005E37A4">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9264" behindDoc="0" locked="0" layoutInCell="0" allowOverlap="1" wp14:anchorId="17EB934C" wp14:editId="281D81D4">
              <wp:simplePos x="0" y="0"/>
              <wp:positionH relativeFrom="page">
                <wp:posOffset>0</wp:posOffset>
              </wp:positionH>
              <wp:positionV relativeFrom="page">
                <wp:posOffset>10234930</wp:posOffset>
              </wp:positionV>
              <wp:extent cx="7560310" cy="266700"/>
              <wp:effectExtent l="0" t="0" r="0" b="0"/>
              <wp:wrapNone/>
              <wp:docPr id="12" name="MSIPCMdf46405bbaf16c2d5dec8c1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59D05F" w14:textId="301AE215" w:rsidR="00C80BD8" w:rsidRPr="00C80BD8" w:rsidRDefault="00C80BD8" w:rsidP="00C80BD8">
                          <w:pPr>
                            <w:rPr>
                              <w:rFonts w:ascii="Calibri" w:hAnsi="Calibri" w:cs="Calibri"/>
                              <w:color w:val="000000"/>
                              <w:sz w:val="22"/>
                            </w:rPr>
                          </w:pPr>
                          <w:r w:rsidRPr="00C80BD8">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EB934C" id="_x0000_t202" coordsize="21600,21600" o:spt="202" path="m,l,21600r21600,l21600,xe">
              <v:stroke joinstyle="miter"/>
              <v:path gradientshapeok="t" o:connecttype="rect"/>
            </v:shapetype>
            <v:shape id="MSIPCMdf46405bbaf16c2d5dec8c1d"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Beg9k1sgIAAEkFAAAO&#10;AAAAAAAAAAAAAAAAAC4CAABkcnMvZTJvRG9jLnhtbFBLAQItABQABgAIAAAAIQBgEcYm3gAAAAsB&#10;AAAPAAAAAAAAAAAAAAAAAAwFAABkcnMvZG93bnJldi54bWxQSwUGAAAAAAQABADzAAAAFwYAAAAA&#10;" o:allowincell="f" filled="f" stroked="f" strokeweight=".5pt">
              <v:fill o:detectmouseclick="t"/>
              <v:textbox inset="20pt,0,,0">
                <w:txbxContent>
                  <w:p w14:paraId="6759D05F" w14:textId="301AE215" w:rsidR="00C80BD8" w:rsidRPr="00C80BD8" w:rsidRDefault="00C80BD8" w:rsidP="00C80BD8">
                    <w:pPr>
                      <w:rPr>
                        <w:rFonts w:ascii="Calibri" w:hAnsi="Calibri" w:cs="Calibri"/>
                        <w:color w:val="000000"/>
                        <w:sz w:val="22"/>
                      </w:rPr>
                    </w:pPr>
                    <w:r w:rsidRPr="00C80BD8">
                      <w:rPr>
                        <w:rFonts w:ascii="Calibri" w:hAnsi="Calibri" w:cs="Calibri"/>
                        <w:color w:val="000000"/>
                        <w:sz w:val="22"/>
                      </w:rPr>
                      <w:t>OFFICIAL</w:t>
                    </w:r>
                  </w:p>
                </w:txbxContent>
              </v:textbox>
              <w10:wrap anchorx="page" anchory="page"/>
            </v:shape>
          </w:pict>
        </mc:Fallback>
      </mc:AlternateContent>
    </w:r>
    <w:r w:rsidR="005E37A4">
      <w:rPr>
        <w:rFonts w:ascii="Arial" w:hAnsi="Arial"/>
        <w:b/>
        <w:color w:val="3F3F3F"/>
      </w:rPr>
      <w:t>Public</w:t>
    </w:r>
  </w:p>
  <w:bookmarkEnd w:id="1"/>
  <w:p w14:paraId="3C25A4FB" w14:textId="77777777" w:rsidR="00CE750D" w:rsidRDefault="00336814">
    <w:pPr>
      <w:pStyle w:val="Footer"/>
    </w:pPr>
    <w:r>
      <w:rPr>
        <w:noProof/>
        <w:lang w:eastAsia="en-AU"/>
      </w:rPr>
      <w:drawing>
        <wp:anchor distT="0" distB="0" distL="114300" distR="114300" simplePos="0" relativeHeight="251656704" behindDoc="0" locked="1" layoutInCell="0" allowOverlap="1" wp14:anchorId="07FA7AFE" wp14:editId="7D098B9A">
          <wp:simplePos x="0" y="0"/>
          <wp:positionH relativeFrom="page">
            <wp:posOffset>0</wp:posOffset>
          </wp:positionH>
          <wp:positionV relativeFrom="page">
            <wp:posOffset>9940290</wp:posOffset>
          </wp:positionV>
          <wp:extent cx="7162800" cy="502285"/>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rotWithShape="1">
                  <a:blip r:embed="rId1">
                    <a:extLst>
                      <a:ext uri="{28A0092B-C50C-407E-A947-70E740481C1C}">
                        <a14:useLocalDpi xmlns:a14="http://schemas.microsoft.com/office/drawing/2010/main" val="0"/>
                      </a:ext>
                    </a:extLst>
                  </a:blip>
                  <a:srcRect r="5224"/>
                  <a:stretch/>
                </pic:blipFill>
                <pic:spPr bwMode="auto">
                  <a:xfrm>
                    <a:off x="0" y="0"/>
                    <a:ext cx="7162800" cy="502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858F" w14:textId="1C6497B5" w:rsidR="00853CF6" w:rsidRDefault="005E37A4" w:rsidP="005E37A4">
    <w:pPr>
      <w:pStyle w:val="Footer"/>
      <w:rPr>
        <w:rFonts w:ascii="Arial" w:hAnsi="Arial"/>
        <w:b/>
        <w:color w:val="3F3F3F"/>
      </w:rPr>
    </w:pPr>
    <w:bookmarkStart w:id="2" w:name="aliashNonProtectiveMarki1FooterFirstPage"/>
    <w:r>
      <w:rPr>
        <w:rFonts w:ascii="Arial" w:hAnsi="Arial"/>
        <w:b/>
        <w:color w:val="3F3F3F"/>
      </w:rPr>
      <w:t>Public</w:t>
    </w:r>
  </w:p>
  <w:bookmarkEnd w:id="2"/>
  <w:p w14:paraId="3E3F7FC3" w14:textId="77777777" w:rsidR="00853CF6" w:rsidRDefault="00853C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0545E" w14:textId="1D083738" w:rsidR="001B24EF" w:rsidRDefault="00C80BD8" w:rsidP="005E37A4">
    <w:pPr>
      <w:pStyle w:val="DPCfooter"/>
      <w:rPr>
        <w:rFonts w:ascii="Arial" w:hAnsi="Arial" w:cs="Arial"/>
        <w:b/>
        <w:color w:val="3F3F3F"/>
        <w:sz w:val="20"/>
      </w:rPr>
    </w:pPr>
    <w:bookmarkStart w:id="4" w:name="aliashNonProtectiveMarking2FooterPrimary"/>
    <w:r>
      <w:rPr>
        <w:rFonts w:ascii="Arial" w:hAnsi="Arial" w:cs="Arial"/>
        <w:b/>
        <w:noProof/>
        <w:color w:val="3F3F3F"/>
        <w:sz w:val="20"/>
      </w:rPr>
      <mc:AlternateContent>
        <mc:Choice Requires="wps">
          <w:drawing>
            <wp:anchor distT="0" distB="0" distL="114300" distR="114300" simplePos="0" relativeHeight="251660288" behindDoc="0" locked="0" layoutInCell="0" allowOverlap="1" wp14:anchorId="5F3B2E18" wp14:editId="7DECB0DE">
              <wp:simplePos x="0" y="0"/>
              <wp:positionH relativeFrom="page">
                <wp:posOffset>0</wp:posOffset>
              </wp:positionH>
              <wp:positionV relativeFrom="page">
                <wp:posOffset>10234930</wp:posOffset>
              </wp:positionV>
              <wp:extent cx="7560310" cy="266700"/>
              <wp:effectExtent l="0" t="0" r="0" b="0"/>
              <wp:wrapNone/>
              <wp:docPr id="13" name="MSIPCM330e49639eec3eacf5d3a1ab"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0B395" w14:textId="4C142F3A" w:rsidR="00C80BD8" w:rsidRPr="00C80BD8" w:rsidRDefault="00C80BD8" w:rsidP="00C80BD8">
                          <w:pPr>
                            <w:rPr>
                              <w:rFonts w:ascii="Calibri" w:hAnsi="Calibri" w:cs="Calibri"/>
                              <w:color w:val="000000"/>
                              <w:sz w:val="22"/>
                            </w:rPr>
                          </w:pPr>
                          <w:r w:rsidRPr="00C80BD8">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3B2E18" id="_x0000_t202" coordsize="21600,21600" o:spt="202" path="m,l,21600r21600,l21600,xe">
              <v:stroke joinstyle="miter"/>
              <v:path gradientshapeok="t" o:connecttype="rect"/>
            </v:shapetype>
            <v:shape id="MSIPCM330e49639eec3eacf5d3a1ab" o:spid="_x0000_s1028" type="#_x0000_t202" alt="{&quot;HashCode&quot;:-1267603503,&quot;Height&quot;:841.0,&quot;Width&quot;:595.0,&quot;Placement&quot;:&quot;Footer&quot;,&quot;Index&quot;:&quot;Primary&quot;,&quot;Section&quot;:2,&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" o:allowincell="f" filled="f" stroked="f" strokeweight=".5pt">
              <v:fill o:detectmouseclick="t"/>
              <v:textbox inset="20pt,0,,0">
                <w:txbxContent>
                  <w:p w14:paraId="64A0B395" w14:textId="4C142F3A" w:rsidR="00C80BD8" w:rsidRPr="00C80BD8" w:rsidRDefault="00C80BD8" w:rsidP="00C80BD8">
                    <w:pPr>
                      <w:rPr>
                        <w:rFonts w:ascii="Calibri" w:hAnsi="Calibri" w:cs="Calibri"/>
                        <w:color w:val="000000"/>
                        <w:sz w:val="22"/>
                      </w:rPr>
                    </w:pPr>
                    <w:r w:rsidRPr="00C80BD8">
                      <w:rPr>
                        <w:rFonts w:ascii="Calibri" w:hAnsi="Calibri" w:cs="Calibri"/>
                        <w:color w:val="000000"/>
                        <w:sz w:val="22"/>
                      </w:rPr>
                      <w:t>OFFICIAL</w:t>
                    </w:r>
                  </w:p>
                </w:txbxContent>
              </v:textbox>
              <w10:wrap anchorx="page" anchory="page"/>
            </v:shape>
          </w:pict>
        </mc:Fallback>
      </mc:AlternateContent>
    </w:r>
    <w:r w:rsidR="005E37A4">
      <w:rPr>
        <w:rFonts w:ascii="Arial" w:hAnsi="Arial" w:cs="Arial"/>
        <w:b/>
        <w:color w:val="3F3F3F"/>
        <w:sz w:val="20"/>
      </w:rPr>
      <w:t>Public</w:t>
    </w:r>
  </w:p>
  <w:bookmarkEnd w:id="4"/>
  <w:p w14:paraId="60517542" w14:textId="77777777" w:rsidR="00657303" w:rsidRPr="00A95E3B" w:rsidRDefault="00DB5836" w:rsidP="00B01E7E">
    <w:pPr>
      <w:pStyle w:val="DPCfooter"/>
    </w:pPr>
    <w:r>
      <w:t>Machinery of Government Standard</w: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6267A9">
      <w:rPr>
        <w:noProof/>
      </w:rPr>
      <w:t>9</w:t>
    </w:r>
    <w:r w:rsidR="00EF362A"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B835" w14:textId="77777777" w:rsidR="0008376A" w:rsidRDefault="0008376A" w:rsidP="002862F1">
      <w:pPr>
        <w:spacing w:before="120"/>
      </w:pPr>
      <w:r>
        <w:separator/>
      </w:r>
    </w:p>
  </w:footnote>
  <w:footnote w:type="continuationSeparator" w:id="0">
    <w:p w14:paraId="7E7271A0" w14:textId="77777777" w:rsidR="0008376A" w:rsidRDefault="0008376A">
      <w:r>
        <w:continuationSeparator/>
      </w:r>
    </w:p>
  </w:footnote>
  <w:footnote w:id="1">
    <w:p w14:paraId="19A7FB97" w14:textId="5BF63699" w:rsidR="00AD5B74" w:rsidRDefault="00AD5B74">
      <w:pPr>
        <w:pStyle w:val="FootnoteText"/>
      </w:pPr>
      <w:r>
        <w:rPr>
          <w:rStyle w:val="FootnoteReference"/>
        </w:rPr>
        <w:footnoteRef/>
      </w:r>
      <w:r>
        <w:t xml:space="preserve"> </w:t>
      </w:r>
      <w:r w:rsidR="00346073">
        <w:t>The department, under a machinery of government change responsible for transferring a function and its information.</w:t>
      </w:r>
    </w:p>
  </w:footnote>
  <w:footnote w:id="2">
    <w:p w14:paraId="332468C1" w14:textId="4D9D7B83" w:rsidR="003819DA" w:rsidRPr="003819DA" w:rsidRDefault="003819DA">
      <w:pPr>
        <w:pStyle w:val="FootnoteText"/>
        <w:rPr>
          <w:i/>
        </w:rPr>
      </w:pPr>
      <w:r w:rsidRPr="008A658B">
        <w:rPr>
          <w:rStyle w:val="FootnoteReference"/>
        </w:rPr>
        <w:footnoteRef/>
      </w:r>
      <w:r w:rsidRPr="008A658B">
        <w:t xml:space="preserve"> Cabinet-in-confidence records as defined in S28 Cabinet documents of the </w:t>
      </w:r>
      <w:r w:rsidRPr="008A658B">
        <w:rPr>
          <w:i/>
        </w:rPr>
        <w:t>FOI Act 1982.</w:t>
      </w:r>
    </w:p>
  </w:footnote>
  <w:footnote w:id="3">
    <w:p w14:paraId="1D95C48B" w14:textId="1D881A6A" w:rsidR="00F20338" w:rsidRDefault="00F20338">
      <w:pPr>
        <w:pStyle w:val="FootnoteText"/>
      </w:pPr>
      <w:r w:rsidRPr="00BC5F4D">
        <w:rPr>
          <w:rStyle w:val="FootnoteReference"/>
        </w:rPr>
        <w:footnoteRef/>
      </w:r>
      <w:r w:rsidRPr="00BC5F4D">
        <w:t xml:space="preserve"> Throughout this standard ‘ownership’ refers to the department </w:t>
      </w:r>
      <w:r w:rsidR="0021681A" w:rsidRPr="00BC5F4D">
        <w:t>accountable</w:t>
      </w:r>
      <w:r w:rsidRPr="00BC5F4D">
        <w:t xml:space="preserve"> for an information asset after</w:t>
      </w:r>
      <w:r w:rsidR="0021681A" w:rsidRPr="00BC5F4D">
        <w:t xml:space="preserve"> a MOG change.  For example when </w:t>
      </w:r>
      <w:r w:rsidR="00346073" w:rsidRPr="00BC5F4D">
        <w:t xml:space="preserve">a </w:t>
      </w:r>
      <w:r w:rsidR="0021681A" w:rsidRPr="00BC5F4D">
        <w:t xml:space="preserve">function has been transferred </w:t>
      </w:r>
      <w:r w:rsidR="00346073" w:rsidRPr="00BC5F4D">
        <w:t xml:space="preserve">its information is now owned by the </w:t>
      </w:r>
      <w:r w:rsidR="0021681A" w:rsidRPr="00BC5F4D">
        <w:t>receiving department.</w:t>
      </w:r>
      <w:r w:rsidR="0021681A">
        <w:t xml:space="preserve"> </w:t>
      </w:r>
    </w:p>
  </w:footnote>
  <w:footnote w:id="4">
    <w:p w14:paraId="0EB1856C" w14:textId="7FFFF6CD" w:rsidR="00346073" w:rsidRDefault="00346073">
      <w:pPr>
        <w:pStyle w:val="FootnoteText"/>
      </w:pPr>
      <w:r>
        <w:rPr>
          <w:rStyle w:val="FootnoteReference"/>
        </w:rPr>
        <w:footnoteRef/>
      </w:r>
      <w:r>
        <w:t xml:space="preserve"> The department, under a machinery of government change, responsible for receiving a transferred function and its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4EB3" w14:textId="77777777" w:rsidR="00C80BD8" w:rsidRDefault="00C80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12B5" w14:textId="77777777" w:rsidR="00C80BD8" w:rsidRDefault="00C80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785F" w14:textId="77777777" w:rsidR="00C80BD8" w:rsidRDefault="00C80B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87DFF" w14:textId="04AE70F2" w:rsidR="00657303" w:rsidRDefault="00326A66">
    <w:pPr>
      <w:pStyle w:val="Header"/>
    </w:pPr>
    <w:r>
      <w:rPr>
        <w:noProof/>
        <w:lang w:eastAsia="en-AU"/>
      </w:rPr>
      <w:drawing>
        <wp:anchor distT="0" distB="0" distL="114300" distR="114300" simplePos="0" relativeHeight="251657728" behindDoc="0" locked="1" layoutInCell="0" allowOverlap="1" wp14:anchorId="3BB293A3" wp14:editId="4CD6AE94">
          <wp:simplePos x="0" y="0"/>
          <wp:positionH relativeFrom="page">
            <wp:posOffset>-69215</wp:posOffset>
          </wp:positionH>
          <wp:positionV relativeFrom="page">
            <wp:posOffset>340360</wp:posOffset>
          </wp:positionV>
          <wp:extent cx="7700645" cy="510540"/>
          <wp:effectExtent l="0" t="0" r="0"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0064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04A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5293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BAC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3C78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701C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A1A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E2FB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8419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0B5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0A96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06B7"/>
    <w:multiLevelType w:val="hybridMultilevel"/>
    <w:tmpl w:val="9D12307E"/>
    <w:lvl w:ilvl="0" w:tplc="9CCE1334">
      <w:start w:val="1"/>
      <w:numFmt w:val="bullet"/>
      <w:lvlText w:val="•"/>
      <w:lvlJc w:val="left"/>
      <w:pPr>
        <w:tabs>
          <w:tab w:val="num" w:pos="720"/>
        </w:tabs>
        <w:ind w:left="720" w:hanging="360"/>
      </w:pPr>
      <w:rPr>
        <w:rFonts w:ascii="Arial" w:hAnsi="Arial" w:hint="default"/>
      </w:rPr>
    </w:lvl>
    <w:lvl w:ilvl="1" w:tplc="F7028DF2" w:tentative="1">
      <w:start w:val="1"/>
      <w:numFmt w:val="bullet"/>
      <w:lvlText w:val="•"/>
      <w:lvlJc w:val="left"/>
      <w:pPr>
        <w:tabs>
          <w:tab w:val="num" w:pos="1440"/>
        </w:tabs>
        <w:ind w:left="1440" w:hanging="360"/>
      </w:pPr>
      <w:rPr>
        <w:rFonts w:ascii="Arial" w:hAnsi="Arial" w:hint="default"/>
      </w:rPr>
    </w:lvl>
    <w:lvl w:ilvl="2" w:tplc="DEEE1022" w:tentative="1">
      <w:start w:val="1"/>
      <w:numFmt w:val="bullet"/>
      <w:lvlText w:val="•"/>
      <w:lvlJc w:val="left"/>
      <w:pPr>
        <w:tabs>
          <w:tab w:val="num" w:pos="2160"/>
        </w:tabs>
        <w:ind w:left="2160" w:hanging="360"/>
      </w:pPr>
      <w:rPr>
        <w:rFonts w:ascii="Arial" w:hAnsi="Arial" w:hint="default"/>
      </w:rPr>
    </w:lvl>
    <w:lvl w:ilvl="3" w:tplc="40DA7A7A" w:tentative="1">
      <w:start w:val="1"/>
      <w:numFmt w:val="bullet"/>
      <w:lvlText w:val="•"/>
      <w:lvlJc w:val="left"/>
      <w:pPr>
        <w:tabs>
          <w:tab w:val="num" w:pos="2880"/>
        </w:tabs>
        <w:ind w:left="2880" w:hanging="360"/>
      </w:pPr>
      <w:rPr>
        <w:rFonts w:ascii="Arial" w:hAnsi="Arial" w:hint="default"/>
      </w:rPr>
    </w:lvl>
    <w:lvl w:ilvl="4" w:tplc="FA8EC6DC" w:tentative="1">
      <w:start w:val="1"/>
      <w:numFmt w:val="bullet"/>
      <w:lvlText w:val="•"/>
      <w:lvlJc w:val="left"/>
      <w:pPr>
        <w:tabs>
          <w:tab w:val="num" w:pos="3600"/>
        </w:tabs>
        <w:ind w:left="3600" w:hanging="360"/>
      </w:pPr>
      <w:rPr>
        <w:rFonts w:ascii="Arial" w:hAnsi="Arial" w:hint="default"/>
      </w:rPr>
    </w:lvl>
    <w:lvl w:ilvl="5" w:tplc="603E903C" w:tentative="1">
      <w:start w:val="1"/>
      <w:numFmt w:val="bullet"/>
      <w:lvlText w:val="•"/>
      <w:lvlJc w:val="left"/>
      <w:pPr>
        <w:tabs>
          <w:tab w:val="num" w:pos="4320"/>
        </w:tabs>
        <w:ind w:left="4320" w:hanging="360"/>
      </w:pPr>
      <w:rPr>
        <w:rFonts w:ascii="Arial" w:hAnsi="Arial" w:hint="default"/>
      </w:rPr>
    </w:lvl>
    <w:lvl w:ilvl="6" w:tplc="DC2C099C" w:tentative="1">
      <w:start w:val="1"/>
      <w:numFmt w:val="bullet"/>
      <w:lvlText w:val="•"/>
      <w:lvlJc w:val="left"/>
      <w:pPr>
        <w:tabs>
          <w:tab w:val="num" w:pos="5040"/>
        </w:tabs>
        <w:ind w:left="5040" w:hanging="360"/>
      </w:pPr>
      <w:rPr>
        <w:rFonts w:ascii="Arial" w:hAnsi="Arial" w:hint="default"/>
      </w:rPr>
    </w:lvl>
    <w:lvl w:ilvl="7" w:tplc="06309F4E" w:tentative="1">
      <w:start w:val="1"/>
      <w:numFmt w:val="bullet"/>
      <w:lvlText w:val="•"/>
      <w:lvlJc w:val="left"/>
      <w:pPr>
        <w:tabs>
          <w:tab w:val="num" w:pos="5760"/>
        </w:tabs>
        <w:ind w:left="5760" w:hanging="360"/>
      </w:pPr>
      <w:rPr>
        <w:rFonts w:ascii="Arial" w:hAnsi="Arial" w:hint="default"/>
      </w:rPr>
    </w:lvl>
    <w:lvl w:ilvl="8" w:tplc="19CAC7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1F2600A"/>
    <w:multiLevelType w:val="hybridMultilevel"/>
    <w:tmpl w:val="77A46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087938B1"/>
    <w:multiLevelType w:val="hybridMultilevel"/>
    <w:tmpl w:val="56A45080"/>
    <w:lvl w:ilvl="0" w:tplc="C494060E">
      <w:start w:val="1"/>
      <w:numFmt w:val="bullet"/>
      <w:lvlText w:val="•"/>
      <w:lvlJc w:val="left"/>
      <w:pPr>
        <w:tabs>
          <w:tab w:val="num" w:pos="720"/>
        </w:tabs>
        <w:ind w:left="720" w:hanging="360"/>
      </w:pPr>
      <w:rPr>
        <w:rFonts w:ascii="Arial" w:hAnsi="Arial" w:hint="default"/>
      </w:rPr>
    </w:lvl>
    <w:lvl w:ilvl="1" w:tplc="BFEE93FE" w:tentative="1">
      <w:start w:val="1"/>
      <w:numFmt w:val="bullet"/>
      <w:lvlText w:val="•"/>
      <w:lvlJc w:val="left"/>
      <w:pPr>
        <w:tabs>
          <w:tab w:val="num" w:pos="1440"/>
        </w:tabs>
        <w:ind w:left="1440" w:hanging="360"/>
      </w:pPr>
      <w:rPr>
        <w:rFonts w:ascii="Arial" w:hAnsi="Arial" w:hint="default"/>
      </w:rPr>
    </w:lvl>
    <w:lvl w:ilvl="2" w:tplc="03B81A86" w:tentative="1">
      <w:start w:val="1"/>
      <w:numFmt w:val="bullet"/>
      <w:lvlText w:val="•"/>
      <w:lvlJc w:val="left"/>
      <w:pPr>
        <w:tabs>
          <w:tab w:val="num" w:pos="2160"/>
        </w:tabs>
        <w:ind w:left="2160" w:hanging="360"/>
      </w:pPr>
      <w:rPr>
        <w:rFonts w:ascii="Arial" w:hAnsi="Arial" w:hint="default"/>
      </w:rPr>
    </w:lvl>
    <w:lvl w:ilvl="3" w:tplc="E0D2714A" w:tentative="1">
      <w:start w:val="1"/>
      <w:numFmt w:val="bullet"/>
      <w:lvlText w:val="•"/>
      <w:lvlJc w:val="left"/>
      <w:pPr>
        <w:tabs>
          <w:tab w:val="num" w:pos="2880"/>
        </w:tabs>
        <w:ind w:left="2880" w:hanging="360"/>
      </w:pPr>
      <w:rPr>
        <w:rFonts w:ascii="Arial" w:hAnsi="Arial" w:hint="default"/>
      </w:rPr>
    </w:lvl>
    <w:lvl w:ilvl="4" w:tplc="AD540F64" w:tentative="1">
      <w:start w:val="1"/>
      <w:numFmt w:val="bullet"/>
      <w:lvlText w:val="•"/>
      <w:lvlJc w:val="left"/>
      <w:pPr>
        <w:tabs>
          <w:tab w:val="num" w:pos="3600"/>
        </w:tabs>
        <w:ind w:left="3600" w:hanging="360"/>
      </w:pPr>
      <w:rPr>
        <w:rFonts w:ascii="Arial" w:hAnsi="Arial" w:hint="default"/>
      </w:rPr>
    </w:lvl>
    <w:lvl w:ilvl="5" w:tplc="BD9EFB34" w:tentative="1">
      <w:start w:val="1"/>
      <w:numFmt w:val="bullet"/>
      <w:lvlText w:val="•"/>
      <w:lvlJc w:val="left"/>
      <w:pPr>
        <w:tabs>
          <w:tab w:val="num" w:pos="4320"/>
        </w:tabs>
        <w:ind w:left="4320" w:hanging="360"/>
      </w:pPr>
      <w:rPr>
        <w:rFonts w:ascii="Arial" w:hAnsi="Arial" w:hint="default"/>
      </w:rPr>
    </w:lvl>
    <w:lvl w:ilvl="6" w:tplc="8B5CAAEC" w:tentative="1">
      <w:start w:val="1"/>
      <w:numFmt w:val="bullet"/>
      <w:lvlText w:val="•"/>
      <w:lvlJc w:val="left"/>
      <w:pPr>
        <w:tabs>
          <w:tab w:val="num" w:pos="5040"/>
        </w:tabs>
        <w:ind w:left="5040" w:hanging="360"/>
      </w:pPr>
      <w:rPr>
        <w:rFonts w:ascii="Arial" w:hAnsi="Arial" w:hint="default"/>
      </w:rPr>
    </w:lvl>
    <w:lvl w:ilvl="7" w:tplc="D0828FB8" w:tentative="1">
      <w:start w:val="1"/>
      <w:numFmt w:val="bullet"/>
      <w:lvlText w:val="•"/>
      <w:lvlJc w:val="left"/>
      <w:pPr>
        <w:tabs>
          <w:tab w:val="num" w:pos="5760"/>
        </w:tabs>
        <w:ind w:left="5760" w:hanging="360"/>
      </w:pPr>
      <w:rPr>
        <w:rFonts w:ascii="Arial" w:hAnsi="Arial" w:hint="default"/>
      </w:rPr>
    </w:lvl>
    <w:lvl w:ilvl="8" w:tplc="00AE57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247C7377"/>
    <w:multiLevelType w:val="hybridMultilevel"/>
    <w:tmpl w:val="CD1E7FD2"/>
    <w:lvl w:ilvl="0" w:tplc="053E92A2">
      <w:start w:val="1"/>
      <w:numFmt w:val="bullet"/>
      <w:lvlText w:val="•"/>
      <w:lvlJc w:val="left"/>
      <w:pPr>
        <w:tabs>
          <w:tab w:val="num" w:pos="720"/>
        </w:tabs>
        <w:ind w:left="720" w:hanging="360"/>
      </w:pPr>
      <w:rPr>
        <w:rFonts w:ascii="Arial" w:hAnsi="Arial" w:hint="default"/>
      </w:rPr>
    </w:lvl>
    <w:lvl w:ilvl="1" w:tplc="DAEAD678" w:tentative="1">
      <w:start w:val="1"/>
      <w:numFmt w:val="bullet"/>
      <w:lvlText w:val="•"/>
      <w:lvlJc w:val="left"/>
      <w:pPr>
        <w:tabs>
          <w:tab w:val="num" w:pos="1440"/>
        </w:tabs>
        <w:ind w:left="1440" w:hanging="360"/>
      </w:pPr>
      <w:rPr>
        <w:rFonts w:ascii="Arial" w:hAnsi="Arial" w:hint="default"/>
      </w:rPr>
    </w:lvl>
    <w:lvl w:ilvl="2" w:tplc="5F60821E" w:tentative="1">
      <w:start w:val="1"/>
      <w:numFmt w:val="bullet"/>
      <w:lvlText w:val="•"/>
      <w:lvlJc w:val="left"/>
      <w:pPr>
        <w:tabs>
          <w:tab w:val="num" w:pos="2160"/>
        </w:tabs>
        <w:ind w:left="2160" w:hanging="360"/>
      </w:pPr>
      <w:rPr>
        <w:rFonts w:ascii="Arial" w:hAnsi="Arial" w:hint="default"/>
      </w:rPr>
    </w:lvl>
    <w:lvl w:ilvl="3" w:tplc="4C023A46" w:tentative="1">
      <w:start w:val="1"/>
      <w:numFmt w:val="bullet"/>
      <w:lvlText w:val="•"/>
      <w:lvlJc w:val="left"/>
      <w:pPr>
        <w:tabs>
          <w:tab w:val="num" w:pos="2880"/>
        </w:tabs>
        <w:ind w:left="2880" w:hanging="360"/>
      </w:pPr>
      <w:rPr>
        <w:rFonts w:ascii="Arial" w:hAnsi="Arial" w:hint="default"/>
      </w:rPr>
    </w:lvl>
    <w:lvl w:ilvl="4" w:tplc="1D769182" w:tentative="1">
      <w:start w:val="1"/>
      <w:numFmt w:val="bullet"/>
      <w:lvlText w:val="•"/>
      <w:lvlJc w:val="left"/>
      <w:pPr>
        <w:tabs>
          <w:tab w:val="num" w:pos="3600"/>
        </w:tabs>
        <w:ind w:left="3600" w:hanging="360"/>
      </w:pPr>
      <w:rPr>
        <w:rFonts w:ascii="Arial" w:hAnsi="Arial" w:hint="default"/>
      </w:rPr>
    </w:lvl>
    <w:lvl w:ilvl="5" w:tplc="8D348724" w:tentative="1">
      <w:start w:val="1"/>
      <w:numFmt w:val="bullet"/>
      <w:lvlText w:val="•"/>
      <w:lvlJc w:val="left"/>
      <w:pPr>
        <w:tabs>
          <w:tab w:val="num" w:pos="4320"/>
        </w:tabs>
        <w:ind w:left="4320" w:hanging="360"/>
      </w:pPr>
      <w:rPr>
        <w:rFonts w:ascii="Arial" w:hAnsi="Arial" w:hint="default"/>
      </w:rPr>
    </w:lvl>
    <w:lvl w:ilvl="6" w:tplc="CEDEB02A" w:tentative="1">
      <w:start w:val="1"/>
      <w:numFmt w:val="bullet"/>
      <w:lvlText w:val="•"/>
      <w:lvlJc w:val="left"/>
      <w:pPr>
        <w:tabs>
          <w:tab w:val="num" w:pos="5040"/>
        </w:tabs>
        <w:ind w:left="5040" w:hanging="360"/>
      </w:pPr>
      <w:rPr>
        <w:rFonts w:ascii="Arial" w:hAnsi="Arial" w:hint="default"/>
      </w:rPr>
    </w:lvl>
    <w:lvl w:ilvl="7" w:tplc="B32AD90A" w:tentative="1">
      <w:start w:val="1"/>
      <w:numFmt w:val="bullet"/>
      <w:lvlText w:val="•"/>
      <w:lvlJc w:val="left"/>
      <w:pPr>
        <w:tabs>
          <w:tab w:val="num" w:pos="5760"/>
        </w:tabs>
        <w:ind w:left="5760" w:hanging="360"/>
      </w:pPr>
      <w:rPr>
        <w:rFonts w:ascii="Arial" w:hAnsi="Arial" w:hint="default"/>
      </w:rPr>
    </w:lvl>
    <w:lvl w:ilvl="8" w:tplc="CD0A7CC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2BE705E9"/>
    <w:multiLevelType w:val="hybridMultilevel"/>
    <w:tmpl w:val="C14859EA"/>
    <w:lvl w:ilvl="0" w:tplc="C1A42B06">
      <w:start w:val="1"/>
      <w:numFmt w:val="bullet"/>
      <w:lvlText w:val="•"/>
      <w:lvlJc w:val="left"/>
      <w:pPr>
        <w:tabs>
          <w:tab w:val="num" w:pos="720"/>
        </w:tabs>
        <w:ind w:left="720" w:hanging="360"/>
      </w:pPr>
      <w:rPr>
        <w:rFonts w:ascii="Arial" w:hAnsi="Arial" w:hint="default"/>
      </w:rPr>
    </w:lvl>
    <w:lvl w:ilvl="1" w:tplc="F6420090" w:tentative="1">
      <w:start w:val="1"/>
      <w:numFmt w:val="bullet"/>
      <w:lvlText w:val="•"/>
      <w:lvlJc w:val="left"/>
      <w:pPr>
        <w:tabs>
          <w:tab w:val="num" w:pos="1440"/>
        </w:tabs>
        <w:ind w:left="1440" w:hanging="360"/>
      </w:pPr>
      <w:rPr>
        <w:rFonts w:ascii="Arial" w:hAnsi="Arial" w:hint="default"/>
      </w:rPr>
    </w:lvl>
    <w:lvl w:ilvl="2" w:tplc="D44C10FC" w:tentative="1">
      <w:start w:val="1"/>
      <w:numFmt w:val="bullet"/>
      <w:lvlText w:val="•"/>
      <w:lvlJc w:val="left"/>
      <w:pPr>
        <w:tabs>
          <w:tab w:val="num" w:pos="2160"/>
        </w:tabs>
        <w:ind w:left="2160" w:hanging="360"/>
      </w:pPr>
      <w:rPr>
        <w:rFonts w:ascii="Arial" w:hAnsi="Arial" w:hint="default"/>
      </w:rPr>
    </w:lvl>
    <w:lvl w:ilvl="3" w:tplc="E73A3744" w:tentative="1">
      <w:start w:val="1"/>
      <w:numFmt w:val="bullet"/>
      <w:lvlText w:val="•"/>
      <w:lvlJc w:val="left"/>
      <w:pPr>
        <w:tabs>
          <w:tab w:val="num" w:pos="2880"/>
        </w:tabs>
        <w:ind w:left="2880" w:hanging="360"/>
      </w:pPr>
      <w:rPr>
        <w:rFonts w:ascii="Arial" w:hAnsi="Arial" w:hint="default"/>
      </w:rPr>
    </w:lvl>
    <w:lvl w:ilvl="4" w:tplc="72B63140" w:tentative="1">
      <w:start w:val="1"/>
      <w:numFmt w:val="bullet"/>
      <w:lvlText w:val="•"/>
      <w:lvlJc w:val="left"/>
      <w:pPr>
        <w:tabs>
          <w:tab w:val="num" w:pos="3600"/>
        </w:tabs>
        <w:ind w:left="3600" w:hanging="360"/>
      </w:pPr>
      <w:rPr>
        <w:rFonts w:ascii="Arial" w:hAnsi="Arial" w:hint="default"/>
      </w:rPr>
    </w:lvl>
    <w:lvl w:ilvl="5" w:tplc="F05A36BC" w:tentative="1">
      <w:start w:val="1"/>
      <w:numFmt w:val="bullet"/>
      <w:lvlText w:val="•"/>
      <w:lvlJc w:val="left"/>
      <w:pPr>
        <w:tabs>
          <w:tab w:val="num" w:pos="4320"/>
        </w:tabs>
        <w:ind w:left="4320" w:hanging="360"/>
      </w:pPr>
      <w:rPr>
        <w:rFonts w:ascii="Arial" w:hAnsi="Arial" w:hint="default"/>
      </w:rPr>
    </w:lvl>
    <w:lvl w:ilvl="6" w:tplc="4AAC02E6" w:tentative="1">
      <w:start w:val="1"/>
      <w:numFmt w:val="bullet"/>
      <w:lvlText w:val="•"/>
      <w:lvlJc w:val="left"/>
      <w:pPr>
        <w:tabs>
          <w:tab w:val="num" w:pos="5040"/>
        </w:tabs>
        <w:ind w:left="5040" w:hanging="360"/>
      </w:pPr>
      <w:rPr>
        <w:rFonts w:ascii="Arial" w:hAnsi="Arial" w:hint="default"/>
      </w:rPr>
    </w:lvl>
    <w:lvl w:ilvl="7" w:tplc="8EAA7A56" w:tentative="1">
      <w:start w:val="1"/>
      <w:numFmt w:val="bullet"/>
      <w:lvlText w:val="•"/>
      <w:lvlJc w:val="left"/>
      <w:pPr>
        <w:tabs>
          <w:tab w:val="num" w:pos="5760"/>
        </w:tabs>
        <w:ind w:left="5760" w:hanging="360"/>
      </w:pPr>
      <w:rPr>
        <w:rFonts w:ascii="Arial" w:hAnsi="Arial" w:hint="default"/>
      </w:rPr>
    </w:lvl>
    <w:lvl w:ilvl="8" w:tplc="BAF27D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2478D2"/>
    <w:multiLevelType w:val="multilevel"/>
    <w:tmpl w:val="D34C9BAE"/>
    <w:styleLink w:val="ZZBullets"/>
    <w:lvl w:ilvl="0">
      <w:start w:val="1"/>
      <w:numFmt w:val="bullet"/>
      <w:pStyle w:val="DPCbullet1"/>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DE83A38"/>
    <w:multiLevelType w:val="hybridMultilevel"/>
    <w:tmpl w:val="733C5A2C"/>
    <w:lvl w:ilvl="0" w:tplc="7700B5F8">
      <w:start w:val="1"/>
      <w:numFmt w:val="bullet"/>
      <w:pStyle w:val="DPCbulle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104D73"/>
    <w:multiLevelType w:val="hybridMultilevel"/>
    <w:tmpl w:val="D61C6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70713B2"/>
    <w:multiLevelType w:val="hybridMultilevel"/>
    <w:tmpl w:val="A5C894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E972FFD"/>
    <w:multiLevelType w:val="hybridMultilevel"/>
    <w:tmpl w:val="5A085682"/>
    <w:lvl w:ilvl="0" w:tplc="2B84DC9C">
      <w:start w:val="1"/>
      <w:numFmt w:val="bullet"/>
      <w:lvlText w:val="•"/>
      <w:lvlJc w:val="left"/>
      <w:pPr>
        <w:tabs>
          <w:tab w:val="num" w:pos="720"/>
        </w:tabs>
        <w:ind w:left="720" w:hanging="360"/>
      </w:pPr>
      <w:rPr>
        <w:rFonts w:ascii="Arial" w:hAnsi="Arial" w:hint="default"/>
      </w:rPr>
    </w:lvl>
    <w:lvl w:ilvl="1" w:tplc="F516FB7C" w:tentative="1">
      <w:start w:val="1"/>
      <w:numFmt w:val="bullet"/>
      <w:lvlText w:val="•"/>
      <w:lvlJc w:val="left"/>
      <w:pPr>
        <w:tabs>
          <w:tab w:val="num" w:pos="1440"/>
        </w:tabs>
        <w:ind w:left="1440" w:hanging="360"/>
      </w:pPr>
      <w:rPr>
        <w:rFonts w:ascii="Arial" w:hAnsi="Arial" w:hint="default"/>
      </w:rPr>
    </w:lvl>
    <w:lvl w:ilvl="2" w:tplc="5B46162E" w:tentative="1">
      <w:start w:val="1"/>
      <w:numFmt w:val="bullet"/>
      <w:lvlText w:val="•"/>
      <w:lvlJc w:val="left"/>
      <w:pPr>
        <w:tabs>
          <w:tab w:val="num" w:pos="2160"/>
        </w:tabs>
        <w:ind w:left="2160" w:hanging="360"/>
      </w:pPr>
      <w:rPr>
        <w:rFonts w:ascii="Arial" w:hAnsi="Arial" w:hint="default"/>
      </w:rPr>
    </w:lvl>
    <w:lvl w:ilvl="3" w:tplc="5E707678" w:tentative="1">
      <w:start w:val="1"/>
      <w:numFmt w:val="bullet"/>
      <w:lvlText w:val="•"/>
      <w:lvlJc w:val="left"/>
      <w:pPr>
        <w:tabs>
          <w:tab w:val="num" w:pos="2880"/>
        </w:tabs>
        <w:ind w:left="2880" w:hanging="360"/>
      </w:pPr>
      <w:rPr>
        <w:rFonts w:ascii="Arial" w:hAnsi="Arial" w:hint="default"/>
      </w:rPr>
    </w:lvl>
    <w:lvl w:ilvl="4" w:tplc="3C34E658" w:tentative="1">
      <w:start w:val="1"/>
      <w:numFmt w:val="bullet"/>
      <w:lvlText w:val="•"/>
      <w:lvlJc w:val="left"/>
      <w:pPr>
        <w:tabs>
          <w:tab w:val="num" w:pos="3600"/>
        </w:tabs>
        <w:ind w:left="3600" w:hanging="360"/>
      </w:pPr>
      <w:rPr>
        <w:rFonts w:ascii="Arial" w:hAnsi="Arial" w:hint="default"/>
      </w:rPr>
    </w:lvl>
    <w:lvl w:ilvl="5" w:tplc="745A068A" w:tentative="1">
      <w:start w:val="1"/>
      <w:numFmt w:val="bullet"/>
      <w:lvlText w:val="•"/>
      <w:lvlJc w:val="left"/>
      <w:pPr>
        <w:tabs>
          <w:tab w:val="num" w:pos="4320"/>
        </w:tabs>
        <w:ind w:left="4320" w:hanging="360"/>
      </w:pPr>
      <w:rPr>
        <w:rFonts w:ascii="Arial" w:hAnsi="Arial" w:hint="default"/>
      </w:rPr>
    </w:lvl>
    <w:lvl w:ilvl="6" w:tplc="17AA2C1A" w:tentative="1">
      <w:start w:val="1"/>
      <w:numFmt w:val="bullet"/>
      <w:lvlText w:val="•"/>
      <w:lvlJc w:val="left"/>
      <w:pPr>
        <w:tabs>
          <w:tab w:val="num" w:pos="5040"/>
        </w:tabs>
        <w:ind w:left="5040" w:hanging="360"/>
      </w:pPr>
      <w:rPr>
        <w:rFonts w:ascii="Arial" w:hAnsi="Arial" w:hint="default"/>
      </w:rPr>
    </w:lvl>
    <w:lvl w:ilvl="7" w:tplc="38047CE0" w:tentative="1">
      <w:start w:val="1"/>
      <w:numFmt w:val="bullet"/>
      <w:lvlText w:val="•"/>
      <w:lvlJc w:val="left"/>
      <w:pPr>
        <w:tabs>
          <w:tab w:val="num" w:pos="5760"/>
        </w:tabs>
        <w:ind w:left="5760" w:hanging="360"/>
      </w:pPr>
      <w:rPr>
        <w:rFonts w:ascii="Arial" w:hAnsi="Arial" w:hint="default"/>
      </w:rPr>
    </w:lvl>
    <w:lvl w:ilvl="8" w:tplc="01542D6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5B3459"/>
    <w:multiLevelType w:val="hybridMultilevel"/>
    <w:tmpl w:val="DBC47246"/>
    <w:lvl w:ilvl="0" w:tplc="6D68BBCC">
      <w:start w:val="1"/>
      <w:numFmt w:val="bullet"/>
      <w:lvlText w:val="•"/>
      <w:lvlJc w:val="left"/>
      <w:pPr>
        <w:tabs>
          <w:tab w:val="num" w:pos="720"/>
        </w:tabs>
        <w:ind w:left="720" w:hanging="360"/>
      </w:pPr>
      <w:rPr>
        <w:rFonts w:ascii="Arial" w:hAnsi="Arial" w:hint="default"/>
      </w:rPr>
    </w:lvl>
    <w:lvl w:ilvl="1" w:tplc="1D5CAE44" w:tentative="1">
      <w:start w:val="1"/>
      <w:numFmt w:val="bullet"/>
      <w:lvlText w:val="•"/>
      <w:lvlJc w:val="left"/>
      <w:pPr>
        <w:tabs>
          <w:tab w:val="num" w:pos="1440"/>
        </w:tabs>
        <w:ind w:left="1440" w:hanging="360"/>
      </w:pPr>
      <w:rPr>
        <w:rFonts w:ascii="Arial" w:hAnsi="Arial" w:hint="default"/>
      </w:rPr>
    </w:lvl>
    <w:lvl w:ilvl="2" w:tplc="064AA798" w:tentative="1">
      <w:start w:val="1"/>
      <w:numFmt w:val="bullet"/>
      <w:lvlText w:val="•"/>
      <w:lvlJc w:val="left"/>
      <w:pPr>
        <w:tabs>
          <w:tab w:val="num" w:pos="2160"/>
        </w:tabs>
        <w:ind w:left="2160" w:hanging="360"/>
      </w:pPr>
      <w:rPr>
        <w:rFonts w:ascii="Arial" w:hAnsi="Arial" w:hint="default"/>
      </w:rPr>
    </w:lvl>
    <w:lvl w:ilvl="3" w:tplc="F2C40F84" w:tentative="1">
      <w:start w:val="1"/>
      <w:numFmt w:val="bullet"/>
      <w:lvlText w:val="•"/>
      <w:lvlJc w:val="left"/>
      <w:pPr>
        <w:tabs>
          <w:tab w:val="num" w:pos="2880"/>
        </w:tabs>
        <w:ind w:left="2880" w:hanging="360"/>
      </w:pPr>
      <w:rPr>
        <w:rFonts w:ascii="Arial" w:hAnsi="Arial" w:hint="default"/>
      </w:rPr>
    </w:lvl>
    <w:lvl w:ilvl="4" w:tplc="B9DE28C6" w:tentative="1">
      <w:start w:val="1"/>
      <w:numFmt w:val="bullet"/>
      <w:lvlText w:val="•"/>
      <w:lvlJc w:val="left"/>
      <w:pPr>
        <w:tabs>
          <w:tab w:val="num" w:pos="3600"/>
        </w:tabs>
        <w:ind w:left="3600" w:hanging="360"/>
      </w:pPr>
      <w:rPr>
        <w:rFonts w:ascii="Arial" w:hAnsi="Arial" w:hint="default"/>
      </w:rPr>
    </w:lvl>
    <w:lvl w:ilvl="5" w:tplc="AC4EDD72" w:tentative="1">
      <w:start w:val="1"/>
      <w:numFmt w:val="bullet"/>
      <w:lvlText w:val="•"/>
      <w:lvlJc w:val="left"/>
      <w:pPr>
        <w:tabs>
          <w:tab w:val="num" w:pos="4320"/>
        </w:tabs>
        <w:ind w:left="4320" w:hanging="360"/>
      </w:pPr>
      <w:rPr>
        <w:rFonts w:ascii="Arial" w:hAnsi="Arial" w:hint="default"/>
      </w:rPr>
    </w:lvl>
    <w:lvl w:ilvl="6" w:tplc="F2AC4C1E" w:tentative="1">
      <w:start w:val="1"/>
      <w:numFmt w:val="bullet"/>
      <w:lvlText w:val="•"/>
      <w:lvlJc w:val="left"/>
      <w:pPr>
        <w:tabs>
          <w:tab w:val="num" w:pos="5040"/>
        </w:tabs>
        <w:ind w:left="5040" w:hanging="360"/>
      </w:pPr>
      <w:rPr>
        <w:rFonts w:ascii="Arial" w:hAnsi="Arial" w:hint="default"/>
      </w:rPr>
    </w:lvl>
    <w:lvl w:ilvl="7" w:tplc="6E6CB4CA" w:tentative="1">
      <w:start w:val="1"/>
      <w:numFmt w:val="bullet"/>
      <w:lvlText w:val="•"/>
      <w:lvlJc w:val="left"/>
      <w:pPr>
        <w:tabs>
          <w:tab w:val="num" w:pos="5760"/>
        </w:tabs>
        <w:ind w:left="5760" w:hanging="360"/>
      </w:pPr>
      <w:rPr>
        <w:rFonts w:ascii="Arial" w:hAnsi="Arial" w:hint="default"/>
      </w:rPr>
    </w:lvl>
    <w:lvl w:ilvl="8" w:tplc="3F8A21C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B5F6D50"/>
    <w:multiLevelType w:val="hybridMultilevel"/>
    <w:tmpl w:val="C7DCE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2A625BE"/>
    <w:multiLevelType w:val="hybridMultilevel"/>
    <w:tmpl w:val="2BF81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9423DA"/>
    <w:multiLevelType w:val="multilevel"/>
    <w:tmpl w:val="2CCC0E44"/>
    <w:styleLink w:val="ZZNumbersdigit"/>
    <w:lvl w:ilvl="0">
      <w:start w:val="1"/>
      <w:numFmt w:val="decimal"/>
      <w:pStyle w:val="DPCnumberdigit"/>
      <w:lvlText w:val="%1."/>
      <w:lvlJc w:val="left"/>
      <w:pPr>
        <w:tabs>
          <w:tab w:val="num" w:pos="397"/>
        </w:tabs>
        <w:ind w:left="397" w:hanging="397"/>
      </w:pPr>
      <w:rPr>
        <w:rFonts w:hint="default"/>
      </w:rPr>
    </w:lvl>
    <w:lvl w:ilvl="1">
      <w:start w:val="1"/>
      <w:numFmt w:val="lowerLetter"/>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9404BB4"/>
    <w:multiLevelType w:val="hybridMultilevel"/>
    <w:tmpl w:val="E72038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1"/>
    <w:lvlOverride w:ilvl="0">
      <w:lvl w:ilvl="0">
        <w:start w:val="1"/>
        <w:numFmt w:val="bullet"/>
        <w:pStyle w:val="DPCbullet1"/>
        <w:lvlText w:val="▪"/>
        <w:lvlJc w:val="left"/>
        <w:pPr>
          <w:ind w:left="284" w:hanging="284"/>
        </w:pPr>
        <w:rPr>
          <w:rFonts w:hint="default"/>
          <w:color w:val="auto"/>
          <w:sz w:val="24"/>
        </w:rPr>
      </w:lvl>
    </w:lvlOverride>
  </w:num>
  <w:num w:numId="9">
    <w:abstractNumId w:val="30"/>
  </w:num>
  <w:num w:numId="10">
    <w:abstractNumId w:val="14"/>
  </w:num>
  <w:num w:numId="11">
    <w:abstractNumId w:val="27"/>
  </w:num>
  <w:num w:numId="12">
    <w:abstractNumId w:val="15"/>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9"/>
  </w:num>
  <w:num w:numId="19">
    <w:abstractNumId w:val="11"/>
  </w:num>
  <w:num w:numId="20">
    <w:abstractNumId w:val="24"/>
  </w:num>
  <w:num w:numId="21">
    <w:abstractNumId w:val="21"/>
  </w:num>
  <w:num w:numId="22">
    <w:abstractNumId w:val="11"/>
  </w:num>
  <w:num w:numId="23">
    <w:abstractNumId w:val="21"/>
  </w:num>
  <w:num w:numId="24">
    <w:abstractNumId w:val="22"/>
  </w:num>
  <w:num w:numId="25">
    <w:abstractNumId w:val="14"/>
  </w:num>
  <w:num w:numId="26">
    <w:abstractNumId w:val="14"/>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25"/>
  </w:num>
  <w:num w:numId="33">
    <w:abstractNumId w:val="18"/>
  </w:num>
  <w:num w:numId="34">
    <w:abstractNumId w:val="20"/>
  </w:num>
  <w:num w:numId="35">
    <w:abstractNumId w:val="23"/>
  </w:num>
  <w:num w:numId="36">
    <w:abstractNumId w:val="13"/>
  </w:num>
  <w:num w:numId="37">
    <w:abstractNumId w:val="31"/>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CF6"/>
    <w:rsid w:val="00003A77"/>
    <w:rsid w:val="000072B6"/>
    <w:rsid w:val="0001021B"/>
    <w:rsid w:val="00011D89"/>
    <w:rsid w:val="000137AB"/>
    <w:rsid w:val="00024D89"/>
    <w:rsid w:val="0002578B"/>
    <w:rsid w:val="00025E00"/>
    <w:rsid w:val="00033D81"/>
    <w:rsid w:val="00037D82"/>
    <w:rsid w:val="00041BF0"/>
    <w:rsid w:val="0004536B"/>
    <w:rsid w:val="00046B68"/>
    <w:rsid w:val="000527DD"/>
    <w:rsid w:val="00055BC0"/>
    <w:rsid w:val="000578B2"/>
    <w:rsid w:val="00060959"/>
    <w:rsid w:val="000705CF"/>
    <w:rsid w:val="00073684"/>
    <w:rsid w:val="00074219"/>
    <w:rsid w:val="00074ED5"/>
    <w:rsid w:val="000772A4"/>
    <w:rsid w:val="000815CF"/>
    <w:rsid w:val="000820DE"/>
    <w:rsid w:val="0008376A"/>
    <w:rsid w:val="000858F9"/>
    <w:rsid w:val="00090171"/>
    <w:rsid w:val="0009080D"/>
    <w:rsid w:val="00096CD1"/>
    <w:rsid w:val="00097EBE"/>
    <w:rsid w:val="000A012C"/>
    <w:rsid w:val="000A0EB9"/>
    <w:rsid w:val="000A186C"/>
    <w:rsid w:val="000A2AD2"/>
    <w:rsid w:val="000B21ED"/>
    <w:rsid w:val="000B231B"/>
    <w:rsid w:val="000B3B7B"/>
    <w:rsid w:val="000B543D"/>
    <w:rsid w:val="000B5BF7"/>
    <w:rsid w:val="000B6BC8"/>
    <w:rsid w:val="000B6C12"/>
    <w:rsid w:val="000C1CCF"/>
    <w:rsid w:val="000C42EA"/>
    <w:rsid w:val="000C4546"/>
    <w:rsid w:val="000C4E3A"/>
    <w:rsid w:val="000D1242"/>
    <w:rsid w:val="000D3C28"/>
    <w:rsid w:val="000D4EC3"/>
    <w:rsid w:val="000D6103"/>
    <w:rsid w:val="000D707F"/>
    <w:rsid w:val="000D79EA"/>
    <w:rsid w:val="000D7DEE"/>
    <w:rsid w:val="000E3CC7"/>
    <w:rsid w:val="000E6BD4"/>
    <w:rsid w:val="000E6F6A"/>
    <w:rsid w:val="000F1F1E"/>
    <w:rsid w:val="000F2259"/>
    <w:rsid w:val="0010342F"/>
    <w:rsid w:val="0010392D"/>
    <w:rsid w:val="00103E86"/>
    <w:rsid w:val="00104FE3"/>
    <w:rsid w:val="00116AC0"/>
    <w:rsid w:val="00120BD3"/>
    <w:rsid w:val="00122FEA"/>
    <w:rsid w:val="001232BD"/>
    <w:rsid w:val="001244E7"/>
    <w:rsid w:val="00124ED5"/>
    <w:rsid w:val="00133098"/>
    <w:rsid w:val="001447B3"/>
    <w:rsid w:val="00161939"/>
    <w:rsid w:val="00161AA0"/>
    <w:rsid w:val="00162093"/>
    <w:rsid w:val="00162627"/>
    <w:rsid w:val="00164CF0"/>
    <w:rsid w:val="00170742"/>
    <w:rsid w:val="001771DD"/>
    <w:rsid w:val="00177808"/>
    <w:rsid w:val="00177995"/>
    <w:rsid w:val="00177A8C"/>
    <w:rsid w:val="00182144"/>
    <w:rsid w:val="001828F5"/>
    <w:rsid w:val="00186B33"/>
    <w:rsid w:val="00187931"/>
    <w:rsid w:val="00192F9D"/>
    <w:rsid w:val="00193CD0"/>
    <w:rsid w:val="00196EB8"/>
    <w:rsid w:val="001979FF"/>
    <w:rsid w:val="00197B17"/>
    <w:rsid w:val="001A3ACE"/>
    <w:rsid w:val="001B24EF"/>
    <w:rsid w:val="001B5CC1"/>
    <w:rsid w:val="001C1999"/>
    <w:rsid w:val="001C2A72"/>
    <w:rsid w:val="001D0B75"/>
    <w:rsid w:val="001D3C09"/>
    <w:rsid w:val="001D44E8"/>
    <w:rsid w:val="001D4AC4"/>
    <w:rsid w:val="001D60EC"/>
    <w:rsid w:val="001E44DF"/>
    <w:rsid w:val="001E5EDC"/>
    <w:rsid w:val="001E68A5"/>
    <w:rsid w:val="001E76DB"/>
    <w:rsid w:val="001F61D2"/>
    <w:rsid w:val="001F6E46"/>
    <w:rsid w:val="001F7C91"/>
    <w:rsid w:val="002017A7"/>
    <w:rsid w:val="00202850"/>
    <w:rsid w:val="00206463"/>
    <w:rsid w:val="00206F2F"/>
    <w:rsid w:val="0020761D"/>
    <w:rsid w:val="0021053D"/>
    <w:rsid w:val="00210A92"/>
    <w:rsid w:val="00211869"/>
    <w:rsid w:val="00214D82"/>
    <w:rsid w:val="0021681A"/>
    <w:rsid w:val="00216C03"/>
    <w:rsid w:val="00220C04"/>
    <w:rsid w:val="002333F5"/>
    <w:rsid w:val="00235D6F"/>
    <w:rsid w:val="002366BF"/>
    <w:rsid w:val="00237C67"/>
    <w:rsid w:val="00243059"/>
    <w:rsid w:val="00246C5E"/>
    <w:rsid w:val="00246E0C"/>
    <w:rsid w:val="00251343"/>
    <w:rsid w:val="00253641"/>
    <w:rsid w:val="00254F7A"/>
    <w:rsid w:val="002620BC"/>
    <w:rsid w:val="0026396A"/>
    <w:rsid w:val="00263A90"/>
    <w:rsid w:val="0026408B"/>
    <w:rsid w:val="00267C3E"/>
    <w:rsid w:val="002709BB"/>
    <w:rsid w:val="00274EEE"/>
    <w:rsid w:val="002802E3"/>
    <w:rsid w:val="0028146D"/>
    <w:rsid w:val="0028213D"/>
    <w:rsid w:val="00283701"/>
    <w:rsid w:val="002862F1"/>
    <w:rsid w:val="00290A59"/>
    <w:rsid w:val="00290F7E"/>
    <w:rsid w:val="00291373"/>
    <w:rsid w:val="0029597D"/>
    <w:rsid w:val="00295F99"/>
    <w:rsid w:val="002962C3"/>
    <w:rsid w:val="002A00DC"/>
    <w:rsid w:val="002A26E8"/>
    <w:rsid w:val="002A483C"/>
    <w:rsid w:val="002A713A"/>
    <w:rsid w:val="002B1729"/>
    <w:rsid w:val="002B190E"/>
    <w:rsid w:val="002B4DD4"/>
    <w:rsid w:val="002B5277"/>
    <w:rsid w:val="002B580A"/>
    <w:rsid w:val="002B77C1"/>
    <w:rsid w:val="002C26FE"/>
    <w:rsid w:val="002C2728"/>
    <w:rsid w:val="002E01D0"/>
    <w:rsid w:val="002E161D"/>
    <w:rsid w:val="002E6A54"/>
    <w:rsid w:val="002E6C95"/>
    <w:rsid w:val="002E7C36"/>
    <w:rsid w:val="002F32D0"/>
    <w:rsid w:val="002F5F31"/>
    <w:rsid w:val="00302216"/>
    <w:rsid w:val="00302EBD"/>
    <w:rsid w:val="00303E53"/>
    <w:rsid w:val="00306E5F"/>
    <w:rsid w:val="00307E14"/>
    <w:rsid w:val="00314054"/>
    <w:rsid w:val="0031510A"/>
    <w:rsid w:val="00316F27"/>
    <w:rsid w:val="00326A66"/>
    <w:rsid w:val="00327870"/>
    <w:rsid w:val="0033259D"/>
    <w:rsid w:val="00336814"/>
    <w:rsid w:val="003406C6"/>
    <w:rsid w:val="003418CC"/>
    <w:rsid w:val="00342BB6"/>
    <w:rsid w:val="003452D9"/>
    <w:rsid w:val="003457E1"/>
    <w:rsid w:val="003459BD"/>
    <w:rsid w:val="00346073"/>
    <w:rsid w:val="00350D38"/>
    <w:rsid w:val="003744CF"/>
    <w:rsid w:val="00374717"/>
    <w:rsid w:val="0037676C"/>
    <w:rsid w:val="00381450"/>
    <w:rsid w:val="003819DA"/>
    <w:rsid w:val="003829E5"/>
    <w:rsid w:val="00382DEA"/>
    <w:rsid w:val="00386ADC"/>
    <w:rsid w:val="0039185F"/>
    <w:rsid w:val="003956CC"/>
    <w:rsid w:val="00395C9A"/>
    <w:rsid w:val="003A026C"/>
    <w:rsid w:val="003A5639"/>
    <w:rsid w:val="003A6B67"/>
    <w:rsid w:val="003B15E6"/>
    <w:rsid w:val="003B6B63"/>
    <w:rsid w:val="003B6ECA"/>
    <w:rsid w:val="003C2045"/>
    <w:rsid w:val="003C2E6A"/>
    <w:rsid w:val="003C43A1"/>
    <w:rsid w:val="003C4613"/>
    <w:rsid w:val="003C55F4"/>
    <w:rsid w:val="003C7A3F"/>
    <w:rsid w:val="003D1B84"/>
    <w:rsid w:val="003D3E8F"/>
    <w:rsid w:val="003D4352"/>
    <w:rsid w:val="003D6475"/>
    <w:rsid w:val="003E28AD"/>
    <w:rsid w:val="003E375C"/>
    <w:rsid w:val="003E42AA"/>
    <w:rsid w:val="003E6FA6"/>
    <w:rsid w:val="003F0445"/>
    <w:rsid w:val="003F0CF0"/>
    <w:rsid w:val="003F3289"/>
    <w:rsid w:val="003F60CA"/>
    <w:rsid w:val="00401FCF"/>
    <w:rsid w:val="004148F9"/>
    <w:rsid w:val="0042084E"/>
    <w:rsid w:val="00424D65"/>
    <w:rsid w:val="00431951"/>
    <w:rsid w:val="00435D7D"/>
    <w:rsid w:val="00436F62"/>
    <w:rsid w:val="00442C6C"/>
    <w:rsid w:val="00443CBE"/>
    <w:rsid w:val="004441BC"/>
    <w:rsid w:val="00444809"/>
    <w:rsid w:val="004450DF"/>
    <w:rsid w:val="00445BA1"/>
    <w:rsid w:val="00450B0D"/>
    <w:rsid w:val="00451575"/>
    <w:rsid w:val="0045230A"/>
    <w:rsid w:val="00454616"/>
    <w:rsid w:val="00454B16"/>
    <w:rsid w:val="00456100"/>
    <w:rsid w:val="00457337"/>
    <w:rsid w:val="0046021C"/>
    <w:rsid w:val="0046522F"/>
    <w:rsid w:val="0046658A"/>
    <w:rsid w:val="0047156E"/>
    <w:rsid w:val="0047372D"/>
    <w:rsid w:val="004743DD"/>
    <w:rsid w:val="00474CEA"/>
    <w:rsid w:val="00476824"/>
    <w:rsid w:val="00483968"/>
    <w:rsid w:val="00484F86"/>
    <w:rsid w:val="00490746"/>
    <w:rsid w:val="00490852"/>
    <w:rsid w:val="004909D3"/>
    <w:rsid w:val="004911A0"/>
    <w:rsid w:val="004946F4"/>
    <w:rsid w:val="0049487E"/>
    <w:rsid w:val="004A3A8E"/>
    <w:rsid w:val="004A3E81"/>
    <w:rsid w:val="004A4284"/>
    <w:rsid w:val="004A5C62"/>
    <w:rsid w:val="004A6D01"/>
    <w:rsid w:val="004A707D"/>
    <w:rsid w:val="004B350E"/>
    <w:rsid w:val="004C5E3A"/>
    <w:rsid w:val="004C6EEE"/>
    <w:rsid w:val="004C702B"/>
    <w:rsid w:val="004D016B"/>
    <w:rsid w:val="004D1B22"/>
    <w:rsid w:val="004D369E"/>
    <w:rsid w:val="004D36F2"/>
    <w:rsid w:val="004E4649"/>
    <w:rsid w:val="004E5C2B"/>
    <w:rsid w:val="004F00DD"/>
    <w:rsid w:val="004F1800"/>
    <w:rsid w:val="004F2133"/>
    <w:rsid w:val="004F55F1"/>
    <w:rsid w:val="004F6936"/>
    <w:rsid w:val="00501351"/>
    <w:rsid w:val="00503DC6"/>
    <w:rsid w:val="005061AB"/>
    <w:rsid w:val="00506F5D"/>
    <w:rsid w:val="00510D89"/>
    <w:rsid w:val="005126D0"/>
    <w:rsid w:val="00520AB8"/>
    <w:rsid w:val="0052195A"/>
    <w:rsid w:val="0052612F"/>
    <w:rsid w:val="00526865"/>
    <w:rsid w:val="00530218"/>
    <w:rsid w:val="00530545"/>
    <w:rsid w:val="00536499"/>
    <w:rsid w:val="00543903"/>
    <w:rsid w:val="0054567F"/>
    <w:rsid w:val="00546E29"/>
    <w:rsid w:val="00546E7C"/>
    <w:rsid w:val="00547A95"/>
    <w:rsid w:val="005514C5"/>
    <w:rsid w:val="00555B7E"/>
    <w:rsid w:val="00557AEB"/>
    <w:rsid w:val="00572031"/>
    <w:rsid w:val="005755EB"/>
    <w:rsid w:val="0057566B"/>
    <w:rsid w:val="00575F25"/>
    <w:rsid w:val="00576E84"/>
    <w:rsid w:val="00581CF6"/>
    <w:rsid w:val="0058757E"/>
    <w:rsid w:val="00596A4B"/>
    <w:rsid w:val="00597507"/>
    <w:rsid w:val="005A7647"/>
    <w:rsid w:val="005B2161"/>
    <w:rsid w:val="005B21B6"/>
    <w:rsid w:val="005B7A63"/>
    <w:rsid w:val="005C42BA"/>
    <w:rsid w:val="005C49DA"/>
    <w:rsid w:val="005C50F3"/>
    <w:rsid w:val="005C5D91"/>
    <w:rsid w:val="005D07B8"/>
    <w:rsid w:val="005D2C74"/>
    <w:rsid w:val="005D5385"/>
    <w:rsid w:val="005D6597"/>
    <w:rsid w:val="005E14E7"/>
    <w:rsid w:val="005E1B3C"/>
    <w:rsid w:val="005E37A4"/>
    <w:rsid w:val="005E4097"/>
    <w:rsid w:val="005E447E"/>
    <w:rsid w:val="005F0775"/>
    <w:rsid w:val="005F0CF5"/>
    <w:rsid w:val="005F21EB"/>
    <w:rsid w:val="005F2BE3"/>
    <w:rsid w:val="00605908"/>
    <w:rsid w:val="00610D7C"/>
    <w:rsid w:val="00613414"/>
    <w:rsid w:val="00617CEC"/>
    <w:rsid w:val="0062408D"/>
    <w:rsid w:val="006267A9"/>
    <w:rsid w:val="00627DA7"/>
    <w:rsid w:val="006358B4"/>
    <w:rsid w:val="006371A6"/>
    <w:rsid w:val="006419AA"/>
    <w:rsid w:val="00644B1D"/>
    <w:rsid w:val="00644B7E"/>
    <w:rsid w:val="00646A68"/>
    <w:rsid w:val="0065092E"/>
    <w:rsid w:val="006557A7"/>
    <w:rsid w:val="00656290"/>
    <w:rsid w:val="00657303"/>
    <w:rsid w:val="006621D7"/>
    <w:rsid w:val="0066302A"/>
    <w:rsid w:val="00666698"/>
    <w:rsid w:val="00670597"/>
    <w:rsid w:val="00673388"/>
    <w:rsid w:val="00673A34"/>
    <w:rsid w:val="006768DF"/>
    <w:rsid w:val="00677574"/>
    <w:rsid w:val="0068454C"/>
    <w:rsid w:val="00691B62"/>
    <w:rsid w:val="00697820"/>
    <w:rsid w:val="006A18C2"/>
    <w:rsid w:val="006A2472"/>
    <w:rsid w:val="006B077C"/>
    <w:rsid w:val="006C04A3"/>
    <w:rsid w:val="006D09A5"/>
    <w:rsid w:val="006D27E0"/>
    <w:rsid w:val="006D2A3F"/>
    <w:rsid w:val="006E138B"/>
    <w:rsid w:val="006E1BAD"/>
    <w:rsid w:val="006E2ECF"/>
    <w:rsid w:val="006F1FDC"/>
    <w:rsid w:val="006F36B5"/>
    <w:rsid w:val="007013EF"/>
    <w:rsid w:val="007023E0"/>
    <w:rsid w:val="00702B10"/>
    <w:rsid w:val="007165EF"/>
    <w:rsid w:val="007216AA"/>
    <w:rsid w:val="00721AB5"/>
    <w:rsid w:val="00721DEF"/>
    <w:rsid w:val="00722719"/>
    <w:rsid w:val="00724A43"/>
    <w:rsid w:val="00726BD9"/>
    <w:rsid w:val="007301EB"/>
    <w:rsid w:val="007309B9"/>
    <w:rsid w:val="007346E4"/>
    <w:rsid w:val="00735D59"/>
    <w:rsid w:val="00740F22"/>
    <w:rsid w:val="00741151"/>
    <w:rsid w:val="00741F1A"/>
    <w:rsid w:val="00741FE7"/>
    <w:rsid w:val="007450F8"/>
    <w:rsid w:val="0074696E"/>
    <w:rsid w:val="00750135"/>
    <w:rsid w:val="0075285D"/>
    <w:rsid w:val="0075478C"/>
    <w:rsid w:val="00754E36"/>
    <w:rsid w:val="00763139"/>
    <w:rsid w:val="0076737C"/>
    <w:rsid w:val="00772D5E"/>
    <w:rsid w:val="00776928"/>
    <w:rsid w:val="00782A3B"/>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EA2"/>
    <w:rsid w:val="007D4D5A"/>
    <w:rsid w:val="007E0DE2"/>
    <w:rsid w:val="007E5373"/>
    <w:rsid w:val="007F31B6"/>
    <w:rsid w:val="007F3263"/>
    <w:rsid w:val="007F3892"/>
    <w:rsid w:val="007F546C"/>
    <w:rsid w:val="007F665E"/>
    <w:rsid w:val="00800412"/>
    <w:rsid w:val="00801EEF"/>
    <w:rsid w:val="00804F52"/>
    <w:rsid w:val="0080587B"/>
    <w:rsid w:val="00806468"/>
    <w:rsid w:val="00811562"/>
    <w:rsid w:val="008115BD"/>
    <w:rsid w:val="00812C49"/>
    <w:rsid w:val="008166BA"/>
    <w:rsid w:val="00816735"/>
    <w:rsid w:val="00820141"/>
    <w:rsid w:val="00820E0C"/>
    <w:rsid w:val="008260DA"/>
    <w:rsid w:val="008325E2"/>
    <w:rsid w:val="00840E08"/>
    <w:rsid w:val="008516F2"/>
    <w:rsid w:val="00852EE6"/>
    <w:rsid w:val="00853CF6"/>
    <w:rsid w:val="00853EE4"/>
    <w:rsid w:val="00855535"/>
    <w:rsid w:val="00860662"/>
    <w:rsid w:val="00862A6E"/>
    <w:rsid w:val="008633F0"/>
    <w:rsid w:val="00867D9D"/>
    <w:rsid w:val="00872E0A"/>
    <w:rsid w:val="00875285"/>
    <w:rsid w:val="008770B0"/>
    <w:rsid w:val="00884B62"/>
    <w:rsid w:val="0088529C"/>
    <w:rsid w:val="008903D6"/>
    <w:rsid w:val="00892553"/>
    <w:rsid w:val="0089270A"/>
    <w:rsid w:val="00893AF6"/>
    <w:rsid w:val="00894BC4"/>
    <w:rsid w:val="008A07A8"/>
    <w:rsid w:val="008A658B"/>
    <w:rsid w:val="008A6BAC"/>
    <w:rsid w:val="008B2EE4"/>
    <w:rsid w:val="008B4D3D"/>
    <w:rsid w:val="008B57C7"/>
    <w:rsid w:val="008C2F92"/>
    <w:rsid w:val="008C748D"/>
    <w:rsid w:val="008D4236"/>
    <w:rsid w:val="008D462F"/>
    <w:rsid w:val="008E4376"/>
    <w:rsid w:val="008F765E"/>
    <w:rsid w:val="00900719"/>
    <w:rsid w:val="00900AC0"/>
    <w:rsid w:val="00906490"/>
    <w:rsid w:val="009111B2"/>
    <w:rsid w:val="00924AE1"/>
    <w:rsid w:val="009269B1"/>
    <w:rsid w:val="00937BD9"/>
    <w:rsid w:val="009500F3"/>
    <w:rsid w:val="00950E2C"/>
    <w:rsid w:val="00951D50"/>
    <w:rsid w:val="009525EB"/>
    <w:rsid w:val="0096029D"/>
    <w:rsid w:val="00961400"/>
    <w:rsid w:val="00962F44"/>
    <w:rsid w:val="00963646"/>
    <w:rsid w:val="009700DD"/>
    <w:rsid w:val="0097122E"/>
    <w:rsid w:val="00973EC3"/>
    <w:rsid w:val="009817CA"/>
    <w:rsid w:val="009853E1"/>
    <w:rsid w:val="00985C11"/>
    <w:rsid w:val="00986E6B"/>
    <w:rsid w:val="0099137C"/>
    <w:rsid w:val="00991769"/>
    <w:rsid w:val="00994386"/>
    <w:rsid w:val="00996541"/>
    <w:rsid w:val="0099789A"/>
    <w:rsid w:val="009A279E"/>
    <w:rsid w:val="009B0A6F"/>
    <w:rsid w:val="009B4852"/>
    <w:rsid w:val="009B59E9"/>
    <w:rsid w:val="009C09C5"/>
    <w:rsid w:val="009C0C92"/>
    <w:rsid w:val="009C7A7E"/>
    <w:rsid w:val="009D02E8"/>
    <w:rsid w:val="009D51D0"/>
    <w:rsid w:val="009D70A4"/>
    <w:rsid w:val="009E0371"/>
    <w:rsid w:val="009E08D1"/>
    <w:rsid w:val="009E1B95"/>
    <w:rsid w:val="009E496F"/>
    <w:rsid w:val="009E4B0D"/>
    <w:rsid w:val="009E6CCD"/>
    <w:rsid w:val="009E6FE6"/>
    <w:rsid w:val="009E7F92"/>
    <w:rsid w:val="009F02A3"/>
    <w:rsid w:val="009F2F27"/>
    <w:rsid w:val="009F6BCB"/>
    <w:rsid w:val="009F738B"/>
    <w:rsid w:val="009F7B78"/>
    <w:rsid w:val="00A0057A"/>
    <w:rsid w:val="00A042C7"/>
    <w:rsid w:val="00A113E3"/>
    <w:rsid w:val="00A11421"/>
    <w:rsid w:val="00A157B1"/>
    <w:rsid w:val="00A22229"/>
    <w:rsid w:val="00A26D07"/>
    <w:rsid w:val="00A34DFE"/>
    <w:rsid w:val="00A4459D"/>
    <w:rsid w:val="00A44882"/>
    <w:rsid w:val="00A455A0"/>
    <w:rsid w:val="00A542F6"/>
    <w:rsid w:val="00A54715"/>
    <w:rsid w:val="00A6061C"/>
    <w:rsid w:val="00A62D44"/>
    <w:rsid w:val="00A65EC6"/>
    <w:rsid w:val="00A65FEE"/>
    <w:rsid w:val="00A7161C"/>
    <w:rsid w:val="00A72BD2"/>
    <w:rsid w:val="00A77AA3"/>
    <w:rsid w:val="00A8002A"/>
    <w:rsid w:val="00A81239"/>
    <w:rsid w:val="00A872E5"/>
    <w:rsid w:val="00A90B1B"/>
    <w:rsid w:val="00A941F5"/>
    <w:rsid w:val="00A94887"/>
    <w:rsid w:val="00A94D53"/>
    <w:rsid w:val="00A95E3B"/>
    <w:rsid w:val="00A96067"/>
    <w:rsid w:val="00A9658F"/>
    <w:rsid w:val="00A96E65"/>
    <w:rsid w:val="00A97C72"/>
    <w:rsid w:val="00AA63D4"/>
    <w:rsid w:val="00AB06E8"/>
    <w:rsid w:val="00AB1CD3"/>
    <w:rsid w:val="00AB352F"/>
    <w:rsid w:val="00AB5739"/>
    <w:rsid w:val="00AB7405"/>
    <w:rsid w:val="00AC098B"/>
    <w:rsid w:val="00AC1391"/>
    <w:rsid w:val="00AC274B"/>
    <w:rsid w:val="00AC2A37"/>
    <w:rsid w:val="00AC6D36"/>
    <w:rsid w:val="00AD0CBA"/>
    <w:rsid w:val="00AD167B"/>
    <w:rsid w:val="00AD26E2"/>
    <w:rsid w:val="00AD2ED9"/>
    <w:rsid w:val="00AD525E"/>
    <w:rsid w:val="00AD5B74"/>
    <w:rsid w:val="00AD5CEE"/>
    <w:rsid w:val="00AD6D6E"/>
    <w:rsid w:val="00AE126A"/>
    <w:rsid w:val="00AE3005"/>
    <w:rsid w:val="00AE3B0A"/>
    <w:rsid w:val="00AE3BAA"/>
    <w:rsid w:val="00AE51EF"/>
    <w:rsid w:val="00AE59A0"/>
    <w:rsid w:val="00AF0C57"/>
    <w:rsid w:val="00AF26F3"/>
    <w:rsid w:val="00AF6CCD"/>
    <w:rsid w:val="00B00672"/>
    <w:rsid w:val="00B01B4D"/>
    <w:rsid w:val="00B01E7E"/>
    <w:rsid w:val="00B04610"/>
    <w:rsid w:val="00B05FF2"/>
    <w:rsid w:val="00B06571"/>
    <w:rsid w:val="00B068BA"/>
    <w:rsid w:val="00B13851"/>
    <w:rsid w:val="00B13B1C"/>
    <w:rsid w:val="00B1672F"/>
    <w:rsid w:val="00B22291"/>
    <w:rsid w:val="00B23BCB"/>
    <w:rsid w:val="00B2417B"/>
    <w:rsid w:val="00B24E6F"/>
    <w:rsid w:val="00B26CB5"/>
    <w:rsid w:val="00B27256"/>
    <w:rsid w:val="00B2739C"/>
    <w:rsid w:val="00B2752E"/>
    <w:rsid w:val="00B307CC"/>
    <w:rsid w:val="00B30DA8"/>
    <w:rsid w:val="00B44A60"/>
    <w:rsid w:val="00B45141"/>
    <w:rsid w:val="00B5273A"/>
    <w:rsid w:val="00B53B5C"/>
    <w:rsid w:val="00B54248"/>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615"/>
    <w:rsid w:val="00BA2885"/>
    <w:rsid w:val="00BA31B6"/>
    <w:rsid w:val="00BA718C"/>
    <w:rsid w:val="00BB5CF9"/>
    <w:rsid w:val="00BB7A10"/>
    <w:rsid w:val="00BC366E"/>
    <w:rsid w:val="00BC5F4D"/>
    <w:rsid w:val="00BC7D4F"/>
    <w:rsid w:val="00BC7ED7"/>
    <w:rsid w:val="00BD2850"/>
    <w:rsid w:val="00BE28D2"/>
    <w:rsid w:val="00BF3861"/>
    <w:rsid w:val="00BF7F58"/>
    <w:rsid w:val="00C00C7D"/>
    <w:rsid w:val="00C01381"/>
    <w:rsid w:val="00C01C86"/>
    <w:rsid w:val="00C0527D"/>
    <w:rsid w:val="00C079B8"/>
    <w:rsid w:val="00C07B16"/>
    <w:rsid w:val="00C123EA"/>
    <w:rsid w:val="00C12A49"/>
    <w:rsid w:val="00C133EE"/>
    <w:rsid w:val="00C160A6"/>
    <w:rsid w:val="00C177D8"/>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77DC5"/>
    <w:rsid w:val="00C80BD8"/>
    <w:rsid w:val="00C863C4"/>
    <w:rsid w:val="00C87161"/>
    <w:rsid w:val="00C93C3E"/>
    <w:rsid w:val="00C952A3"/>
    <w:rsid w:val="00CA12E3"/>
    <w:rsid w:val="00CA192C"/>
    <w:rsid w:val="00CA6611"/>
    <w:rsid w:val="00CB177C"/>
    <w:rsid w:val="00CB5B6B"/>
    <w:rsid w:val="00CC16C2"/>
    <w:rsid w:val="00CC2BFD"/>
    <w:rsid w:val="00CD26B2"/>
    <w:rsid w:val="00CD3476"/>
    <w:rsid w:val="00CD64DF"/>
    <w:rsid w:val="00CE61C2"/>
    <w:rsid w:val="00CE750D"/>
    <w:rsid w:val="00CF10EA"/>
    <w:rsid w:val="00CF2F50"/>
    <w:rsid w:val="00CF3C87"/>
    <w:rsid w:val="00CF4A60"/>
    <w:rsid w:val="00D02919"/>
    <w:rsid w:val="00D04C61"/>
    <w:rsid w:val="00D04D8E"/>
    <w:rsid w:val="00D052C4"/>
    <w:rsid w:val="00D05B8D"/>
    <w:rsid w:val="00D07EC0"/>
    <w:rsid w:val="00D07F00"/>
    <w:rsid w:val="00D102B5"/>
    <w:rsid w:val="00D208B9"/>
    <w:rsid w:val="00D21873"/>
    <w:rsid w:val="00D33E72"/>
    <w:rsid w:val="00D35BD6"/>
    <w:rsid w:val="00D361B5"/>
    <w:rsid w:val="00D411A2"/>
    <w:rsid w:val="00D41449"/>
    <w:rsid w:val="00D44679"/>
    <w:rsid w:val="00D4481D"/>
    <w:rsid w:val="00D50B9C"/>
    <w:rsid w:val="00D52D73"/>
    <w:rsid w:val="00D52E58"/>
    <w:rsid w:val="00D52EEE"/>
    <w:rsid w:val="00D5536B"/>
    <w:rsid w:val="00D56C68"/>
    <w:rsid w:val="00D63B42"/>
    <w:rsid w:val="00D714CC"/>
    <w:rsid w:val="00D75EA7"/>
    <w:rsid w:val="00D809EE"/>
    <w:rsid w:val="00D81F21"/>
    <w:rsid w:val="00D85CC8"/>
    <w:rsid w:val="00D95470"/>
    <w:rsid w:val="00D9692F"/>
    <w:rsid w:val="00D97CC0"/>
    <w:rsid w:val="00DA218D"/>
    <w:rsid w:val="00DA2619"/>
    <w:rsid w:val="00DA4239"/>
    <w:rsid w:val="00DB0B61"/>
    <w:rsid w:val="00DB314A"/>
    <w:rsid w:val="00DB38CA"/>
    <w:rsid w:val="00DB5836"/>
    <w:rsid w:val="00DB6419"/>
    <w:rsid w:val="00DB64FE"/>
    <w:rsid w:val="00DC090B"/>
    <w:rsid w:val="00DC18CA"/>
    <w:rsid w:val="00DC2CDC"/>
    <w:rsid w:val="00DC2CF1"/>
    <w:rsid w:val="00DC4FCF"/>
    <w:rsid w:val="00DC50E0"/>
    <w:rsid w:val="00DC6386"/>
    <w:rsid w:val="00DC65FC"/>
    <w:rsid w:val="00DD1130"/>
    <w:rsid w:val="00DD1951"/>
    <w:rsid w:val="00DD24AB"/>
    <w:rsid w:val="00DD2672"/>
    <w:rsid w:val="00DD3E6F"/>
    <w:rsid w:val="00DD6628"/>
    <w:rsid w:val="00DE3250"/>
    <w:rsid w:val="00DE43B1"/>
    <w:rsid w:val="00DE6028"/>
    <w:rsid w:val="00DE78A3"/>
    <w:rsid w:val="00DF1A71"/>
    <w:rsid w:val="00DF68C7"/>
    <w:rsid w:val="00E01976"/>
    <w:rsid w:val="00E02DF6"/>
    <w:rsid w:val="00E170DC"/>
    <w:rsid w:val="00E26818"/>
    <w:rsid w:val="00E26837"/>
    <w:rsid w:val="00E27FFC"/>
    <w:rsid w:val="00E30B15"/>
    <w:rsid w:val="00E37012"/>
    <w:rsid w:val="00E40181"/>
    <w:rsid w:val="00E46998"/>
    <w:rsid w:val="00E5090F"/>
    <w:rsid w:val="00E5229A"/>
    <w:rsid w:val="00E53445"/>
    <w:rsid w:val="00E537C3"/>
    <w:rsid w:val="00E53E59"/>
    <w:rsid w:val="00E55066"/>
    <w:rsid w:val="00E55734"/>
    <w:rsid w:val="00E604DA"/>
    <w:rsid w:val="00E61DDE"/>
    <w:rsid w:val="00E629A1"/>
    <w:rsid w:val="00E63343"/>
    <w:rsid w:val="00E71576"/>
    <w:rsid w:val="00E7578A"/>
    <w:rsid w:val="00E767FD"/>
    <w:rsid w:val="00E82C55"/>
    <w:rsid w:val="00E851B1"/>
    <w:rsid w:val="00E87E47"/>
    <w:rsid w:val="00E92AC3"/>
    <w:rsid w:val="00E952D3"/>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05081"/>
    <w:rsid w:val="00F11037"/>
    <w:rsid w:val="00F20338"/>
    <w:rsid w:val="00F22EF4"/>
    <w:rsid w:val="00F24C8D"/>
    <w:rsid w:val="00F250A9"/>
    <w:rsid w:val="00F30FF4"/>
    <w:rsid w:val="00F331AD"/>
    <w:rsid w:val="00F43A37"/>
    <w:rsid w:val="00F4641B"/>
    <w:rsid w:val="00F46EB8"/>
    <w:rsid w:val="00F47277"/>
    <w:rsid w:val="00F47826"/>
    <w:rsid w:val="00F50006"/>
    <w:rsid w:val="00F511E4"/>
    <w:rsid w:val="00F52D09"/>
    <w:rsid w:val="00F52E08"/>
    <w:rsid w:val="00F53D0B"/>
    <w:rsid w:val="00F55B21"/>
    <w:rsid w:val="00F56EF6"/>
    <w:rsid w:val="00F64696"/>
    <w:rsid w:val="00F65AA9"/>
    <w:rsid w:val="00F6768F"/>
    <w:rsid w:val="00F72C2C"/>
    <w:rsid w:val="00F73838"/>
    <w:rsid w:val="00F75524"/>
    <w:rsid w:val="00F75D67"/>
    <w:rsid w:val="00F76CAB"/>
    <w:rsid w:val="00F772C6"/>
    <w:rsid w:val="00F77B29"/>
    <w:rsid w:val="00F85195"/>
    <w:rsid w:val="00F879E1"/>
    <w:rsid w:val="00F92C6D"/>
    <w:rsid w:val="00F938BA"/>
    <w:rsid w:val="00F94A4E"/>
    <w:rsid w:val="00F9697E"/>
    <w:rsid w:val="00FA2C46"/>
    <w:rsid w:val="00FA406E"/>
    <w:rsid w:val="00FB4CDA"/>
    <w:rsid w:val="00FB6533"/>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E3D344F"/>
  <w15:docId w15:val="{60722FA1-EFEB-4F73-9292-13ABBBA4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A90B1B"/>
    <w:pPr>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C80BD8"/>
    <w:pPr>
      <w:keepNext/>
      <w:keepLines/>
      <w:spacing w:before="4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unhideWhenUsed/>
    <w:qFormat/>
    <w:rsid w:val="00C80BD8"/>
    <w:pPr>
      <w:keepNext/>
      <w:keepLines/>
      <w:spacing w:before="4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unhideWhenUsed/>
    <w:qFormat/>
    <w:rsid w:val="00C80B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0B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A90B1B"/>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133098"/>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26"/>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3"/>
    <w:rsid w:val="00526865"/>
    <w:pPr>
      <w:numPr>
        <w:numId w:val="26"/>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21"/>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paragraph" w:customStyle="1" w:styleId="DPCbullethyperlink">
    <w:name w:val="DPC bullet hyperlink"/>
    <w:basedOn w:val="DPCbullet1"/>
    <w:uiPriority w:val="11"/>
    <w:rsid w:val="00501351"/>
    <w:pPr>
      <w:numPr>
        <w:numId w:val="24"/>
      </w:numPr>
      <w:ind w:left="360"/>
    </w:pPr>
    <w:rPr>
      <w:color w:val="auto"/>
      <w:u w:val="dotted" w:color="0072CE" w:themeColor="accent1"/>
    </w:rPr>
  </w:style>
  <w:style w:type="paragraph" w:styleId="BalloonText">
    <w:name w:val="Balloon Text"/>
    <w:basedOn w:val="Normal"/>
    <w:link w:val="BalloonTextChar"/>
    <w:uiPriority w:val="99"/>
    <w:semiHidden/>
    <w:unhideWhenUsed/>
    <w:rsid w:val="009F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8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E55066"/>
    <w:rPr>
      <w:sz w:val="16"/>
      <w:szCs w:val="16"/>
    </w:rPr>
  </w:style>
  <w:style w:type="paragraph" w:styleId="CommentText">
    <w:name w:val="annotation text"/>
    <w:basedOn w:val="Normal"/>
    <w:link w:val="CommentTextChar"/>
    <w:uiPriority w:val="99"/>
    <w:semiHidden/>
    <w:unhideWhenUsed/>
    <w:rsid w:val="00E55066"/>
  </w:style>
  <w:style w:type="character" w:customStyle="1" w:styleId="CommentTextChar">
    <w:name w:val="Comment Text Char"/>
    <w:basedOn w:val="DefaultParagraphFont"/>
    <w:link w:val="CommentText"/>
    <w:uiPriority w:val="99"/>
    <w:semiHidden/>
    <w:rsid w:val="00E5506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55066"/>
    <w:rPr>
      <w:b/>
      <w:bCs/>
    </w:rPr>
  </w:style>
  <w:style w:type="character" w:customStyle="1" w:styleId="CommentSubjectChar">
    <w:name w:val="Comment Subject Char"/>
    <w:basedOn w:val="CommentTextChar"/>
    <w:link w:val="CommentSubject"/>
    <w:uiPriority w:val="99"/>
    <w:semiHidden/>
    <w:rsid w:val="00E55066"/>
    <w:rPr>
      <w:rFonts w:ascii="Cambria" w:hAnsi="Cambria"/>
      <w:b/>
      <w:bCs/>
      <w:lang w:eastAsia="en-US"/>
    </w:rPr>
  </w:style>
  <w:style w:type="paragraph" w:styleId="ListParagraph">
    <w:name w:val="List Paragraph"/>
    <w:basedOn w:val="Normal"/>
    <w:uiPriority w:val="34"/>
    <w:qFormat/>
    <w:rsid w:val="00246E0C"/>
    <w:pPr>
      <w:ind w:left="720"/>
      <w:contextualSpacing/>
    </w:pPr>
    <w:rPr>
      <w:rFonts w:ascii="Times New Roman" w:hAnsi="Times New Roman"/>
      <w:sz w:val="24"/>
      <w:szCs w:val="24"/>
      <w:lang w:eastAsia="en-AU"/>
    </w:rPr>
  </w:style>
  <w:style w:type="character" w:styleId="Emphasis">
    <w:name w:val="Emphasis"/>
    <w:basedOn w:val="DefaultParagraphFont"/>
    <w:uiPriority w:val="20"/>
    <w:qFormat/>
    <w:rsid w:val="00A90B1B"/>
    <w:rPr>
      <w:i/>
      <w:iCs/>
    </w:rPr>
  </w:style>
  <w:style w:type="paragraph" w:styleId="IntenseQuote">
    <w:name w:val="Intense Quote"/>
    <w:basedOn w:val="Normal"/>
    <w:next w:val="Normal"/>
    <w:link w:val="IntenseQuoteChar"/>
    <w:uiPriority w:val="60"/>
    <w:qFormat/>
    <w:rsid w:val="00F75D67"/>
    <w:pPr>
      <w:pBdr>
        <w:top w:val="single" w:sz="4" w:space="10" w:color="0072CE" w:themeColor="accent1"/>
        <w:bottom w:val="single" w:sz="4" w:space="10" w:color="0072CE" w:themeColor="accent1"/>
      </w:pBdr>
      <w:spacing w:before="360" w:after="360"/>
      <w:ind w:left="864" w:right="864"/>
      <w:jc w:val="center"/>
    </w:pPr>
    <w:rPr>
      <w:i/>
      <w:iCs/>
      <w:color w:val="0072CE" w:themeColor="accent1"/>
    </w:rPr>
  </w:style>
  <w:style w:type="character" w:customStyle="1" w:styleId="IntenseQuoteChar">
    <w:name w:val="Intense Quote Char"/>
    <w:basedOn w:val="DefaultParagraphFont"/>
    <w:link w:val="IntenseQuote"/>
    <w:uiPriority w:val="60"/>
    <w:rsid w:val="00F75D67"/>
    <w:rPr>
      <w:rFonts w:ascii="Cambria" w:hAnsi="Cambria"/>
      <w:i/>
      <w:iCs/>
      <w:color w:val="0072CE" w:themeColor="accent1"/>
      <w:lang w:eastAsia="en-US"/>
    </w:rPr>
  </w:style>
  <w:style w:type="character" w:customStyle="1" w:styleId="UnresolvedMention1">
    <w:name w:val="Unresolved Mention1"/>
    <w:basedOn w:val="DefaultParagraphFont"/>
    <w:uiPriority w:val="99"/>
    <w:semiHidden/>
    <w:unhideWhenUsed/>
    <w:rsid w:val="00F50006"/>
    <w:rPr>
      <w:color w:val="808080"/>
      <w:shd w:val="clear" w:color="auto" w:fill="E6E6E6"/>
    </w:rPr>
  </w:style>
  <w:style w:type="character" w:styleId="UnresolvedMention">
    <w:name w:val="Unresolved Mention"/>
    <w:basedOn w:val="DefaultParagraphFont"/>
    <w:uiPriority w:val="99"/>
    <w:semiHidden/>
    <w:unhideWhenUsed/>
    <w:rsid w:val="002C26FE"/>
    <w:rPr>
      <w:color w:val="605E5C"/>
      <w:shd w:val="clear" w:color="auto" w:fill="E1DFDD"/>
    </w:rPr>
  </w:style>
  <w:style w:type="paragraph" w:styleId="Bibliography">
    <w:name w:val="Bibliography"/>
    <w:basedOn w:val="Normal"/>
    <w:next w:val="Normal"/>
    <w:uiPriority w:val="70"/>
    <w:semiHidden/>
    <w:rsid w:val="00C80BD8"/>
  </w:style>
  <w:style w:type="paragraph" w:styleId="BlockText">
    <w:name w:val="Block Text"/>
    <w:basedOn w:val="Normal"/>
    <w:uiPriority w:val="99"/>
    <w:semiHidden/>
    <w:unhideWhenUsed/>
    <w:rsid w:val="00C80BD8"/>
    <w:pPr>
      <w:pBdr>
        <w:top w:val="single" w:sz="2" w:space="10" w:color="0072CE" w:themeColor="accent1"/>
        <w:left w:val="single" w:sz="2" w:space="10" w:color="0072CE" w:themeColor="accent1"/>
        <w:bottom w:val="single" w:sz="2" w:space="10" w:color="0072CE" w:themeColor="accent1"/>
        <w:right w:val="single" w:sz="2" w:space="10" w:color="0072CE" w:themeColor="accent1"/>
      </w:pBdr>
      <w:ind w:left="1152" w:right="1152"/>
    </w:pPr>
    <w:rPr>
      <w:rFonts w:asciiTheme="minorHAnsi" w:eastAsiaTheme="minorEastAsia" w:hAnsiTheme="minorHAnsi" w:cstheme="minorBidi"/>
      <w:i/>
      <w:iCs/>
      <w:color w:val="0072CE" w:themeColor="accent1"/>
    </w:rPr>
  </w:style>
  <w:style w:type="paragraph" w:styleId="BodyText">
    <w:name w:val="Body Text"/>
    <w:basedOn w:val="Normal"/>
    <w:link w:val="BodyTextChar"/>
    <w:uiPriority w:val="99"/>
    <w:semiHidden/>
    <w:unhideWhenUsed/>
    <w:rsid w:val="00C80BD8"/>
    <w:pPr>
      <w:spacing w:after="120"/>
    </w:pPr>
  </w:style>
  <w:style w:type="character" w:customStyle="1" w:styleId="BodyTextChar">
    <w:name w:val="Body Text Char"/>
    <w:basedOn w:val="DefaultParagraphFont"/>
    <w:link w:val="BodyText"/>
    <w:uiPriority w:val="99"/>
    <w:semiHidden/>
    <w:rsid w:val="00C80BD8"/>
    <w:rPr>
      <w:rFonts w:ascii="Cambria" w:hAnsi="Cambria"/>
      <w:lang w:eastAsia="en-US"/>
    </w:rPr>
  </w:style>
  <w:style w:type="paragraph" w:styleId="BodyText2">
    <w:name w:val="Body Text 2"/>
    <w:basedOn w:val="Normal"/>
    <w:link w:val="BodyText2Char"/>
    <w:uiPriority w:val="99"/>
    <w:semiHidden/>
    <w:unhideWhenUsed/>
    <w:rsid w:val="00C80BD8"/>
    <w:pPr>
      <w:spacing w:after="120" w:line="480" w:lineRule="auto"/>
    </w:pPr>
  </w:style>
  <w:style w:type="character" w:customStyle="1" w:styleId="BodyText2Char">
    <w:name w:val="Body Text 2 Char"/>
    <w:basedOn w:val="DefaultParagraphFont"/>
    <w:link w:val="BodyText2"/>
    <w:uiPriority w:val="99"/>
    <w:semiHidden/>
    <w:rsid w:val="00C80BD8"/>
    <w:rPr>
      <w:rFonts w:ascii="Cambria" w:hAnsi="Cambria"/>
      <w:lang w:eastAsia="en-US"/>
    </w:rPr>
  </w:style>
  <w:style w:type="paragraph" w:styleId="BodyText3">
    <w:name w:val="Body Text 3"/>
    <w:basedOn w:val="Normal"/>
    <w:link w:val="BodyText3Char"/>
    <w:uiPriority w:val="99"/>
    <w:semiHidden/>
    <w:unhideWhenUsed/>
    <w:rsid w:val="00C80BD8"/>
    <w:pPr>
      <w:spacing w:after="120"/>
    </w:pPr>
    <w:rPr>
      <w:sz w:val="16"/>
      <w:szCs w:val="16"/>
    </w:rPr>
  </w:style>
  <w:style w:type="character" w:customStyle="1" w:styleId="BodyText3Char">
    <w:name w:val="Body Text 3 Char"/>
    <w:basedOn w:val="DefaultParagraphFont"/>
    <w:link w:val="BodyText3"/>
    <w:uiPriority w:val="99"/>
    <w:semiHidden/>
    <w:rsid w:val="00C80BD8"/>
    <w:rPr>
      <w:rFonts w:ascii="Cambria" w:hAnsi="Cambria"/>
      <w:sz w:val="16"/>
      <w:szCs w:val="16"/>
      <w:lang w:eastAsia="en-US"/>
    </w:rPr>
  </w:style>
  <w:style w:type="paragraph" w:styleId="BodyTextFirstIndent">
    <w:name w:val="Body Text First Indent"/>
    <w:basedOn w:val="BodyText"/>
    <w:link w:val="BodyTextFirstIndentChar"/>
    <w:uiPriority w:val="99"/>
    <w:semiHidden/>
    <w:unhideWhenUsed/>
    <w:rsid w:val="00C80BD8"/>
    <w:pPr>
      <w:spacing w:after="0"/>
      <w:ind w:firstLine="360"/>
    </w:pPr>
  </w:style>
  <w:style w:type="character" w:customStyle="1" w:styleId="BodyTextFirstIndentChar">
    <w:name w:val="Body Text First Indent Char"/>
    <w:basedOn w:val="BodyTextChar"/>
    <w:link w:val="BodyTextFirstIndent"/>
    <w:uiPriority w:val="99"/>
    <w:semiHidden/>
    <w:rsid w:val="00C80BD8"/>
    <w:rPr>
      <w:rFonts w:ascii="Cambria" w:hAnsi="Cambria"/>
      <w:lang w:eastAsia="en-US"/>
    </w:rPr>
  </w:style>
  <w:style w:type="paragraph" w:styleId="BodyTextIndent">
    <w:name w:val="Body Text Indent"/>
    <w:basedOn w:val="Normal"/>
    <w:link w:val="BodyTextIndentChar"/>
    <w:uiPriority w:val="99"/>
    <w:semiHidden/>
    <w:unhideWhenUsed/>
    <w:rsid w:val="00C80BD8"/>
    <w:pPr>
      <w:spacing w:after="120"/>
      <w:ind w:left="283"/>
    </w:pPr>
  </w:style>
  <w:style w:type="character" w:customStyle="1" w:styleId="BodyTextIndentChar">
    <w:name w:val="Body Text Indent Char"/>
    <w:basedOn w:val="DefaultParagraphFont"/>
    <w:link w:val="BodyTextIndent"/>
    <w:uiPriority w:val="99"/>
    <w:semiHidden/>
    <w:rsid w:val="00C80BD8"/>
    <w:rPr>
      <w:rFonts w:ascii="Cambria" w:hAnsi="Cambria"/>
      <w:lang w:eastAsia="en-US"/>
    </w:rPr>
  </w:style>
  <w:style w:type="paragraph" w:styleId="BodyTextFirstIndent2">
    <w:name w:val="Body Text First Indent 2"/>
    <w:basedOn w:val="BodyTextIndent"/>
    <w:link w:val="BodyTextFirstIndent2Char"/>
    <w:uiPriority w:val="99"/>
    <w:semiHidden/>
    <w:unhideWhenUsed/>
    <w:rsid w:val="00C80BD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80BD8"/>
    <w:rPr>
      <w:rFonts w:ascii="Cambria" w:hAnsi="Cambria"/>
      <w:lang w:eastAsia="en-US"/>
    </w:rPr>
  </w:style>
  <w:style w:type="paragraph" w:styleId="BodyTextIndent2">
    <w:name w:val="Body Text Indent 2"/>
    <w:basedOn w:val="Normal"/>
    <w:link w:val="BodyTextIndent2Char"/>
    <w:uiPriority w:val="99"/>
    <w:semiHidden/>
    <w:unhideWhenUsed/>
    <w:rsid w:val="00C80BD8"/>
    <w:pPr>
      <w:spacing w:after="120" w:line="480" w:lineRule="auto"/>
      <w:ind w:left="283"/>
    </w:pPr>
  </w:style>
  <w:style w:type="character" w:customStyle="1" w:styleId="BodyTextIndent2Char">
    <w:name w:val="Body Text Indent 2 Char"/>
    <w:basedOn w:val="DefaultParagraphFont"/>
    <w:link w:val="BodyTextIndent2"/>
    <w:uiPriority w:val="99"/>
    <w:semiHidden/>
    <w:rsid w:val="00C80BD8"/>
    <w:rPr>
      <w:rFonts w:ascii="Cambria" w:hAnsi="Cambria"/>
      <w:lang w:eastAsia="en-US"/>
    </w:rPr>
  </w:style>
  <w:style w:type="paragraph" w:styleId="BodyTextIndent3">
    <w:name w:val="Body Text Indent 3"/>
    <w:basedOn w:val="Normal"/>
    <w:link w:val="BodyTextIndent3Char"/>
    <w:uiPriority w:val="99"/>
    <w:semiHidden/>
    <w:unhideWhenUsed/>
    <w:rsid w:val="00C80B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80BD8"/>
    <w:rPr>
      <w:rFonts w:ascii="Cambria" w:hAnsi="Cambria"/>
      <w:sz w:val="16"/>
      <w:szCs w:val="16"/>
      <w:lang w:eastAsia="en-US"/>
    </w:rPr>
  </w:style>
  <w:style w:type="paragraph" w:styleId="Caption">
    <w:name w:val="caption"/>
    <w:basedOn w:val="Normal"/>
    <w:next w:val="Normal"/>
    <w:uiPriority w:val="35"/>
    <w:semiHidden/>
    <w:unhideWhenUsed/>
    <w:qFormat/>
    <w:rsid w:val="00C80BD8"/>
    <w:pPr>
      <w:spacing w:after="200"/>
    </w:pPr>
    <w:rPr>
      <w:i/>
      <w:iCs/>
      <w:color w:val="53565A" w:themeColor="text2"/>
      <w:sz w:val="18"/>
      <w:szCs w:val="18"/>
    </w:rPr>
  </w:style>
  <w:style w:type="paragraph" w:styleId="Closing">
    <w:name w:val="Closing"/>
    <w:basedOn w:val="Normal"/>
    <w:link w:val="ClosingChar"/>
    <w:uiPriority w:val="99"/>
    <w:semiHidden/>
    <w:unhideWhenUsed/>
    <w:rsid w:val="00C80BD8"/>
    <w:pPr>
      <w:ind w:left="4252"/>
    </w:pPr>
  </w:style>
  <w:style w:type="character" w:customStyle="1" w:styleId="ClosingChar">
    <w:name w:val="Closing Char"/>
    <w:basedOn w:val="DefaultParagraphFont"/>
    <w:link w:val="Closing"/>
    <w:uiPriority w:val="99"/>
    <w:semiHidden/>
    <w:rsid w:val="00C80BD8"/>
    <w:rPr>
      <w:rFonts w:ascii="Cambria" w:hAnsi="Cambria"/>
      <w:lang w:eastAsia="en-US"/>
    </w:rPr>
  </w:style>
  <w:style w:type="paragraph" w:styleId="Date">
    <w:name w:val="Date"/>
    <w:basedOn w:val="Normal"/>
    <w:next w:val="Normal"/>
    <w:link w:val="DateChar"/>
    <w:uiPriority w:val="99"/>
    <w:semiHidden/>
    <w:unhideWhenUsed/>
    <w:rsid w:val="00C80BD8"/>
  </w:style>
  <w:style w:type="character" w:customStyle="1" w:styleId="DateChar">
    <w:name w:val="Date Char"/>
    <w:basedOn w:val="DefaultParagraphFont"/>
    <w:link w:val="Date"/>
    <w:uiPriority w:val="99"/>
    <w:semiHidden/>
    <w:rsid w:val="00C80BD8"/>
    <w:rPr>
      <w:rFonts w:ascii="Cambria" w:hAnsi="Cambria"/>
      <w:lang w:eastAsia="en-US"/>
    </w:rPr>
  </w:style>
  <w:style w:type="paragraph" w:styleId="E-mailSignature">
    <w:name w:val="E-mail Signature"/>
    <w:basedOn w:val="Normal"/>
    <w:link w:val="E-mailSignatureChar"/>
    <w:uiPriority w:val="99"/>
    <w:semiHidden/>
    <w:unhideWhenUsed/>
    <w:rsid w:val="00C80BD8"/>
  </w:style>
  <w:style w:type="character" w:customStyle="1" w:styleId="E-mailSignatureChar">
    <w:name w:val="E-mail Signature Char"/>
    <w:basedOn w:val="DefaultParagraphFont"/>
    <w:link w:val="E-mailSignature"/>
    <w:uiPriority w:val="99"/>
    <w:semiHidden/>
    <w:rsid w:val="00C80BD8"/>
    <w:rPr>
      <w:rFonts w:ascii="Cambria" w:hAnsi="Cambria"/>
      <w:lang w:eastAsia="en-US"/>
    </w:rPr>
  </w:style>
  <w:style w:type="paragraph" w:styleId="EnvelopeAddress">
    <w:name w:val="envelope address"/>
    <w:basedOn w:val="Normal"/>
    <w:uiPriority w:val="99"/>
    <w:semiHidden/>
    <w:unhideWhenUsed/>
    <w:rsid w:val="00C80BD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80BD8"/>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C80BD8"/>
    <w:rPr>
      <w:rFonts w:asciiTheme="majorHAnsi" w:eastAsiaTheme="majorEastAsia" w:hAnsiTheme="majorHAnsi" w:cstheme="majorBidi"/>
      <w:color w:val="003866" w:themeColor="accent1" w:themeShade="7F"/>
      <w:lang w:eastAsia="en-US"/>
    </w:rPr>
  </w:style>
  <w:style w:type="character" w:customStyle="1" w:styleId="Heading7Char">
    <w:name w:val="Heading 7 Char"/>
    <w:basedOn w:val="DefaultParagraphFont"/>
    <w:link w:val="Heading7"/>
    <w:uiPriority w:val="9"/>
    <w:semiHidden/>
    <w:rsid w:val="00C80BD8"/>
    <w:rPr>
      <w:rFonts w:asciiTheme="majorHAnsi" w:eastAsiaTheme="majorEastAsia" w:hAnsiTheme="majorHAnsi" w:cstheme="majorBidi"/>
      <w:i/>
      <w:iCs/>
      <w:color w:val="003866" w:themeColor="accent1" w:themeShade="7F"/>
      <w:lang w:eastAsia="en-US"/>
    </w:rPr>
  </w:style>
  <w:style w:type="character" w:customStyle="1" w:styleId="Heading8Char">
    <w:name w:val="Heading 8 Char"/>
    <w:basedOn w:val="DefaultParagraphFont"/>
    <w:link w:val="Heading8"/>
    <w:uiPriority w:val="9"/>
    <w:semiHidden/>
    <w:rsid w:val="00C80BD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80BD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C80BD8"/>
    <w:rPr>
      <w:i/>
      <w:iCs/>
    </w:rPr>
  </w:style>
  <w:style w:type="character" w:customStyle="1" w:styleId="HTMLAddressChar">
    <w:name w:val="HTML Address Char"/>
    <w:basedOn w:val="DefaultParagraphFont"/>
    <w:link w:val="HTMLAddress"/>
    <w:uiPriority w:val="99"/>
    <w:semiHidden/>
    <w:rsid w:val="00C80BD8"/>
    <w:rPr>
      <w:rFonts w:ascii="Cambria" w:hAnsi="Cambria"/>
      <w:i/>
      <w:iCs/>
      <w:lang w:eastAsia="en-US"/>
    </w:rPr>
  </w:style>
  <w:style w:type="paragraph" w:styleId="HTMLPreformatted">
    <w:name w:val="HTML Preformatted"/>
    <w:basedOn w:val="Normal"/>
    <w:link w:val="HTMLPreformattedChar"/>
    <w:uiPriority w:val="99"/>
    <w:semiHidden/>
    <w:unhideWhenUsed/>
    <w:rsid w:val="00C80BD8"/>
    <w:rPr>
      <w:rFonts w:ascii="Consolas" w:hAnsi="Consolas"/>
    </w:rPr>
  </w:style>
  <w:style w:type="character" w:customStyle="1" w:styleId="HTMLPreformattedChar">
    <w:name w:val="HTML Preformatted Char"/>
    <w:basedOn w:val="DefaultParagraphFont"/>
    <w:link w:val="HTMLPreformatted"/>
    <w:uiPriority w:val="99"/>
    <w:semiHidden/>
    <w:rsid w:val="00C80BD8"/>
    <w:rPr>
      <w:rFonts w:ascii="Consolas" w:hAnsi="Consolas"/>
      <w:lang w:eastAsia="en-US"/>
    </w:rPr>
  </w:style>
  <w:style w:type="paragraph" w:styleId="Index1">
    <w:name w:val="index 1"/>
    <w:basedOn w:val="Normal"/>
    <w:next w:val="Normal"/>
    <w:autoRedefine/>
    <w:uiPriority w:val="99"/>
    <w:semiHidden/>
    <w:unhideWhenUsed/>
    <w:rsid w:val="00C80BD8"/>
    <w:pPr>
      <w:ind w:left="200" w:hanging="200"/>
    </w:pPr>
  </w:style>
  <w:style w:type="paragraph" w:styleId="Index2">
    <w:name w:val="index 2"/>
    <w:basedOn w:val="Normal"/>
    <w:next w:val="Normal"/>
    <w:autoRedefine/>
    <w:uiPriority w:val="99"/>
    <w:semiHidden/>
    <w:unhideWhenUsed/>
    <w:rsid w:val="00C80BD8"/>
    <w:pPr>
      <w:ind w:left="400" w:hanging="200"/>
    </w:pPr>
  </w:style>
  <w:style w:type="paragraph" w:styleId="Index3">
    <w:name w:val="index 3"/>
    <w:basedOn w:val="Normal"/>
    <w:next w:val="Normal"/>
    <w:autoRedefine/>
    <w:uiPriority w:val="99"/>
    <w:semiHidden/>
    <w:unhideWhenUsed/>
    <w:rsid w:val="00C80BD8"/>
    <w:pPr>
      <w:ind w:left="600" w:hanging="200"/>
    </w:pPr>
  </w:style>
  <w:style w:type="paragraph" w:styleId="Index4">
    <w:name w:val="index 4"/>
    <w:basedOn w:val="Normal"/>
    <w:next w:val="Normal"/>
    <w:autoRedefine/>
    <w:uiPriority w:val="99"/>
    <w:semiHidden/>
    <w:unhideWhenUsed/>
    <w:rsid w:val="00C80BD8"/>
    <w:pPr>
      <w:ind w:left="800" w:hanging="200"/>
    </w:pPr>
  </w:style>
  <w:style w:type="paragraph" w:styleId="Index5">
    <w:name w:val="index 5"/>
    <w:basedOn w:val="Normal"/>
    <w:next w:val="Normal"/>
    <w:autoRedefine/>
    <w:uiPriority w:val="99"/>
    <w:semiHidden/>
    <w:unhideWhenUsed/>
    <w:rsid w:val="00C80BD8"/>
    <w:pPr>
      <w:ind w:left="1000" w:hanging="200"/>
    </w:pPr>
  </w:style>
  <w:style w:type="paragraph" w:styleId="Index6">
    <w:name w:val="index 6"/>
    <w:basedOn w:val="Normal"/>
    <w:next w:val="Normal"/>
    <w:autoRedefine/>
    <w:uiPriority w:val="99"/>
    <w:semiHidden/>
    <w:unhideWhenUsed/>
    <w:rsid w:val="00C80BD8"/>
    <w:pPr>
      <w:ind w:left="1200" w:hanging="200"/>
    </w:pPr>
  </w:style>
  <w:style w:type="paragraph" w:styleId="Index7">
    <w:name w:val="index 7"/>
    <w:basedOn w:val="Normal"/>
    <w:next w:val="Normal"/>
    <w:autoRedefine/>
    <w:uiPriority w:val="99"/>
    <w:semiHidden/>
    <w:unhideWhenUsed/>
    <w:rsid w:val="00C80BD8"/>
    <w:pPr>
      <w:ind w:left="1400" w:hanging="200"/>
    </w:pPr>
  </w:style>
  <w:style w:type="paragraph" w:styleId="Index8">
    <w:name w:val="index 8"/>
    <w:basedOn w:val="Normal"/>
    <w:next w:val="Normal"/>
    <w:autoRedefine/>
    <w:uiPriority w:val="99"/>
    <w:semiHidden/>
    <w:unhideWhenUsed/>
    <w:rsid w:val="00C80BD8"/>
    <w:pPr>
      <w:ind w:left="1600" w:hanging="200"/>
    </w:pPr>
  </w:style>
  <w:style w:type="paragraph" w:styleId="Index9">
    <w:name w:val="index 9"/>
    <w:basedOn w:val="Normal"/>
    <w:next w:val="Normal"/>
    <w:autoRedefine/>
    <w:uiPriority w:val="99"/>
    <w:semiHidden/>
    <w:unhideWhenUsed/>
    <w:rsid w:val="00C80BD8"/>
    <w:pPr>
      <w:ind w:left="1800" w:hanging="200"/>
    </w:pPr>
  </w:style>
  <w:style w:type="paragraph" w:styleId="IndexHeading">
    <w:name w:val="index heading"/>
    <w:basedOn w:val="Normal"/>
    <w:next w:val="Index1"/>
    <w:uiPriority w:val="99"/>
    <w:semiHidden/>
    <w:unhideWhenUsed/>
    <w:rsid w:val="00C80BD8"/>
    <w:rPr>
      <w:rFonts w:asciiTheme="majorHAnsi" w:eastAsiaTheme="majorEastAsia" w:hAnsiTheme="majorHAnsi" w:cstheme="majorBidi"/>
      <w:b/>
      <w:bCs/>
    </w:rPr>
  </w:style>
  <w:style w:type="paragraph" w:styleId="List">
    <w:name w:val="List"/>
    <w:basedOn w:val="Normal"/>
    <w:uiPriority w:val="99"/>
    <w:semiHidden/>
    <w:unhideWhenUsed/>
    <w:rsid w:val="00C80BD8"/>
    <w:pPr>
      <w:ind w:left="283" w:hanging="283"/>
      <w:contextualSpacing/>
    </w:pPr>
  </w:style>
  <w:style w:type="paragraph" w:styleId="List2">
    <w:name w:val="List 2"/>
    <w:basedOn w:val="Normal"/>
    <w:uiPriority w:val="99"/>
    <w:semiHidden/>
    <w:unhideWhenUsed/>
    <w:rsid w:val="00C80BD8"/>
    <w:pPr>
      <w:ind w:left="566" w:hanging="283"/>
      <w:contextualSpacing/>
    </w:pPr>
  </w:style>
  <w:style w:type="paragraph" w:styleId="List3">
    <w:name w:val="List 3"/>
    <w:basedOn w:val="Normal"/>
    <w:uiPriority w:val="99"/>
    <w:semiHidden/>
    <w:unhideWhenUsed/>
    <w:rsid w:val="00C80BD8"/>
    <w:pPr>
      <w:ind w:left="849" w:hanging="283"/>
      <w:contextualSpacing/>
    </w:pPr>
  </w:style>
  <w:style w:type="paragraph" w:styleId="List4">
    <w:name w:val="List 4"/>
    <w:basedOn w:val="Normal"/>
    <w:uiPriority w:val="99"/>
    <w:semiHidden/>
    <w:unhideWhenUsed/>
    <w:rsid w:val="00C80BD8"/>
    <w:pPr>
      <w:ind w:left="1132" w:hanging="283"/>
      <w:contextualSpacing/>
    </w:pPr>
  </w:style>
  <w:style w:type="paragraph" w:styleId="List5">
    <w:name w:val="List 5"/>
    <w:basedOn w:val="Normal"/>
    <w:uiPriority w:val="99"/>
    <w:semiHidden/>
    <w:unhideWhenUsed/>
    <w:rsid w:val="00C80BD8"/>
    <w:pPr>
      <w:ind w:left="1415" w:hanging="283"/>
      <w:contextualSpacing/>
    </w:pPr>
  </w:style>
  <w:style w:type="paragraph" w:styleId="ListBullet">
    <w:name w:val="List Bullet"/>
    <w:basedOn w:val="Normal"/>
    <w:uiPriority w:val="99"/>
    <w:semiHidden/>
    <w:unhideWhenUsed/>
    <w:rsid w:val="00C80BD8"/>
    <w:pPr>
      <w:numPr>
        <w:numId w:val="38"/>
      </w:numPr>
      <w:contextualSpacing/>
    </w:pPr>
  </w:style>
  <w:style w:type="paragraph" w:styleId="ListBullet2">
    <w:name w:val="List Bullet 2"/>
    <w:basedOn w:val="Normal"/>
    <w:uiPriority w:val="99"/>
    <w:semiHidden/>
    <w:unhideWhenUsed/>
    <w:rsid w:val="00C80BD8"/>
    <w:pPr>
      <w:numPr>
        <w:numId w:val="39"/>
      </w:numPr>
      <w:contextualSpacing/>
    </w:pPr>
  </w:style>
  <w:style w:type="paragraph" w:styleId="ListBullet3">
    <w:name w:val="List Bullet 3"/>
    <w:basedOn w:val="Normal"/>
    <w:uiPriority w:val="99"/>
    <w:semiHidden/>
    <w:unhideWhenUsed/>
    <w:rsid w:val="00C80BD8"/>
    <w:pPr>
      <w:numPr>
        <w:numId w:val="40"/>
      </w:numPr>
      <w:contextualSpacing/>
    </w:pPr>
  </w:style>
  <w:style w:type="paragraph" w:styleId="ListBullet4">
    <w:name w:val="List Bullet 4"/>
    <w:basedOn w:val="Normal"/>
    <w:uiPriority w:val="99"/>
    <w:semiHidden/>
    <w:unhideWhenUsed/>
    <w:rsid w:val="00C80BD8"/>
    <w:pPr>
      <w:numPr>
        <w:numId w:val="41"/>
      </w:numPr>
      <w:contextualSpacing/>
    </w:pPr>
  </w:style>
  <w:style w:type="paragraph" w:styleId="ListBullet5">
    <w:name w:val="List Bullet 5"/>
    <w:basedOn w:val="Normal"/>
    <w:uiPriority w:val="99"/>
    <w:semiHidden/>
    <w:unhideWhenUsed/>
    <w:rsid w:val="00C80BD8"/>
    <w:pPr>
      <w:numPr>
        <w:numId w:val="42"/>
      </w:numPr>
      <w:contextualSpacing/>
    </w:pPr>
  </w:style>
  <w:style w:type="paragraph" w:styleId="ListContinue">
    <w:name w:val="List Continue"/>
    <w:basedOn w:val="Normal"/>
    <w:uiPriority w:val="99"/>
    <w:semiHidden/>
    <w:unhideWhenUsed/>
    <w:rsid w:val="00C80BD8"/>
    <w:pPr>
      <w:spacing w:after="120"/>
      <w:ind w:left="283"/>
      <w:contextualSpacing/>
    </w:pPr>
  </w:style>
  <w:style w:type="paragraph" w:styleId="ListContinue2">
    <w:name w:val="List Continue 2"/>
    <w:basedOn w:val="Normal"/>
    <w:uiPriority w:val="99"/>
    <w:semiHidden/>
    <w:unhideWhenUsed/>
    <w:rsid w:val="00C80BD8"/>
    <w:pPr>
      <w:spacing w:after="120"/>
      <w:ind w:left="566"/>
      <w:contextualSpacing/>
    </w:pPr>
  </w:style>
  <w:style w:type="paragraph" w:styleId="ListContinue3">
    <w:name w:val="List Continue 3"/>
    <w:basedOn w:val="Normal"/>
    <w:uiPriority w:val="99"/>
    <w:semiHidden/>
    <w:unhideWhenUsed/>
    <w:rsid w:val="00C80BD8"/>
    <w:pPr>
      <w:spacing w:after="120"/>
      <w:ind w:left="849"/>
      <w:contextualSpacing/>
    </w:pPr>
  </w:style>
  <w:style w:type="paragraph" w:styleId="ListContinue4">
    <w:name w:val="List Continue 4"/>
    <w:basedOn w:val="Normal"/>
    <w:uiPriority w:val="99"/>
    <w:semiHidden/>
    <w:unhideWhenUsed/>
    <w:rsid w:val="00C80BD8"/>
    <w:pPr>
      <w:spacing w:after="120"/>
      <w:ind w:left="1132"/>
      <w:contextualSpacing/>
    </w:pPr>
  </w:style>
  <w:style w:type="paragraph" w:styleId="ListContinue5">
    <w:name w:val="List Continue 5"/>
    <w:basedOn w:val="Normal"/>
    <w:uiPriority w:val="99"/>
    <w:semiHidden/>
    <w:unhideWhenUsed/>
    <w:rsid w:val="00C80BD8"/>
    <w:pPr>
      <w:spacing w:after="120"/>
      <w:ind w:left="1415"/>
      <w:contextualSpacing/>
    </w:pPr>
  </w:style>
  <w:style w:type="paragraph" w:styleId="ListNumber">
    <w:name w:val="List Number"/>
    <w:basedOn w:val="Normal"/>
    <w:uiPriority w:val="99"/>
    <w:semiHidden/>
    <w:unhideWhenUsed/>
    <w:rsid w:val="00C80BD8"/>
    <w:pPr>
      <w:numPr>
        <w:numId w:val="43"/>
      </w:numPr>
      <w:contextualSpacing/>
    </w:pPr>
  </w:style>
  <w:style w:type="paragraph" w:styleId="ListNumber2">
    <w:name w:val="List Number 2"/>
    <w:basedOn w:val="Normal"/>
    <w:uiPriority w:val="99"/>
    <w:semiHidden/>
    <w:unhideWhenUsed/>
    <w:rsid w:val="00C80BD8"/>
    <w:pPr>
      <w:numPr>
        <w:numId w:val="44"/>
      </w:numPr>
      <w:contextualSpacing/>
    </w:pPr>
  </w:style>
  <w:style w:type="paragraph" w:styleId="ListNumber3">
    <w:name w:val="List Number 3"/>
    <w:basedOn w:val="Normal"/>
    <w:uiPriority w:val="99"/>
    <w:semiHidden/>
    <w:unhideWhenUsed/>
    <w:rsid w:val="00C80BD8"/>
    <w:pPr>
      <w:numPr>
        <w:numId w:val="45"/>
      </w:numPr>
      <w:contextualSpacing/>
    </w:pPr>
  </w:style>
  <w:style w:type="paragraph" w:styleId="ListNumber4">
    <w:name w:val="List Number 4"/>
    <w:basedOn w:val="Normal"/>
    <w:uiPriority w:val="99"/>
    <w:semiHidden/>
    <w:unhideWhenUsed/>
    <w:rsid w:val="00C80BD8"/>
    <w:pPr>
      <w:numPr>
        <w:numId w:val="46"/>
      </w:numPr>
      <w:contextualSpacing/>
    </w:pPr>
  </w:style>
  <w:style w:type="paragraph" w:styleId="ListNumber5">
    <w:name w:val="List Number 5"/>
    <w:basedOn w:val="Normal"/>
    <w:uiPriority w:val="99"/>
    <w:semiHidden/>
    <w:unhideWhenUsed/>
    <w:rsid w:val="00C80BD8"/>
    <w:pPr>
      <w:numPr>
        <w:numId w:val="47"/>
      </w:numPr>
      <w:contextualSpacing/>
    </w:pPr>
  </w:style>
  <w:style w:type="paragraph" w:styleId="MacroText">
    <w:name w:val="macro"/>
    <w:link w:val="MacroTextChar"/>
    <w:uiPriority w:val="99"/>
    <w:semiHidden/>
    <w:unhideWhenUsed/>
    <w:rsid w:val="00C80B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C80BD8"/>
    <w:rPr>
      <w:rFonts w:ascii="Consolas" w:hAnsi="Consolas"/>
      <w:lang w:eastAsia="en-US"/>
    </w:rPr>
  </w:style>
  <w:style w:type="paragraph" w:styleId="MessageHeader">
    <w:name w:val="Message Header"/>
    <w:basedOn w:val="Normal"/>
    <w:link w:val="MessageHeaderChar"/>
    <w:uiPriority w:val="99"/>
    <w:semiHidden/>
    <w:unhideWhenUsed/>
    <w:rsid w:val="00C80BD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80BD8"/>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qFormat/>
    <w:rsid w:val="00C80BD8"/>
    <w:rPr>
      <w:rFonts w:ascii="Cambria" w:hAnsi="Cambria"/>
      <w:lang w:eastAsia="en-US"/>
    </w:rPr>
  </w:style>
  <w:style w:type="paragraph" w:styleId="NormalWeb">
    <w:name w:val="Normal (Web)"/>
    <w:basedOn w:val="Normal"/>
    <w:uiPriority w:val="99"/>
    <w:semiHidden/>
    <w:unhideWhenUsed/>
    <w:rsid w:val="00C80BD8"/>
    <w:rPr>
      <w:rFonts w:ascii="Times New Roman" w:hAnsi="Times New Roman"/>
      <w:sz w:val="24"/>
      <w:szCs w:val="24"/>
    </w:rPr>
  </w:style>
  <w:style w:type="paragraph" w:styleId="NormalIndent">
    <w:name w:val="Normal Indent"/>
    <w:basedOn w:val="Normal"/>
    <w:uiPriority w:val="99"/>
    <w:semiHidden/>
    <w:unhideWhenUsed/>
    <w:rsid w:val="00C80BD8"/>
    <w:pPr>
      <w:ind w:left="720"/>
    </w:pPr>
  </w:style>
  <w:style w:type="paragraph" w:styleId="NoteHeading">
    <w:name w:val="Note Heading"/>
    <w:basedOn w:val="Normal"/>
    <w:next w:val="Normal"/>
    <w:link w:val="NoteHeadingChar"/>
    <w:uiPriority w:val="99"/>
    <w:semiHidden/>
    <w:unhideWhenUsed/>
    <w:rsid w:val="00C80BD8"/>
  </w:style>
  <w:style w:type="character" w:customStyle="1" w:styleId="NoteHeadingChar">
    <w:name w:val="Note Heading Char"/>
    <w:basedOn w:val="DefaultParagraphFont"/>
    <w:link w:val="NoteHeading"/>
    <w:uiPriority w:val="99"/>
    <w:semiHidden/>
    <w:rsid w:val="00C80BD8"/>
    <w:rPr>
      <w:rFonts w:ascii="Cambria" w:hAnsi="Cambria"/>
      <w:lang w:eastAsia="en-US"/>
    </w:rPr>
  </w:style>
  <w:style w:type="paragraph" w:styleId="PlainText">
    <w:name w:val="Plain Text"/>
    <w:basedOn w:val="Normal"/>
    <w:link w:val="PlainTextChar"/>
    <w:uiPriority w:val="99"/>
    <w:semiHidden/>
    <w:unhideWhenUsed/>
    <w:rsid w:val="00C80BD8"/>
    <w:rPr>
      <w:rFonts w:ascii="Consolas" w:hAnsi="Consolas"/>
      <w:sz w:val="21"/>
      <w:szCs w:val="21"/>
    </w:rPr>
  </w:style>
  <w:style w:type="character" w:customStyle="1" w:styleId="PlainTextChar">
    <w:name w:val="Plain Text Char"/>
    <w:basedOn w:val="DefaultParagraphFont"/>
    <w:link w:val="PlainText"/>
    <w:uiPriority w:val="99"/>
    <w:semiHidden/>
    <w:rsid w:val="00C80BD8"/>
    <w:rPr>
      <w:rFonts w:ascii="Consolas" w:hAnsi="Consolas"/>
      <w:sz w:val="21"/>
      <w:szCs w:val="21"/>
      <w:lang w:eastAsia="en-US"/>
    </w:rPr>
  </w:style>
  <w:style w:type="paragraph" w:styleId="Quote">
    <w:name w:val="Quote"/>
    <w:basedOn w:val="Normal"/>
    <w:next w:val="Normal"/>
    <w:link w:val="QuoteChar"/>
    <w:uiPriority w:val="73"/>
    <w:qFormat/>
    <w:rsid w:val="00C80B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80BD8"/>
    <w:rPr>
      <w:rFonts w:ascii="Cambria" w:hAnsi="Cambria"/>
      <w:i/>
      <w:iCs/>
      <w:color w:val="404040" w:themeColor="text1" w:themeTint="BF"/>
      <w:lang w:eastAsia="en-US"/>
    </w:rPr>
  </w:style>
  <w:style w:type="paragraph" w:styleId="Salutation">
    <w:name w:val="Salutation"/>
    <w:basedOn w:val="Normal"/>
    <w:next w:val="Normal"/>
    <w:link w:val="SalutationChar"/>
    <w:uiPriority w:val="99"/>
    <w:semiHidden/>
    <w:unhideWhenUsed/>
    <w:rsid w:val="00C80BD8"/>
  </w:style>
  <w:style w:type="character" w:customStyle="1" w:styleId="SalutationChar">
    <w:name w:val="Salutation Char"/>
    <w:basedOn w:val="DefaultParagraphFont"/>
    <w:link w:val="Salutation"/>
    <w:uiPriority w:val="99"/>
    <w:semiHidden/>
    <w:rsid w:val="00C80BD8"/>
    <w:rPr>
      <w:rFonts w:ascii="Cambria" w:hAnsi="Cambria"/>
      <w:lang w:eastAsia="en-US"/>
    </w:rPr>
  </w:style>
  <w:style w:type="paragraph" w:styleId="Signature">
    <w:name w:val="Signature"/>
    <w:basedOn w:val="Normal"/>
    <w:link w:val="SignatureChar"/>
    <w:uiPriority w:val="99"/>
    <w:semiHidden/>
    <w:unhideWhenUsed/>
    <w:rsid w:val="00C80BD8"/>
    <w:pPr>
      <w:ind w:left="4252"/>
    </w:pPr>
  </w:style>
  <w:style w:type="character" w:customStyle="1" w:styleId="SignatureChar">
    <w:name w:val="Signature Char"/>
    <w:basedOn w:val="DefaultParagraphFont"/>
    <w:link w:val="Signature"/>
    <w:uiPriority w:val="99"/>
    <w:semiHidden/>
    <w:rsid w:val="00C80BD8"/>
    <w:rPr>
      <w:rFonts w:ascii="Cambria" w:hAnsi="Cambria"/>
      <w:lang w:eastAsia="en-US"/>
    </w:rPr>
  </w:style>
  <w:style w:type="paragraph" w:styleId="Subtitle">
    <w:name w:val="Subtitle"/>
    <w:basedOn w:val="Normal"/>
    <w:next w:val="Normal"/>
    <w:link w:val="SubtitleChar"/>
    <w:uiPriority w:val="11"/>
    <w:qFormat/>
    <w:rsid w:val="00C80B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80BD8"/>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C80BD8"/>
    <w:pPr>
      <w:ind w:left="200" w:hanging="200"/>
    </w:pPr>
  </w:style>
  <w:style w:type="paragraph" w:styleId="TableofFigures">
    <w:name w:val="table of figures"/>
    <w:basedOn w:val="Normal"/>
    <w:next w:val="Normal"/>
    <w:uiPriority w:val="99"/>
    <w:semiHidden/>
    <w:unhideWhenUsed/>
    <w:rsid w:val="00C80BD8"/>
  </w:style>
  <w:style w:type="paragraph" w:styleId="Title">
    <w:name w:val="Title"/>
    <w:basedOn w:val="Normal"/>
    <w:next w:val="Normal"/>
    <w:link w:val="TitleChar"/>
    <w:uiPriority w:val="10"/>
    <w:qFormat/>
    <w:rsid w:val="00C80B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BD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C80B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1"/>
    <w:semiHidden/>
    <w:unhideWhenUsed/>
    <w:qFormat/>
    <w:rsid w:val="00C80BD8"/>
    <w:pPr>
      <w:keepNext/>
      <w:keepLines/>
      <w:spacing w:before="240" w:after="0" w:line="240" w:lineRule="auto"/>
      <w:outlineLvl w:val="9"/>
    </w:pPr>
    <w:rPr>
      <w:rFonts w:eastAsiaTheme="majorEastAsia" w:cstheme="majorBidi"/>
      <w:bCs w:val="0"/>
      <w:color w:val="00559A"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640321">
      <w:bodyDiv w:val="1"/>
      <w:marLeft w:val="0"/>
      <w:marRight w:val="0"/>
      <w:marTop w:val="0"/>
      <w:marBottom w:val="0"/>
      <w:divBdr>
        <w:top w:val="none" w:sz="0" w:space="0" w:color="auto"/>
        <w:left w:val="none" w:sz="0" w:space="0" w:color="auto"/>
        <w:bottom w:val="none" w:sz="0" w:space="0" w:color="auto"/>
        <w:right w:val="none" w:sz="0" w:space="0" w:color="auto"/>
      </w:divBdr>
      <w:divsChild>
        <w:div w:id="72162463">
          <w:marLeft w:val="446"/>
          <w:marRight w:val="0"/>
          <w:marTop w:val="120"/>
          <w:marBottom w:val="120"/>
          <w:divBdr>
            <w:top w:val="none" w:sz="0" w:space="0" w:color="auto"/>
            <w:left w:val="none" w:sz="0" w:space="0" w:color="auto"/>
            <w:bottom w:val="none" w:sz="0" w:space="0" w:color="auto"/>
            <w:right w:val="none" w:sz="0" w:space="0" w:color="auto"/>
          </w:divBdr>
        </w:div>
      </w:divsChild>
    </w:div>
    <w:div w:id="803620897">
      <w:bodyDiv w:val="1"/>
      <w:marLeft w:val="0"/>
      <w:marRight w:val="0"/>
      <w:marTop w:val="0"/>
      <w:marBottom w:val="0"/>
      <w:divBdr>
        <w:top w:val="none" w:sz="0" w:space="0" w:color="auto"/>
        <w:left w:val="none" w:sz="0" w:space="0" w:color="auto"/>
        <w:bottom w:val="none" w:sz="0" w:space="0" w:color="auto"/>
        <w:right w:val="none" w:sz="0" w:space="0" w:color="auto"/>
      </w:divBdr>
      <w:divsChild>
        <w:div w:id="494884875">
          <w:marLeft w:val="446"/>
          <w:marRight w:val="0"/>
          <w:marTop w:val="120"/>
          <w:marBottom w:val="120"/>
          <w:divBdr>
            <w:top w:val="none" w:sz="0" w:space="0" w:color="auto"/>
            <w:left w:val="none" w:sz="0" w:space="0" w:color="auto"/>
            <w:bottom w:val="none" w:sz="0" w:space="0" w:color="auto"/>
            <w:right w:val="none" w:sz="0" w:space="0" w:color="auto"/>
          </w:divBdr>
        </w:div>
      </w:divsChild>
    </w:div>
    <w:div w:id="1007486698">
      <w:bodyDiv w:val="1"/>
      <w:marLeft w:val="0"/>
      <w:marRight w:val="0"/>
      <w:marTop w:val="0"/>
      <w:marBottom w:val="0"/>
      <w:divBdr>
        <w:top w:val="none" w:sz="0" w:space="0" w:color="auto"/>
        <w:left w:val="none" w:sz="0" w:space="0" w:color="auto"/>
        <w:bottom w:val="none" w:sz="0" w:space="0" w:color="auto"/>
        <w:right w:val="none" w:sz="0" w:space="0" w:color="auto"/>
      </w:divBdr>
    </w:div>
    <w:div w:id="1167787991">
      <w:bodyDiv w:val="1"/>
      <w:marLeft w:val="0"/>
      <w:marRight w:val="0"/>
      <w:marTop w:val="0"/>
      <w:marBottom w:val="0"/>
      <w:divBdr>
        <w:top w:val="none" w:sz="0" w:space="0" w:color="auto"/>
        <w:left w:val="none" w:sz="0" w:space="0" w:color="auto"/>
        <w:bottom w:val="none" w:sz="0" w:space="0" w:color="auto"/>
        <w:right w:val="none" w:sz="0" w:space="0" w:color="auto"/>
      </w:divBdr>
    </w:div>
    <w:div w:id="1216698021">
      <w:bodyDiv w:val="1"/>
      <w:marLeft w:val="0"/>
      <w:marRight w:val="0"/>
      <w:marTop w:val="0"/>
      <w:marBottom w:val="0"/>
      <w:divBdr>
        <w:top w:val="none" w:sz="0" w:space="0" w:color="auto"/>
        <w:left w:val="none" w:sz="0" w:space="0" w:color="auto"/>
        <w:bottom w:val="none" w:sz="0" w:space="0" w:color="auto"/>
        <w:right w:val="none" w:sz="0" w:space="0" w:color="auto"/>
      </w:divBdr>
      <w:divsChild>
        <w:div w:id="332072640">
          <w:marLeft w:val="446"/>
          <w:marRight w:val="0"/>
          <w:marTop w:val="120"/>
          <w:marBottom w:val="120"/>
          <w:divBdr>
            <w:top w:val="none" w:sz="0" w:space="0" w:color="auto"/>
            <w:left w:val="none" w:sz="0" w:space="0" w:color="auto"/>
            <w:bottom w:val="none" w:sz="0" w:space="0" w:color="auto"/>
            <w:right w:val="none" w:sz="0" w:space="0" w:color="auto"/>
          </w:divBdr>
        </w:div>
        <w:div w:id="400370449">
          <w:marLeft w:val="446"/>
          <w:marRight w:val="0"/>
          <w:marTop w:val="120"/>
          <w:marBottom w:val="120"/>
          <w:divBdr>
            <w:top w:val="none" w:sz="0" w:space="0" w:color="auto"/>
            <w:left w:val="none" w:sz="0" w:space="0" w:color="auto"/>
            <w:bottom w:val="none" w:sz="0" w:space="0" w:color="auto"/>
            <w:right w:val="none" w:sz="0" w:space="0" w:color="auto"/>
          </w:divBdr>
        </w:div>
        <w:div w:id="776216980">
          <w:marLeft w:val="446"/>
          <w:marRight w:val="0"/>
          <w:marTop w:val="120"/>
          <w:marBottom w:val="120"/>
          <w:divBdr>
            <w:top w:val="none" w:sz="0" w:space="0" w:color="auto"/>
            <w:left w:val="none" w:sz="0" w:space="0" w:color="auto"/>
            <w:bottom w:val="none" w:sz="0" w:space="0" w:color="auto"/>
            <w:right w:val="none" w:sz="0" w:space="0" w:color="auto"/>
          </w:divBdr>
        </w:div>
        <w:div w:id="1280405984">
          <w:marLeft w:val="446"/>
          <w:marRight w:val="0"/>
          <w:marTop w:val="120"/>
          <w:marBottom w:val="120"/>
          <w:divBdr>
            <w:top w:val="none" w:sz="0" w:space="0" w:color="auto"/>
            <w:left w:val="none" w:sz="0" w:space="0" w:color="auto"/>
            <w:bottom w:val="none" w:sz="0" w:space="0" w:color="auto"/>
            <w:right w:val="none" w:sz="0" w:space="0" w:color="auto"/>
          </w:divBdr>
        </w:div>
      </w:divsChild>
    </w:div>
    <w:div w:id="1367755482">
      <w:bodyDiv w:val="1"/>
      <w:marLeft w:val="0"/>
      <w:marRight w:val="0"/>
      <w:marTop w:val="0"/>
      <w:marBottom w:val="0"/>
      <w:divBdr>
        <w:top w:val="none" w:sz="0" w:space="0" w:color="auto"/>
        <w:left w:val="none" w:sz="0" w:space="0" w:color="auto"/>
        <w:bottom w:val="none" w:sz="0" w:space="0" w:color="auto"/>
        <w:right w:val="none" w:sz="0" w:space="0" w:color="auto"/>
      </w:divBdr>
    </w:div>
    <w:div w:id="1711342093">
      <w:bodyDiv w:val="1"/>
      <w:marLeft w:val="0"/>
      <w:marRight w:val="0"/>
      <w:marTop w:val="0"/>
      <w:marBottom w:val="0"/>
      <w:divBdr>
        <w:top w:val="none" w:sz="0" w:space="0" w:color="auto"/>
        <w:left w:val="none" w:sz="0" w:space="0" w:color="auto"/>
        <w:bottom w:val="none" w:sz="0" w:space="0" w:color="auto"/>
        <w:right w:val="none" w:sz="0" w:space="0" w:color="auto"/>
      </w:divBdr>
    </w:div>
    <w:div w:id="1766464720">
      <w:bodyDiv w:val="1"/>
      <w:marLeft w:val="0"/>
      <w:marRight w:val="0"/>
      <w:marTop w:val="0"/>
      <w:marBottom w:val="0"/>
      <w:divBdr>
        <w:top w:val="none" w:sz="0" w:space="0" w:color="auto"/>
        <w:left w:val="none" w:sz="0" w:space="0" w:color="auto"/>
        <w:bottom w:val="none" w:sz="0" w:space="0" w:color="auto"/>
        <w:right w:val="none" w:sz="0" w:space="0" w:color="auto"/>
      </w:divBdr>
    </w:div>
    <w:div w:id="1772238975">
      <w:bodyDiv w:val="1"/>
      <w:marLeft w:val="0"/>
      <w:marRight w:val="0"/>
      <w:marTop w:val="0"/>
      <w:marBottom w:val="0"/>
      <w:divBdr>
        <w:top w:val="none" w:sz="0" w:space="0" w:color="auto"/>
        <w:left w:val="none" w:sz="0" w:space="0" w:color="auto"/>
        <w:bottom w:val="none" w:sz="0" w:space="0" w:color="auto"/>
        <w:right w:val="none" w:sz="0" w:space="0" w:color="auto"/>
      </w:divBdr>
      <w:divsChild>
        <w:div w:id="589120389">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G"/><Relationship Id="rId26" Type="http://schemas.openxmlformats.org/officeDocument/2006/relationships/hyperlink" Target="https://www.data.vic.gov.au/datavic-access-policy" TargetMode="External"/><Relationship Id="rId39"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www.data.vic.gov.au/" TargetMode="External"/><Relationship Id="rId34" Type="http://schemas.openxmlformats.org/officeDocument/2006/relationships/hyperlink" Target="mailto:digital.transformation@dpc.vic.gov.a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5" Type="http://schemas.openxmlformats.org/officeDocument/2006/relationships/hyperlink" Target="https://www.vic.gov.au/information-management-policies-and-standards" TargetMode="External"/><Relationship Id="rId33" Type="http://schemas.openxmlformats.org/officeDocument/2006/relationships/hyperlink" Target="https://www.vic.gov.au/information-management-policies-and-standards" TargetMode="External"/><Relationship Id="rId38" Type="http://schemas.openxmlformats.org/officeDocument/2006/relationships/hyperlink" Target="https://www.prov.vic.gov.au/sites/default/files/2017-03/0701VAR4.pdf"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prov.vic.gov.au/recordkeeping-government/document-library/pros-1017-g3-transfer-custodianship" TargetMode="External"/><Relationship Id="rId29" Type="http://schemas.openxmlformats.org/officeDocument/2006/relationships/hyperlink" Target="https://www.cpdp.vic.gov.au/menu-data-security/victorian-protective-data-security-framework/vpds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vic.gov.au/information-technology-strategy" TargetMode="External"/><Relationship Id="rId32" Type="http://schemas.openxmlformats.org/officeDocument/2006/relationships/hyperlink" Target="https://www.vic.gov.au/information-management-policies-and-standards" TargetMode="External"/><Relationship Id="rId37" Type="http://schemas.openxmlformats.org/officeDocument/2006/relationships/hyperlink" Target="https://www.prov.vic.gov.au/recordkeeping-government/document-library/pros-1017-g3-transfer-custodianship"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s://www.vic.gov.au/information-management-policies-and-standards" TargetMode="External"/><Relationship Id="rId28" Type="http://schemas.openxmlformats.org/officeDocument/2006/relationships/hyperlink" Target="https://www.prov.vic.gov.au/recordkeeping-government/about-standards-framework-policies" TargetMode="External"/><Relationship Id="rId36" Type="http://schemas.openxmlformats.org/officeDocument/2006/relationships/hyperlink" Target="https://www.prov.vic.gov.au/sites/default/files/2016-05/1017s1%20v2.0.pdf" TargetMode="External"/><Relationship Id="rId10" Type="http://schemas.openxmlformats.org/officeDocument/2006/relationships/header" Target="header2.xml"/><Relationship Id="rId19" Type="http://schemas.openxmlformats.org/officeDocument/2006/relationships/hyperlink" Target="http://www.dtf.vic.gov.au/Government-Financial-Management/VPS-operating-manual-on-machinery-of-government-changes" TargetMode="External"/><Relationship Id="rId31" Type="http://schemas.openxmlformats.org/officeDocument/2006/relationships/hyperlink" Target="https://www.vic.gov.au/information-management-policies-and-standard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cpdp.vic.gov.au/menu-data-security/victorian-protective-data-security-framework/vpdsf" TargetMode="External"/><Relationship Id="rId27" Type="http://schemas.openxmlformats.org/officeDocument/2006/relationships/hyperlink" Target="http://www.foi.vic.gov.au/home/for+government+agencies/foi+act+guidelines" TargetMode="External"/><Relationship Id="rId30" Type="http://schemas.openxmlformats.org/officeDocument/2006/relationships/hyperlink" Target="http://www.dtf.vic.gov.au/Government-Financial-Management/VPS-operating-manual-on-machinery-of-government-changes" TargetMode="External"/><Relationship Id="rId35" Type="http://schemas.openxmlformats.org/officeDocument/2006/relationships/hyperlink" Target="https://www.prov.vic.gov.au/sites/default/files/2016-05/pros%201017%20v2.0.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6E03-417D-4483-B817-7723E06BA611}">
  <ds:schemaRefs>
    <ds:schemaRef ds:uri="http://www.w3.org/2001/XMLSchema"/>
  </ds:schemaRefs>
</ds:datastoreItem>
</file>

<file path=customXml/itemProps2.xml><?xml version="1.0" encoding="utf-8"?>
<ds:datastoreItem xmlns:ds="http://schemas.openxmlformats.org/officeDocument/2006/customXml" ds:itemID="{22D74CAE-6130-48B5-A7A6-D58B716C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2086</Words>
  <Characters>12237</Characters>
  <Application>Microsoft Office Word</Application>
  <DocSecurity>0</DocSecurity>
  <Lines>261</Lines>
  <Paragraphs>143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14220</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11</cp:revision>
  <cp:lastPrinted>2020-08-17T06:26:00Z</cp:lastPrinted>
  <dcterms:created xsi:type="dcterms:W3CDTF">2018-09-27T04:09:00Z</dcterms:created>
  <dcterms:modified xsi:type="dcterms:W3CDTF">2020-08-17T06:26:00Z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64baadd7-8316-4fa6-aedc-6b71ece6ff7f</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2020-08-17T06:26:09.2412300Z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