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rPr>
          <w:b w:val="0"/>
          <w:color w:val="FFFFFF" w:themeColor="background1"/>
          <w:sz w:val="20"/>
        </w:rPr>
        <w:id w:val="1816074316"/>
        <w:docPartObj>
          <w:docPartGallery w:val="Cover Pages"/>
          <w:docPartUnique/>
        </w:docPartObj>
      </w:sdtPr>
      <w:sdtEndPr>
        <w:rPr>
          <w:color w:val="auto"/>
          <w:sz w:val="2"/>
          <w:szCs w:val="2"/>
        </w:rPr>
      </w:sdtEndPr>
      <w:sdtContent>
        <w:tbl>
          <w:tblPr>
            <w:tblW w:w="0" w:type="auto"/>
            <w:tblInd w:w="170" w:type="dxa"/>
            <w:tblLayout w:type="fixed"/>
            <w:tblCellMar>
              <w:left w:w="0" w:type="dxa"/>
              <w:right w:w="0" w:type="dxa"/>
            </w:tblCellMar>
            <w:tblLook w:val="04A0" w:firstRow="1" w:lastRow="0" w:firstColumn="1" w:lastColumn="0" w:noHBand="0" w:noVBand="1"/>
          </w:tblPr>
          <w:tblGrid>
            <w:gridCol w:w="10773"/>
          </w:tblGrid>
          <w:tr w:rsidR="00032E15" w:rsidRPr="00032E15" w14:paraId="7A4AAA97" w14:textId="77777777" w:rsidTr="00D61A6B">
            <w:trPr>
              <w:trHeight w:hRule="exact" w:val="9582"/>
            </w:trPr>
            <w:tc>
              <w:tcPr>
                <w:tcW w:w="10773" w:type="dxa"/>
                <w:shd w:val="clear" w:color="auto" w:fill="auto"/>
              </w:tcPr>
              <w:p w14:paraId="31FB7B04" w14:textId="77777777" w:rsidR="00032E15" w:rsidRPr="00032E15" w:rsidRDefault="00032E15" w:rsidP="00D61A6B">
                <w:pPr>
                  <w:pStyle w:val="CoverDate"/>
                  <w:rPr>
                    <w:color w:val="FFFFFF" w:themeColor="background1"/>
                  </w:rPr>
                </w:pPr>
              </w:p>
              <w:p w14:paraId="17AB060C" w14:textId="77777777" w:rsidR="00032E15" w:rsidRPr="00032E15" w:rsidRDefault="00032E15" w:rsidP="00D61A6B">
                <w:pPr>
                  <w:pStyle w:val="CoverHeading"/>
                  <w:rPr>
                    <w:color w:val="FFFFFF" w:themeColor="background1"/>
                  </w:rPr>
                </w:pPr>
              </w:p>
              <w:p w14:paraId="1713B9AD" w14:textId="77777777" w:rsidR="00032E15" w:rsidRPr="00032E15" w:rsidRDefault="00032E15" w:rsidP="00D61A6B">
                <w:pPr>
                  <w:pStyle w:val="CoverHeading"/>
                  <w:rPr>
                    <w:color w:val="FFFFFF" w:themeColor="background1"/>
                  </w:rPr>
                </w:pPr>
              </w:p>
              <w:p w14:paraId="6AC6E7FA" w14:textId="77777777" w:rsidR="00032E15" w:rsidRPr="00032E15" w:rsidRDefault="00032E15" w:rsidP="00D61A6B">
                <w:pPr>
                  <w:pStyle w:val="CoverHeading"/>
                  <w:rPr>
                    <w:color w:val="FFFFFF" w:themeColor="background1"/>
                  </w:rPr>
                </w:pPr>
              </w:p>
              <w:p w14:paraId="6BBE629F" w14:textId="77777777" w:rsidR="00032E15" w:rsidRPr="00032E15" w:rsidRDefault="00032E15" w:rsidP="00D61A6B">
                <w:pPr>
                  <w:pStyle w:val="CoverHeading"/>
                  <w:rPr>
                    <w:color w:val="FFFFFF" w:themeColor="background1"/>
                  </w:rPr>
                </w:pPr>
              </w:p>
              <w:p w14:paraId="01DA50E5" w14:textId="39C9D719" w:rsidR="00032E15" w:rsidRPr="00032E15" w:rsidRDefault="00032E15" w:rsidP="00D61A6B">
                <w:pPr>
                  <w:pStyle w:val="CoverHeading2"/>
                  <w:tabs>
                    <w:tab w:val="left" w:pos="9950"/>
                  </w:tabs>
                  <w:spacing w:after="120"/>
                </w:pPr>
                <w:r w:rsidRPr="00032E15">
                  <w:rPr>
                    <w:color w:val="FFFFFF" w:themeColor="background1"/>
                  </w:rPr>
                  <w:br/>
                </w:r>
                <w:r w:rsidR="0013561C">
                  <w:fldChar w:fldCharType="begin"/>
                </w:r>
                <w:r w:rsidR="0013561C">
                  <w:instrText xml:space="preserve"> DOCPROPERTY  "Cover Heading"  \* MERGEFORMAT </w:instrText>
                </w:r>
                <w:r w:rsidR="0013561C">
                  <w:fldChar w:fldCharType="separate"/>
                </w:r>
                <w:r w:rsidR="005544E2">
                  <w:t>Audit of timber harvesting operations in Victoria's State forests</w:t>
                </w:r>
                <w:r w:rsidR="0013561C">
                  <w:fldChar w:fldCharType="end"/>
                </w:r>
                <w:bookmarkStart w:id="0" w:name="starthere"/>
                <w:bookmarkEnd w:id="0"/>
              </w:p>
              <w:p w14:paraId="2F5E20A8" w14:textId="30C31004" w:rsidR="00032E15" w:rsidRPr="00032E15" w:rsidRDefault="0013561C" w:rsidP="00D61A6B">
                <w:pPr>
                  <w:pStyle w:val="CoverTitle"/>
                  <w:spacing w:after="360"/>
                </w:pPr>
                <w:r>
                  <w:fldChar w:fldCharType="begin"/>
                </w:r>
                <w:r>
                  <w:instrText xml:space="preserve"> DOCPROPERTY  "Cover Subheading"  \* MERGEFORMAT </w:instrText>
                </w:r>
                <w:r>
                  <w:fldChar w:fldCharType="separate"/>
                </w:r>
                <w:r w:rsidR="005544E2">
                  <w:t>Report of the 2018-19 Forest Audit Program</w:t>
                </w:r>
                <w:r>
                  <w:fldChar w:fldCharType="end"/>
                </w:r>
              </w:p>
              <w:p w14:paraId="4917A11A" w14:textId="4FBD1703" w:rsidR="00032E15" w:rsidRPr="00032E15" w:rsidRDefault="0013561C" w:rsidP="00D61A6B">
                <w:pPr>
                  <w:pStyle w:val="CoverDate2"/>
                  <w:spacing w:after="120"/>
                </w:pPr>
                <w:r>
                  <w:fldChar w:fldCharType="begin"/>
                </w:r>
                <w:r>
                  <w:instrText xml:space="preserve"> DOCPROPERTY  "Document Number"  \* MERGEFORMAT </w:instrText>
                </w:r>
                <w:r>
                  <w:fldChar w:fldCharType="separate"/>
                </w:r>
                <w:r w:rsidR="005544E2">
                  <w:t>IS284400-RP-002</w:t>
                </w:r>
                <w:r>
                  <w:fldChar w:fldCharType="end"/>
                </w:r>
                <w:r w:rsidR="00032E15" w:rsidRPr="00032E15">
                  <w:t xml:space="preserve"> | </w:t>
                </w:r>
                <w:r>
                  <w:fldChar w:fldCharType="begin"/>
                </w:r>
                <w:r>
                  <w:instrText xml:space="preserve"> DOCPROPERTY  Revision  \* MERGEFORMAT </w:instrText>
                </w:r>
                <w:r>
                  <w:fldChar w:fldCharType="separate"/>
                </w:r>
                <w:r w:rsidR="005544E2">
                  <w:t>RevC</w:t>
                </w:r>
                <w:r>
                  <w:fldChar w:fldCharType="end"/>
                </w:r>
              </w:p>
              <w:p w14:paraId="2A8C4BA5" w14:textId="49B604FE" w:rsidR="00032E15" w:rsidRPr="00032E15" w:rsidRDefault="0013561C" w:rsidP="00D61A6B">
                <w:pPr>
                  <w:pStyle w:val="CoverDate2"/>
                  <w:spacing w:after="360"/>
                </w:pPr>
                <w:r>
                  <w:fldChar w:fldCharType="begin"/>
                </w:r>
                <w:r>
                  <w:instrText xml:space="preserve"> DOCPROPERTY  Date  \* MERGEFORMAT </w:instrText>
                </w:r>
                <w:r>
                  <w:fldChar w:fldCharType="separate"/>
                </w:r>
                <w:r w:rsidR="005544E2">
                  <w:t>February 21, 2020</w:t>
                </w:r>
                <w:r>
                  <w:fldChar w:fldCharType="end"/>
                </w:r>
                <w:r w:rsidR="00032E15" w:rsidRPr="00032E15">
                  <w:t xml:space="preserve"> </w:t>
                </w:r>
              </w:p>
              <w:p w14:paraId="633ED3AE" w14:textId="460728C7" w:rsidR="00032E15" w:rsidRPr="00032E15" w:rsidRDefault="00032E15" w:rsidP="00D61A6B">
                <w:pPr>
                  <w:pStyle w:val="CoverDate2"/>
                  <w:rPr>
                    <w:color w:val="auto"/>
                  </w:rPr>
                </w:pPr>
                <w:r w:rsidRPr="00032E15">
                  <w:rPr>
                    <w:color w:val="auto"/>
                  </w:rPr>
                  <w:fldChar w:fldCharType="begin"/>
                </w:r>
                <w:r w:rsidRPr="00032E15">
                  <w:rPr>
                    <w:color w:val="auto"/>
                  </w:rPr>
                  <w:instrText xml:space="preserve"> DOCPROPERTY  "Client Name"  \* MERGEFORMAT </w:instrText>
                </w:r>
                <w:r w:rsidRPr="00032E15">
                  <w:rPr>
                    <w:color w:val="auto"/>
                  </w:rPr>
                  <w:fldChar w:fldCharType="separate"/>
                </w:r>
                <w:r w:rsidR="005544E2">
                  <w:rPr>
                    <w:color w:val="auto"/>
                  </w:rPr>
                  <w:t>Department of Environment, Land, Water and Planning</w:t>
                </w:r>
                <w:r w:rsidRPr="00032E15">
                  <w:rPr>
                    <w:color w:val="auto"/>
                  </w:rPr>
                  <w:fldChar w:fldCharType="end"/>
                </w:r>
              </w:p>
              <w:p w14:paraId="7C4B92C6" w14:textId="6D8B33A3" w:rsidR="00032E15" w:rsidRPr="00032E15" w:rsidRDefault="00032E15" w:rsidP="00D61A6B">
                <w:pPr>
                  <w:pStyle w:val="CoverDate2"/>
                </w:pPr>
                <w:r w:rsidRPr="00BF0918">
                  <w:rPr>
                    <w:rFonts w:cs="Arial"/>
                    <w:b w:val="0"/>
                    <w:noProof/>
                    <w:color w:val="808080"/>
                    <w:szCs w:val="22"/>
                    <w:lang w:eastAsia="en-AU"/>
                  </w:rPr>
                  <w:drawing>
                    <wp:anchor distT="0" distB="0" distL="114300" distR="114300" simplePos="0" relativeHeight="251659264" behindDoc="0" locked="1" layoutInCell="0" allowOverlap="0" wp14:anchorId="2B2B0D24" wp14:editId="2DA3D77A">
                      <wp:simplePos x="0" y="0"/>
                      <wp:positionH relativeFrom="page">
                        <wp:posOffset>4659630</wp:posOffset>
                      </wp:positionH>
                      <wp:positionV relativeFrom="page">
                        <wp:posOffset>936625</wp:posOffset>
                      </wp:positionV>
                      <wp:extent cx="1637665" cy="376555"/>
                      <wp:effectExtent l="0" t="0" r="635" b="4445"/>
                      <wp:wrapNone/>
                      <wp:docPr id="24"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1"/>
                              <a:stretch>
                                <a:fillRect/>
                              </a:stretch>
                            </pic:blipFill>
                            <pic:spPr>
                              <a:xfrm>
                                <a:off x="0" y="0"/>
                                <a:ext cx="1637665" cy="376555"/>
                              </a:xfrm>
                              <a:prstGeom prst="rect">
                                <a:avLst/>
                              </a:prstGeom>
                              <a:noFill/>
                            </pic:spPr>
                          </pic:pic>
                        </a:graphicData>
                      </a:graphic>
                      <wp14:sizeRelH relativeFrom="margin">
                        <wp14:pctWidth>0</wp14:pctWidth>
                      </wp14:sizeRelH>
                      <wp14:sizeRelV relativeFrom="margin">
                        <wp14:pctHeight>0</wp14:pctHeight>
                      </wp14:sizeRelV>
                    </wp:anchor>
                  </w:drawing>
                </w:r>
                <w:r w:rsidR="0013561C">
                  <w:fldChar w:fldCharType="begin"/>
                </w:r>
                <w:r w:rsidR="0013561C">
                  <w:instrText xml:space="preserve"> DOCPROPERTY  "Cover Reference"  \* MERGEFORMAT </w:instrText>
                </w:r>
                <w:r w:rsidR="0013561C">
                  <w:fldChar w:fldCharType="separate"/>
                </w:r>
                <w:r w:rsidR="005544E2">
                  <w:t>Contract 341868</w:t>
                </w:r>
                <w:r w:rsidR="0013561C">
                  <w:fldChar w:fldCharType="end"/>
                </w:r>
              </w:p>
            </w:tc>
          </w:tr>
          <w:tr w:rsidR="00032E15" w:rsidRPr="00032E15" w14:paraId="405464CD" w14:textId="77777777" w:rsidTr="00D61A6B">
            <w:trPr>
              <w:trHeight w:hRule="exact" w:val="4820"/>
            </w:trPr>
            <w:tc>
              <w:tcPr>
                <w:tcW w:w="10773" w:type="dxa"/>
                <w:shd w:val="clear" w:color="auto" w:fill="auto"/>
              </w:tcPr>
              <w:p w14:paraId="1D7F5C04" w14:textId="5A42B9B4" w:rsidR="00032E15" w:rsidRPr="00032E15" w:rsidRDefault="00032E15" w:rsidP="00D61A6B">
                <w:pPr>
                  <w:pStyle w:val="DocumentTitle"/>
                  <w:spacing w:after="0" w:line="240" w:lineRule="auto"/>
                  <w:rPr>
                    <w:color w:val="FFFFFF" w:themeColor="background1"/>
                    <w:sz w:val="2"/>
                  </w:rPr>
                </w:pPr>
                <w:r w:rsidRPr="00032E15">
                  <w:rPr>
                    <w:color w:val="FFFFFF" w:themeColor="background1"/>
                    <w:sz w:val="2"/>
                  </w:rPr>
                  <w:fldChar w:fldCharType="begin"/>
                </w:r>
                <w:r w:rsidRPr="00032E15">
                  <w:rPr>
                    <w:color w:val="FFFFFF" w:themeColor="background1"/>
                    <w:sz w:val="2"/>
                  </w:rPr>
                  <w:instrText xml:space="preserve"> DOCPROPERTY  "Document Title"  \* MERGEFORMAT </w:instrText>
                </w:r>
                <w:r w:rsidRPr="00032E15">
                  <w:rPr>
                    <w:color w:val="FFFFFF" w:themeColor="background1"/>
                    <w:sz w:val="2"/>
                  </w:rPr>
                  <w:fldChar w:fldCharType="separate"/>
                </w:r>
                <w:r w:rsidR="005544E2">
                  <w:rPr>
                    <w:color w:val="FFFFFF" w:themeColor="background1"/>
                    <w:sz w:val="2"/>
                  </w:rPr>
                  <w:t>Report of the 2018-19 Forest Audit Program</w:t>
                </w:r>
                <w:r w:rsidRPr="00032E15">
                  <w:rPr>
                    <w:color w:val="FFFFFF" w:themeColor="background1"/>
                    <w:sz w:val="2"/>
                  </w:rPr>
                  <w:fldChar w:fldCharType="end"/>
                </w:r>
              </w:p>
              <w:p w14:paraId="39F9D45A" w14:textId="0A58EB4A" w:rsidR="00032E15" w:rsidRPr="00032E15" w:rsidRDefault="00032E15" w:rsidP="00D61A6B">
                <w:pPr>
                  <w:pStyle w:val="ClientName"/>
                  <w:spacing w:after="0" w:line="240" w:lineRule="auto"/>
                </w:pPr>
                <w:r w:rsidRPr="00032E15">
                  <w:rPr>
                    <w:color w:val="FFFFFF" w:themeColor="background1"/>
                    <w:sz w:val="2"/>
                  </w:rPr>
                  <w:fldChar w:fldCharType="begin"/>
                </w:r>
                <w:r w:rsidRPr="00032E15">
                  <w:rPr>
                    <w:color w:val="FFFFFF" w:themeColor="background1"/>
                    <w:sz w:val="2"/>
                  </w:rPr>
                  <w:instrText xml:space="preserve"> DOCPROPERTY  "Client Name"  \* MERGEFORMAT </w:instrText>
                </w:r>
                <w:r w:rsidRPr="00032E15">
                  <w:rPr>
                    <w:color w:val="FFFFFF" w:themeColor="background1"/>
                    <w:sz w:val="2"/>
                  </w:rPr>
                  <w:fldChar w:fldCharType="separate"/>
                </w:r>
                <w:r w:rsidR="005544E2">
                  <w:rPr>
                    <w:color w:val="FFFFFF" w:themeColor="background1"/>
                    <w:sz w:val="2"/>
                  </w:rPr>
                  <w:t>Department of Environment, Land, Water and Planning</w:t>
                </w:r>
                <w:r w:rsidRPr="00032E15">
                  <w:rPr>
                    <w:color w:val="FFFFFF" w:themeColor="background1"/>
                    <w:sz w:val="2"/>
                  </w:rPr>
                  <w:fldChar w:fldCharType="end"/>
                </w:r>
                <w:r w:rsidR="00A36C78">
                  <w:rPr>
                    <w:noProof/>
                    <w:color w:val="FFFFFF" w:themeColor="background1"/>
                    <w:sz w:val="2"/>
                  </w:rPr>
                  <w:drawing>
                    <wp:inline distT="0" distB="0" distL="0" distR="0" wp14:anchorId="10F29467" wp14:editId="4110D270">
                      <wp:extent cx="6688455" cy="3006287"/>
                      <wp:effectExtent l="0" t="0" r="0" b="381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28511" cy="3024291"/>
                              </a:xfrm>
                              <a:prstGeom prst="rect">
                                <a:avLst/>
                              </a:prstGeom>
                              <a:noFill/>
                            </pic:spPr>
                          </pic:pic>
                        </a:graphicData>
                      </a:graphic>
                    </wp:inline>
                  </w:drawing>
                </w:r>
                <w:r w:rsidRPr="00032E15">
                  <w:rPr>
                    <w:noProof/>
                    <w:lang w:eastAsia="en-AU"/>
                  </w:rPr>
                  <w:drawing>
                    <wp:inline distT="0" distB="0" distL="0" distR="0" wp14:anchorId="018E1C0C" wp14:editId="4EAD1F78">
                      <wp:extent cx="6823731" cy="30564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M_Titanium.jpg"/>
                              <pic:cNvPicPr/>
                            </pic:nvPicPr>
                            <pic:blipFill>
                              <a:blip r:embed="rId13"/>
                              <a:stretch>
                                <a:fillRect/>
                              </a:stretch>
                            </pic:blipFill>
                            <pic:spPr>
                              <a:xfrm>
                                <a:off x="0" y="0"/>
                                <a:ext cx="6823731" cy="3056400"/>
                              </a:xfrm>
                              <a:prstGeom prst="rect">
                                <a:avLst/>
                              </a:prstGeom>
                              <a:noFill/>
                              <a:ln>
                                <a:noFill/>
                              </a:ln>
                            </pic:spPr>
                          </pic:pic>
                        </a:graphicData>
                      </a:graphic>
                    </wp:inline>
                  </w:drawing>
                </w:r>
              </w:p>
            </w:tc>
          </w:tr>
        </w:tbl>
        <w:p w14:paraId="00ABD9BA" w14:textId="77777777" w:rsidR="00032E15" w:rsidRPr="00032E15" w:rsidRDefault="0013561C" w:rsidP="00D61A6B">
          <w:pPr>
            <w:tabs>
              <w:tab w:val="left" w:pos="9923"/>
            </w:tabs>
            <w:spacing w:after="0" w:line="240" w:lineRule="auto"/>
            <w:rPr>
              <w:sz w:val="2"/>
              <w:szCs w:val="2"/>
            </w:rPr>
            <w:sectPr w:rsidR="00032E15" w:rsidRPr="00032E15" w:rsidSect="00032E15">
              <w:headerReference w:type="even" r:id="rId14"/>
              <w:headerReference w:type="default" r:id="rId15"/>
              <w:footerReference w:type="even" r:id="rId16"/>
              <w:footerReference w:type="default" r:id="rId17"/>
              <w:pgSz w:w="12240" w:h="15840" w:code="9"/>
              <w:pgMar w:top="567" w:right="567" w:bottom="567" w:left="567" w:header="567" w:footer="369" w:gutter="0"/>
              <w:cols w:space="0"/>
              <w:formProt w:val="0"/>
              <w:docGrid w:linePitch="360"/>
            </w:sectPr>
          </w:pPr>
        </w:p>
      </w:sdtContent>
    </w:sdt>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990"/>
        <w:gridCol w:w="7959"/>
      </w:tblGrid>
      <w:tr w:rsidR="00032E15" w:rsidRPr="00032E15" w14:paraId="4D4FF40E" w14:textId="77777777" w:rsidTr="00D61A6B">
        <w:trPr>
          <w:trHeight w:hRule="exact" w:val="683"/>
        </w:trPr>
        <w:tc>
          <w:tcPr>
            <w:tcW w:w="5000" w:type="pct"/>
            <w:gridSpan w:val="2"/>
          </w:tcPr>
          <w:p w14:paraId="5BCC7276" w14:textId="3DA6B874" w:rsidR="00032E15" w:rsidRPr="00032E15" w:rsidRDefault="0013561C" w:rsidP="00D61A6B">
            <w:pPr>
              <w:pStyle w:val="ProjectName"/>
            </w:pPr>
            <w:r>
              <w:lastRenderedPageBreak/>
              <w:fldChar w:fldCharType="begin"/>
            </w:r>
            <w:r>
              <w:instrText xml:space="preserve"> DOCPROPERTY  "Project Name"  \* MERGEFORMAT </w:instrText>
            </w:r>
            <w:r>
              <w:fldChar w:fldCharType="separate"/>
            </w:r>
            <w:r w:rsidR="005544E2">
              <w:t>Audit of timber harvesting operations in Victoria's State forests</w:t>
            </w:r>
            <w:r>
              <w:fldChar w:fldCharType="end"/>
            </w:r>
          </w:p>
        </w:tc>
      </w:tr>
      <w:tr w:rsidR="00032E15" w:rsidRPr="00032E15" w14:paraId="78FC4E0E" w14:textId="77777777" w:rsidTr="00D61A6B">
        <w:trPr>
          <w:trHeight w:val="284"/>
        </w:trPr>
        <w:tc>
          <w:tcPr>
            <w:tcW w:w="1000" w:type="pct"/>
          </w:tcPr>
          <w:p w14:paraId="0F52A491" w14:textId="77777777" w:rsidR="00032E15" w:rsidRPr="00032E15" w:rsidRDefault="00032E15" w:rsidP="00D61A6B">
            <w:pPr>
              <w:pStyle w:val="Tabletext"/>
              <w:spacing w:before="0"/>
            </w:pPr>
            <w:r w:rsidRPr="00032E15">
              <w:t>Project No:</w:t>
            </w:r>
          </w:p>
        </w:tc>
        <w:tc>
          <w:tcPr>
            <w:tcW w:w="4000" w:type="pct"/>
          </w:tcPr>
          <w:p w14:paraId="707FFC3B" w14:textId="361BE7F6" w:rsidR="00032E15" w:rsidRPr="00032E15" w:rsidRDefault="0013561C" w:rsidP="00D61A6B">
            <w:pPr>
              <w:pStyle w:val="ProjectNo"/>
            </w:pPr>
            <w:r>
              <w:fldChar w:fldCharType="begin"/>
            </w:r>
            <w:r>
              <w:instrText xml:space="preserve"> DOCPROPERTY  "Project Number"  \* MERGEFORMAT </w:instrText>
            </w:r>
            <w:r>
              <w:fldChar w:fldCharType="separate"/>
            </w:r>
            <w:r w:rsidR="005544E2">
              <w:t>IS284400</w:t>
            </w:r>
            <w:r>
              <w:fldChar w:fldCharType="end"/>
            </w:r>
          </w:p>
        </w:tc>
      </w:tr>
      <w:tr w:rsidR="00032E15" w:rsidRPr="00032E15" w14:paraId="5CBA9526" w14:textId="77777777" w:rsidTr="00D61A6B">
        <w:trPr>
          <w:trHeight w:val="284"/>
        </w:trPr>
        <w:tc>
          <w:tcPr>
            <w:tcW w:w="1000" w:type="pct"/>
          </w:tcPr>
          <w:p w14:paraId="024B5B36" w14:textId="77777777" w:rsidR="00032E15" w:rsidRPr="00032E15" w:rsidRDefault="00032E15" w:rsidP="00D61A6B">
            <w:pPr>
              <w:pStyle w:val="Tabletext"/>
              <w:spacing w:before="0"/>
            </w:pPr>
            <w:r w:rsidRPr="00032E15">
              <w:t>Document Title:</w:t>
            </w:r>
          </w:p>
        </w:tc>
        <w:tc>
          <w:tcPr>
            <w:tcW w:w="4000" w:type="pct"/>
          </w:tcPr>
          <w:p w14:paraId="1FF6DE4B" w14:textId="4BE9DB1D" w:rsidR="00032E15" w:rsidRPr="00032E15" w:rsidRDefault="0013561C" w:rsidP="00D61A6B">
            <w:pPr>
              <w:pStyle w:val="DocumentTitle"/>
            </w:pPr>
            <w:r>
              <w:fldChar w:fldCharType="begin"/>
            </w:r>
            <w:r>
              <w:instrText xml:space="preserve"> DOCPROPERTY  "Document Title"  \* MERGEFORMAT </w:instrText>
            </w:r>
            <w:r>
              <w:fldChar w:fldCharType="separate"/>
            </w:r>
            <w:r w:rsidR="005544E2">
              <w:t>Report of the 2018-19 Forest Audit Program</w:t>
            </w:r>
            <w:r>
              <w:fldChar w:fldCharType="end"/>
            </w:r>
          </w:p>
        </w:tc>
      </w:tr>
      <w:tr w:rsidR="00032E15" w:rsidRPr="00032E15" w14:paraId="4B3C1D77" w14:textId="77777777" w:rsidTr="00D61A6B">
        <w:trPr>
          <w:trHeight w:val="284"/>
        </w:trPr>
        <w:tc>
          <w:tcPr>
            <w:tcW w:w="1000" w:type="pct"/>
          </w:tcPr>
          <w:p w14:paraId="7CF8C298" w14:textId="77777777" w:rsidR="00032E15" w:rsidRPr="00032E15" w:rsidRDefault="00032E15" w:rsidP="00D61A6B">
            <w:pPr>
              <w:pStyle w:val="Tabletext"/>
              <w:spacing w:before="0"/>
            </w:pPr>
            <w:r w:rsidRPr="00032E15">
              <w:t>Document No.:</w:t>
            </w:r>
          </w:p>
        </w:tc>
        <w:tc>
          <w:tcPr>
            <w:tcW w:w="4000" w:type="pct"/>
          </w:tcPr>
          <w:p w14:paraId="6E4E41B8" w14:textId="26DB317A" w:rsidR="00032E15" w:rsidRPr="00032E15" w:rsidRDefault="0013561C" w:rsidP="00D61A6B">
            <w:pPr>
              <w:pStyle w:val="Tabletext"/>
              <w:spacing w:before="0"/>
            </w:pPr>
            <w:r>
              <w:fldChar w:fldCharType="begin"/>
            </w:r>
            <w:r>
              <w:instrText xml:space="preserve"> DOCPROPERTY  "Document Number"  \* MERGEFORMAT </w:instrText>
            </w:r>
            <w:r>
              <w:fldChar w:fldCharType="separate"/>
            </w:r>
            <w:r w:rsidR="005544E2">
              <w:t>IS284400-RP-002</w:t>
            </w:r>
            <w:r>
              <w:fldChar w:fldCharType="end"/>
            </w:r>
          </w:p>
        </w:tc>
      </w:tr>
      <w:tr w:rsidR="00032E15" w:rsidRPr="00032E15" w14:paraId="3A204371" w14:textId="77777777" w:rsidTr="00D61A6B">
        <w:trPr>
          <w:trHeight w:val="284"/>
        </w:trPr>
        <w:tc>
          <w:tcPr>
            <w:tcW w:w="1000" w:type="pct"/>
          </w:tcPr>
          <w:p w14:paraId="5C432E2D" w14:textId="77777777" w:rsidR="00032E15" w:rsidRPr="00032E15" w:rsidRDefault="00032E15" w:rsidP="00D61A6B">
            <w:pPr>
              <w:pStyle w:val="Tabletext"/>
              <w:spacing w:before="0"/>
            </w:pPr>
            <w:r w:rsidRPr="00032E15">
              <w:t>Revision:</w:t>
            </w:r>
          </w:p>
        </w:tc>
        <w:tc>
          <w:tcPr>
            <w:tcW w:w="4000" w:type="pct"/>
          </w:tcPr>
          <w:p w14:paraId="184F6D49" w14:textId="74F4B4C2" w:rsidR="00032E15" w:rsidRPr="00032E15" w:rsidRDefault="0013561C" w:rsidP="00D61A6B">
            <w:pPr>
              <w:pStyle w:val="Tabletext"/>
              <w:spacing w:before="0"/>
            </w:pPr>
            <w:r>
              <w:fldChar w:fldCharType="begin"/>
            </w:r>
            <w:r>
              <w:instrText xml:space="preserve"> DOCPROPERTY  Revision  \* MERGEFORMAT </w:instrText>
            </w:r>
            <w:r>
              <w:fldChar w:fldCharType="separate"/>
            </w:r>
            <w:r w:rsidR="005544E2">
              <w:t>RevC</w:t>
            </w:r>
            <w:r>
              <w:fldChar w:fldCharType="end"/>
            </w:r>
          </w:p>
        </w:tc>
      </w:tr>
      <w:tr w:rsidR="00032E15" w:rsidRPr="00032E15" w14:paraId="7E459604" w14:textId="77777777" w:rsidTr="00D61A6B">
        <w:trPr>
          <w:trHeight w:val="284"/>
        </w:trPr>
        <w:tc>
          <w:tcPr>
            <w:tcW w:w="1000" w:type="pct"/>
          </w:tcPr>
          <w:p w14:paraId="02C80931" w14:textId="77777777" w:rsidR="00032E15" w:rsidRPr="00032E15" w:rsidRDefault="00032E15" w:rsidP="00D61A6B">
            <w:pPr>
              <w:pStyle w:val="Tabletext"/>
              <w:spacing w:before="0"/>
            </w:pPr>
            <w:r w:rsidRPr="00032E15">
              <w:t>Date:</w:t>
            </w:r>
          </w:p>
        </w:tc>
        <w:tc>
          <w:tcPr>
            <w:tcW w:w="4000" w:type="pct"/>
          </w:tcPr>
          <w:p w14:paraId="4F1546AF" w14:textId="005D4BC2" w:rsidR="00032E15" w:rsidRPr="00032E15" w:rsidRDefault="0013561C" w:rsidP="00D61A6B">
            <w:pPr>
              <w:pStyle w:val="Tabletext"/>
              <w:spacing w:before="0"/>
            </w:pPr>
            <w:r>
              <w:fldChar w:fldCharType="begin"/>
            </w:r>
            <w:r>
              <w:instrText xml:space="preserve"> DOCPROPERTY  Date  \* MERGEFORMAT </w:instrText>
            </w:r>
            <w:r>
              <w:fldChar w:fldCharType="separate"/>
            </w:r>
            <w:r w:rsidR="005544E2">
              <w:t>February 21, 2020</w:t>
            </w:r>
            <w:r>
              <w:fldChar w:fldCharType="end"/>
            </w:r>
          </w:p>
        </w:tc>
      </w:tr>
      <w:tr w:rsidR="00032E15" w:rsidRPr="00032E15" w14:paraId="066CB6DE" w14:textId="77777777" w:rsidTr="00D61A6B">
        <w:trPr>
          <w:trHeight w:val="284"/>
        </w:trPr>
        <w:tc>
          <w:tcPr>
            <w:tcW w:w="1000" w:type="pct"/>
          </w:tcPr>
          <w:p w14:paraId="4E99249E" w14:textId="77777777" w:rsidR="00032E15" w:rsidRPr="00032E15" w:rsidRDefault="00032E15" w:rsidP="00D61A6B">
            <w:pPr>
              <w:pStyle w:val="Tabletext"/>
              <w:spacing w:before="0"/>
            </w:pPr>
            <w:r w:rsidRPr="00032E15">
              <w:t>Client Name:</w:t>
            </w:r>
          </w:p>
        </w:tc>
        <w:tc>
          <w:tcPr>
            <w:tcW w:w="4000" w:type="pct"/>
          </w:tcPr>
          <w:p w14:paraId="641EA354" w14:textId="483878F9" w:rsidR="00032E15" w:rsidRPr="00032E15" w:rsidRDefault="0013561C" w:rsidP="00D61A6B">
            <w:pPr>
              <w:pStyle w:val="ClientName"/>
              <w:spacing w:after="0"/>
            </w:pPr>
            <w:r>
              <w:fldChar w:fldCharType="begin"/>
            </w:r>
            <w:r>
              <w:instrText xml:space="preserve"> DOCPROPERTY  "Client Name"  \* MERGEFORMAT </w:instrText>
            </w:r>
            <w:r>
              <w:fldChar w:fldCharType="separate"/>
            </w:r>
            <w:r w:rsidR="005544E2">
              <w:t>Department of Environment, Land, Water and Planning</w:t>
            </w:r>
            <w:r>
              <w:fldChar w:fldCharType="end"/>
            </w:r>
          </w:p>
        </w:tc>
      </w:tr>
      <w:tr w:rsidR="00032E15" w:rsidRPr="00032E15" w14:paraId="37C1725A" w14:textId="77777777" w:rsidTr="00D61A6B">
        <w:trPr>
          <w:trHeight w:val="284"/>
        </w:trPr>
        <w:tc>
          <w:tcPr>
            <w:tcW w:w="1000" w:type="pct"/>
          </w:tcPr>
          <w:p w14:paraId="13B024F7" w14:textId="77777777" w:rsidR="00032E15" w:rsidRPr="00032E15" w:rsidRDefault="00032E15" w:rsidP="00D61A6B">
            <w:pPr>
              <w:pStyle w:val="Tabletext"/>
              <w:spacing w:before="0"/>
            </w:pPr>
            <w:r w:rsidRPr="00032E15">
              <w:t>Client No:</w:t>
            </w:r>
          </w:p>
        </w:tc>
        <w:tc>
          <w:tcPr>
            <w:tcW w:w="4000" w:type="pct"/>
          </w:tcPr>
          <w:p w14:paraId="6786C1B0" w14:textId="5C5B2D3E" w:rsidR="00032E15" w:rsidRPr="00032E15" w:rsidRDefault="0013561C" w:rsidP="00D61A6B">
            <w:pPr>
              <w:pStyle w:val="Tabletext"/>
              <w:spacing w:before="0"/>
            </w:pPr>
            <w:r>
              <w:fldChar w:fldCharType="begin"/>
            </w:r>
            <w:r>
              <w:instrText xml:space="preserve"> DOCPROPERTY  "Client Reference"  \* MERGEFORMAT </w:instrText>
            </w:r>
            <w:r>
              <w:fldChar w:fldCharType="separate"/>
            </w:r>
            <w:r w:rsidR="005544E2">
              <w:t>Contract 341868</w:t>
            </w:r>
            <w:r>
              <w:fldChar w:fldCharType="end"/>
            </w:r>
          </w:p>
        </w:tc>
      </w:tr>
      <w:tr w:rsidR="00032E15" w:rsidRPr="00032E15" w14:paraId="1077B01C" w14:textId="77777777" w:rsidTr="00D61A6B">
        <w:trPr>
          <w:trHeight w:val="284"/>
        </w:trPr>
        <w:tc>
          <w:tcPr>
            <w:tcW w:w="1000" w:type="pct"/>
          </w:tcPr>
          <w:p w14:paraId="134CB260" w14:textId="77777777" w:rsidR="00032E15" w:rsidRPr="00032E15" w:rsidRDefault="00032E15" w:rsidP="00D61A6B">
            <w:pPr>
              <w:pStyle w:val="Tabletext"/>
              <w:spacing w:before="0"/>
            </w:pPr>
            <w:r w:rsidRPr="00032E15">
              <w:t>Project Manager:</w:t>
            </w:r>
          </w:p>
        </w:tc>
        <w:tc>
          <w:tcPr>
            <w:tcW w:w="4000" w:type="pct"/>
          </w:tcPr>
          <w:p w14:paraId="0063D1E3" w14:textId="26385D53" w:rsidR="00032E15" w:rsidRPr="00032E15" w:rsidRDefault="0013561C" w:rsidP="00D61A6B">
            <w:pPr>
              <w:pStyle w:val="Tabletext"/>
              <w:spacing w:before="0"/>
            </w:pPr>
            <w:r>
              <w:fldChar w:fldCharType="begin"/>
            </w:r>
            <w:r>
              <w:instrText xml:space="preserve"> DOCPROPERTY  "Project Manager"  \* MERGEFORMAT </w:instrText>
            </w:r>
            <w:r>
              <w:fldChar w:fldCharType="separate"/>
            </w:r>
            <w:r w:rsidR="005544E2">
              <w:t>Craig Clifton</w:t>
            </w:r>
            <w:r>
              <w:fldChar w:fldCharType="end"/>
            </w:r>
          </w:p>
        </w:tc>
      </w:tr>
      <w:tr w:rsidR="00032E15" w:rsidRPr="00032E15" w14:paraId="4D9499BD" w14:textId="77777777" w:rsidTr="00D61A6B">
        <w:trPr>
          <w:trHeight w:val="284"/>
        </w:trPr>
        <w:tc>
          <w:tcPr>
            <w:tcW w:w="1000" w:type="pct"/>
          </w:tcPr>
          <w:p w14:paraId="5AABCFF4" w14:textId="77777777" w:rsidR="00032E15" w:rsidRPr="00032E15" w:rsidRDefault="00032E15" w:rsidP="00D61A6B">
            <w:pPr>
              <w:pStyle w:val="Tabletext"/>
              <w:spacing w:before="0"/>
            </w:pPr>
            <w:r w:rsidRPr="00032E15">
              <w:t>Author:</w:t>
            </w:r>
          </w:p>
        </w:tc>
        <w:tc>
          <w:tcPr>
            <w:tcW w:w="4000" w:type="pct"/>
          </w:tcPr>
          <w:p w14:paraId="0C55AB2D" w14:textId="333FAD2F" w:rsidR="00032E15" w:rsidRPr="00032E15" w:rsidRDefault="0013561C" w:rsidP="00D61A6B">
            <w:pPr>
              <w:pStyle w:val="Tabletext"/>
              <w:spacing w:before="0"/>
            </w:pPr>
            <w:r>
              <w:fldChar w:fldCharType="begin"/>
            </w:r>
            <w:r>
              <w:instrText xml:space="preserve"> DOCPROPERTY  "Prepared By"  \* MERGEFORMAT </w:instrText>
            </w:r>
            <w:r>
              <w:fldChar w:fldCharType="separate"/>
            </w:r>
            <w:r w:rsidR="005544E2">
              <w:t>Craig Clifton and Drew King</w:t>
            </w:r>
            <w:r>
              <w:fldChar w:fldCharType="end"/>
            </w:r>
          </w:p>
        </w:tc>
      </w:tr>
      <w:tr w:rsidR="00032E15" w:rsidRPr="00032E15" w14:paraId="359B2FDA" w14:textId="77777777" w:rsidTr="00D61A6B">
        <w:trPr>
          <w:trHeight w:val="284"/>
        </w:trPr>
        <w:tc>
          <w:tcPr>
            <w:tcW w:w="1000" w:type="pct"/>
          </w:tcPr>
          <w:p w14:paraId="58DAD0EF" w14:textId="77777777" w:rsidR="00032E15" w:rsidRPr="00032E15" w:rsidRDefault="00032E15" w:rsidP="00D61A6B">
            <w:pPr>
              <w:pStyle w:val="Tabletext"/>
              <w:spacing w:before="0"/>
            </w:pPr>
            <w:r w:rsidRPr="00032E15">
              <w:t>File Name:</w:t>
            </w:r>
          </w:p>
        </w:tc>
        <w:tc>
          <w:tcPr>
            <w:tcW w:w="4000" w:type="pct"/>
          </w:tcPr>
          <w:p w14:paraId="5D8E4287" w14:textId="35A68673" w:rsidR="00032E15" w:rsidRPr="00032E15" w:rsidRDefault="00032E15" w:rsidP="00D61A6B">
            <w:pPr>
              <w:pStyle w:val="Tabletext"/>
              <w:spacing w:before="0"/>
            </w:pPr>
            <w:r w:rsidRPr="00032E15">
              <w:rPr>
                <w:noProof/>
              </w:rPr>
              <w:fldChar w:fldCharType="begin"/>
            </w:r>
            <w:r w:rsidRPr="00032E15">
              <w:rPr>
                <w:noProof/>
              </w:rPr>
              <w:instrText xml:space="preserve"> FILENAME   \* MERGEFORMAT </w:instrText>
            </w:r>
            <w:r w:rsidRPr="00032E15">
              <w:rPr>
                <w:noProof/>
              </w:rPr>
              <w:fldChar w:fldCharType="separate"/>
            </w:r>
            <w:r w:rsidR="005544E2">
              <w:rPr>
                <w:noProof/>
              </w:rPr>
              <w:t>is284400-RP-002 fap2018-19 audit report-revC</w:t>
            </w:r>
            <w:r w:rsidRPr="00032E15">
              <w:rPr>
                <w:noProof/>
              </w:rPr>
              <w:fldChar w:fldCharType="end"/>
            </w:r>
          </w:p>
        </w:tc>
      </w:tr>
      <w:tr w:rsidR="00032E15" w:rsidRPr="00032E15" w14:paraId="74341635" w14:textId="77777777" w:rsidTr="00D61A6B">
        <w:trPr>
          <w:trHeight w:hRule="exact" w:val="122"/>
        </w:trPr>
        <w:tc>
          <w:tcPr>
            <w:tcW w:w="5000" w:type="pct"/>
            <w:gridSpan w:val="2"/>
          </w:tcPr>
          <w:p w14:paraId="1D878CDF" w14:textId="77777777" w:rsidR="00032E15" w:rsidRPr="00032E15" w:rsidRDefault="00032E15" w:rsidP="00D61A6B">
            <w:pPr>
              <w:pStyle w:val="Tabletext"/>
            </w:pPr>
          </w:p>
        </w:tc>
      </w:tr>
      <w:tr w:rsidR="00032E15" w:rsidRPr="00032E15" w14:paraId="289A8D91" w14:textId="77777777" w:rsidTr="00D61A6B">
        <w:trPr>
          <w:trHeight w:val="2278"/>
        </w:trPr>
        <w:tc>
          <w:tcPr>
            <w:tcW w:w="5000" w:type="pct"/>
            <w:gridSpan w:val="2"/>
          </w:tcPr>
          <w:p w14:paraId="0D44EF3C" w14:textId="57128AE0" w:rsidR="00032E15" w:rsidRPr="00032E15" w:rsidRDefault="0013561C" w:rsidP="00D61A6B">
            <w:pPr>
              <w:pStyle w:val="Tabletext"/>
              <w:spacing w:before="0" w:after="0"/>
            </w:pPr>
            <w:r>
              <w:fldChar w:fldCharType="begin"/>
            </w:r>
            <w:r>
              <w:instrText xml:space="preserve"> DOCVARIABLE  EntityOnly  </w:instrText>
            </w:r>
            <w:r>
              <w:fldChar w:fldCharType="separate"/>
            </w:r>
            <w:r w:rsidR="005544E2">
              <w:t>Jacobs Group (Australia) Pty Limited</w:t>
            </w:r>
            <w:r>
              <w:fldChar w:fldCharType="end"/>
            </w:r>
            <w:r w:rsidR="00032E15" w:rsidRPr="00032E15">
              <w:br/>
            </w:r>
            <w:r>
              <w:fldChar w:fldCharType="begin"/>
            </w:r>
            <w:r>
              <w:instrText xml:space="preserve"> DOCVARIABLE  CoverBusinessRegoNo  </w:instrText>
            </w:r>
            <w:r>
              <w:fldChar w:fldCharType="separate"/>
            </w:r>
            <w:r w:rsidR="005544E2">
              <w:t>ABN 37 001 024 095</w:t>
            </w:r>
            <w:r>
              <w:fldChar w:fldCharType="end"/>
            </w:r>
            <w:r w:rsidR="00032E15" w:rsidRPr="00032E15">
              <w:br/>
            </w:r>
            <w:r>
              <w:fldChar w:fldCharType="begin"/>
            </w:r>
            <w:r>
              <w:instrText xml:space="preserve"> DOCVARIABLE  Address  </w:instrText>
            </w:r>
            <w:r>
              <w:fldChar w:fldCharType="separate"/>
            </w:r>
            <w:r w:rsidR="005544E2">
              <w:t>50 Mitchell St</w:t>
            </w:r>
            <w:r w:rsidR="005544E2">
              <w:br/>
              <w:t>PO Box 952</w:t>
            </w:r>
            <w:r w:rsidR="005544E2">
              <w:br/>
              <w:t>Bendigo VIC 3552 Australia</w:t>
            </w:r>
            <w:r>
              <w:fldChar w:fldCharType="end"/>
            </w:r>
            <w:r w:rsidR="00032E15" w:rsidRPr="00032E15">
              <w:br/>
            </w:r>
            <w:r>
              <w:fldChar w:fldCharType="begin"/>
            </w:r>
            <w:r>
              <w:instrText xml:space="preserve"> DOCVARIABLE  Phone  </w:instrText>
            </w:r>
            <w:r>
              <w:fldChar w:fldCharType="separate"/>
            </w:r>
            <w:r w:rsidR="005544E2">
              <w:t>T +61 3 5444 1861</w:t>
            </w:r>
            <w:r>
              <w:fldChar w:fldCharType="end"/>
            </w:r>
            <w:r w:rsidR="00032E15" w:rsidRPr="00032E15">
              <w:br/>
            </w:r>
            <w:r>
              <w:fldChar w:fldCharType="begin"/>
            </w:r>
            <w:r>
              <w:instrText xml:space="preserve"> DOCVARIABLE  Fax  </w:instrText>
            </w:r>
            <w:r>
              <w:fldChar w:fldCharType="separate"/>
            </w:r>
            <w:r w:rsidR="005544E2">
              <w:t>F +61 3 5444 1862</w:t>
            </w:r>
            <w:r>
              <w:fldChar w:fldCharType="end"/>
            </w:r>
            <w:r w:rsidR="00032E15" w:rsidRPr="00032E15">
              <w:br/>
            </w:r>
            <w:r>
              <w:fldChar w:fldCharType="begin"/>
            </w:r>
            <w:r>
              <w:instrText xml:space="preserve"> DOCVARIABLE  Web  </w:instrText>
            </w:r>
            <w:r>
              <w:fldChar w:fldCharType="separate"/>
            </w:r>
            <w:r w:rsidR="005544E2">
              <w:t>www.jacobs.com</w:t>
            </w:r>
            <w:r>
              <w:fldChar w:fldCharType="end"/>
            </w:r>
          </w:p>
        </w:tc>
      </w:tr>
      <w:tr w:rsidR="00032E15" w:rsidRPr="00032E15" w14:paraId="3F315A1C" w14:textId="77777777" w:rsidTr="00D61A6B">
        <w:trPr>
          <w:trHeight w:val="1110"/>
        </w:trPr>
        <w:tc>
          <w:tcPr>
            <w:tcW w:w="5000" w:type="pct"/>
            <w:gridSpan w:val="2"/>
            <w:tcMar>
              <w:left w:w="28" w:type="dxa"/>
              <w:right w:w="28" w:type="dxa"/>
            </w:tcMar>
          </w:tcPr>
          <w:p w14:paraId="4C35B311" w14:textId="509CA467" w:rsidR="00032E15" w:rsidRPr="00032E15" w:rsidRDefault="00032E15" w:rsidP="00D61A6B">
            <w:pPr>
              <w:pStyle w:val="CopyrightInfo"/>
              <w:spacing w:after="240"/>
            </w:pPr>
            <w:r w:rsidRPr="00032E15">
              <w:t xml:space="preserve">© Copyright </w:t>
            </w:r>
            <w:r w:rsidRPr="00032E15">
              <w:fldChar w:fldCharType="begin"/>
            </w:r>
            <w:r w:rsidRPr="00032E15">
              <w:instrText xml:space="preserve"> CREATEDATE  \@ "2019"  </w:instrText>
            </w:r>
            <w:r w:rsidRPr="00032E15">
              <w:fldChar w:fldCharType="separate"/>
            </w:r>
            <w:r w:rsidR="005544E2">
              <w:rPr>
                <w:noProof/>
              </w:rPr>
              <w:t>2019</w:t>
            </w:r>
            <w:r w:rsidRPr="00032E15">
              <w:fldChar w:fldCharType="end"/>
            </w:r>
            <w:r w:rsidRPr="00032E15">
              <w:t xml:space="preserve"> </w:t>
            </w:r>
            <w:r w:rsidR="0013561C">
              <w:fldChar w:fldCharType="begin"/>
            </w:r>
            <w:r w:rsidR="0013561C">
              <w:instrText xml:space="preserve"> DOCVARIABLE  CoverCopyright  </w:instrText>
            </w:r>
            <w:r w:rsidR="0013561C">
              <w:fldChar w:fldCharType="separate"/>
            </w:r>
            <w:r w:rsidR="005544E2">
              <w:t>Jacobs Group (Australia) Pty Limited</w:t>
            </w:r>
            <w:r w:rsidR="0013561C">
              <w:fldChar w:fldCharType="end"/>
            </w:r>
            <w:r w:rsidRPr="00032E15">
              <w:t xml:space="preserve">. The concepts and information contained in this document are the property of </w:t>
            </w:r>
            <w:r w:rsidR="0013561C">
              <w:fldChar w:fldCharType="begin"/>
            </w:r>
            <w:r w:rsidR="0013561C">
              <w:instrText xml:space="preserve"> DOCVARIABLE  CoverLimitation  </w:instrText>
            </w:r>
            <w:r w:rsidR="0013561C">
              <w:fldChar w:fldCharType="separate"/>
            </w:r>
            <w:r w:rsidR="005544E2">
              <w:t>Jacobs</w:t>
            </w:r>
            <w:r w:rsidR="0013561C">
              <w:fldChar w:fldCharType="end"/>
            </w:r>
            <w:r w:rsidRPr="00032E15">
              <w:t xml:space="preserve">. Use or copying of this document in whole or in part without the written permission of </w:t>
            </w:r>
            <w:r w:rsidR="0013561C">
              <w:fldChar w:fldCharType="begin"/>
            </w:r>
            <w:r w:rsidR="0013561C">
              <w:instrText xml:space="preserve"> DOCVARIABLE  CoverLimitation  </w:instrText>
            </w:r>
            <w:r w:rsidR="0013561C">
              <w:fldChar w:fldCharType="separate"/>
            </w:r>
            <w:r w:rsidR="005544E2">
              <w:t>Jacobs</w:t>
            </w:r>
            <w:r w:rsidR="0013561C">
              <w:fldChar w:fldCharType="end"/>
            </w:r>
            <w:r w:rsidRPr="00032E15">
              <w:t xml:space="preserve"> constitutes an infringement of copyright.</w:t>
            </w:r>
          </w:p>
          <w:p w14:paraId="43236047" w14:textId="325B9B36" w:rsidR="00032E15" w:rsidRPr="00032E15" w:rsidRDefault="00032E15" w:rsidP="00D61A6B">
            <w:pPr>
              <w:spacing w:before="200" w:after="240" w:line="180" w:lineRule="atLeast"/>
              <w:rPr>
                <w:sz w:val="14"/>
              </w:rPr>
            </w:pPr>
            <w:r w:rsidRPr="00032E15">
              <w:rPr>
                <w:sz w:val="14"/>
              </w:rPr>
              <w:t xml:space="preserve">Limitation: This document has been prepared on behalf of, and for the exclusive use of </w:t>
            </w:r>
            <w:r w:rsidRPr="00032E15">
              <w:rPr>
                <w:sz w:val="14"/>
              </w:rPr>
              <w:fldChar w:fldCharType="begin"/>
            </w:r>
            <w:r w:rsidRPr="00032E15">
              <w:rPr>
                <w:sz w:val="14"/>
              </w:rPr>
              <w:instrText xml:space="preserve"> DOCVARIABLE  CoverLimitation  </w:instrText>
            </w:r>
            <w:r w:rsidRPr="00032E15">
              <w:rPr>
                <w:sz w:val="14"/>
              </w:rPr>
              <w:fldChar w:fldCharType="separate"/>
            </w:r>
            <w:r w:rsidR="005544E2">
              <w:rPr>
                <w:sz w:val="14"/>
              </w:rPr>
              <w:t>Jacobs</w:t>
            </w:r>
            <w:r w:rsidRPr="00032E15">
              <w:rPr>
                <w:sz w:val="14"/>
              </w:rPr>
              <w:fldChar w:fldCharType="end"/>
            </w:r>
            <w:r w:rsidRPr="00032E15">
              <w:rPr>
                <w:sz w:val="14"/>
              </w:rPr>
              <w:t xml:space="preserve">’ client, and is subject to, and issued in accordance with, the provisions of the contract between </w:t>
            </w:r>
            <w:r w:rsidRPr="00032E15">
              <w:rPr>
                <w:sz w:val="14"/>
              </w:rPr>
              <w:fldChar w:fldCharType="begin"/>
            </w:r>
            <w:r w:rsidRPr="00032E15">
              <w:rPr>
                <w:sz w:val="14"/>
              </w:rPr>
              <w:instrText xml:space="preserve"> DOCVARIABLE  CoverLimitation  </w:instrText>
            </w:r>
            <w:r w:rsidRPr="00032E15">
              <w:rPr>
                <w:sz w:val="14"/>
              </w:rPr>
              <w:fldChar w:fldCharType="separate"/>
            </w:r>
            <w:r w:rsidR="005544E2">
              <w:rPr>
                <w:sz w:val="14"/>
              </w:rPr>
              <w:t>Jacobs</w:t>
            </w:r>
            <w:r w:rsidRPr="00032E15">
              <w:rPr>
                <w:sz w:val="14"/>
              </w:rPr>
              <w:fldChar w:fldCharType="end"/>
            </w:r>
            <w:r w:rsidRPr="00032E15">
              <w:rPr>
                <w:sz w:val="14"/>
              </w:rPr>
              <w:t xml:space="preserve"> and the client. </w:t>
            </w:r>
            <w:r w:rsidRPr="00032E15">
              <w:rPr>
                <w:sz w:val="14"/>
              </w:rPr>
              <w:fldChar w:fldCharType="begin"/>
            </w:r>
            <w:r w:rsidRPr="00032E15">
              <w:rPr>
                <w:sz w:val="14"/>
              </w:rPr>
              <w:instrText xml:space="preserve"> DOCVARIABLE  CoverLimitation  </w:instrText>
            </w:r>
            <w:r w:rsidRPr="00032E15">
              <w:rPr>
                <w:sz w:val="14"/>
              </w:rPr>
              <w:fldChar w:fldCharType="separate"/>
            </w:r>
            <w:r w:rsidR="005544E2">
              <w:rPr>
                <w:sz w:val="14"/>
              </w:rPr>
              <w:t>Jacobs</w:t>
            </w:r>
            <w:r w:rsidRPr="00032E15">
              <w:rPr>
                <w:sz w:val="14"/>
              </w:rPr>
              <w:fldChar w:fldCharType="end"/>
            </w:r>
            <w:r w:rsidRPr="00032E15">
              <w:rPr>
                <w:sz w:val="14"/>
              </w:rPr>
              <w:t xml:space="preserve"> accepts no liability or responsibility whatsoever for, or in respect of, any use of, or reliance upon, this document by any third party.</w:t>
            </w:r>
          </w:p>
        </w:tc>
      </w:tr>
    </w:tbl>
    <w:p w14:paraId="635AC79A" w14:textId="77777777" w:rsidR="00032E15" w:rsidRPr="00032E15" w:rsidRDefault="00032E15" w:rsidP="00D61A6B">
      <w:pPr>
        <w:pStyle w:val="Tablecaption"/>
        <w:rPr>
          <w:b/>
        </w:rPr>
      </w:pPr>
      <w:r w:rsidRPr="00032E15">
        <w:rPr>
          <w:b/>
        </w:rPr>
        <w:t>Document history and status</w:t>
      </w:r>
    </w:p>
    <w:tbl>
      <w:tblPr>
        <w:tblStyle w:val="TableGrid"/>
        <w:tblW w:w="4957" w:type="pct"/>
        <w:tblBorders>
          <w:top w:val="single" w:sz="2" w:space="0" w:color="C8C8C8" w:themeColor="accent6"/>
          <w:left w:val="single" w:sz="2" w:space="0" w:color="C8C8C8" w:themeColor="accent6"/>
          <w:bottom w:val="single" w:sz="2" w:space="0" w:color="C8C8C8" w:themeColor="accent6"/>
          <w:right w:val="single" w:sz="2" w:space="0" w:color="C8C8C8" w:themeColor="accent6"/>
          <w:insideH w:val="single" w:sz="2" w:space="0" w:color="C8C8C8" w:themeColor="accent6"/>
          <w:insideV w:val="single" w:sz="2" w:space="0" w:color="C8C8C8" w:themeColor="accent6"/>
        </w:tblBorders>
        <w:tblCellMar>
          <w:left w:w="85" w:type="dxa"/>
          <w:right w:w="85" w:type="dxa"/>
        </w:tblCellMar>
        <w:tblLook w:val="04A0" w:firstRow="1" w:lastRow="0" w:firstColumn="1" w:lastColumn="0" w:noHBand="0" w:noVBand="1"/>
      </w:tblPr>
      <w:tblGrid>
        <w:gridCol w:w="1031"/>
        <w:gridCol w:w="1089"/>
        <w:gridCol w:w="3703"/>
        <w:gridCol w:w="972"/>
        <w:gridCol w:w="987"/>
        <w:gridCol w:w="1024"/>
        <w:gridCol w:w="1051"/>
      </w:tblGrid>
      <w:tr w:rsidR="00032E15" w:rsidRPr="00032E15" w14:paraId="14ECB270" w14:textId="77777777" w:rsidTr="00DE6208">
        <w:trPr>
          <w:cantSplit/>
          <w:tblHeader/>
        </w:trPr>
        <w:tc>
          <w:tcPr>
            <w:tcW w:w="1031" w:type="dxa"/>
            <w:shd w:val="clear" w:color="auto" w:fill="E5E5E5" w:themeFill="background2"/>
          </w:tcPr>
          <w:p w14:paraId="2CA83A36" w14:textId="77777777" w:rsidR="00032E15" w:rsidRPr="00032E15" w:rsidRDefault="00032E15" w:rsidP="00D61A6B">
            <w:pPr>
              <w:pStyle w:val="Tablesmallheading"/>
            </w:pPr>
            <w:r w:rsidRPr="00032E15">
              <w:t>Revision</w:t>
            </w:r>
          </w:p>
        </w:tc>
        <w:tc>
          <w:tcPr>
            <w:tcW w:w="1089" w:type="dxa"/>
            <w:shd w:val="clear" w:color="auto" w:fill="E5E5E5" w:themeFill="background2"/>
          </w:tcPr>
          <w:p w14:paraId="4CCDE63C" w14:textId="77777777" w:rsidR="00032E15" w:rsidRPr="00032E15" w:rsidRDefault="00032E15" w:rsidP="00D61A6B">
            <w:pPr>
              <w:pStyle w:val="Tablesmallheading"/>
            </w:pPr>
            <w:r w:rsidRPr="00032E15">
              <w:t>Date</w:t>
            </w:r>
          </w:p>
        </w:tc>
        <w:tc>
          <w:tcPr>
            <w:tcW w:w="3703" w:type="dxa"/>
            <w:shd w:val="clear" w:color="auto" w:fill="E5E5E5" w:themeFill="background2"/>
          </w:tcPr>
          <w:p w14:paraId="1206639E" w14:textId="77777777" w:rsidR="00032E15" w:rsidRPr="00032E15" w:rsidRDefault="00032E15" w:rsidP="00D61A6B">
            <w:pPr>
              <w:pStyle w:val="Tablesmallheading"/>
            </w:pPr>
            <w:r w:rsidRPr="00032E15">
              <w:t>Description</w:t>
            </w:r>
          </w:p>
        </w:tc>
        <w:tc>
          <w:tcPr>
            <w:tcW w:w="972" w:type="dxa"/>
            <w:shd w:val="clear" w:color="auto" w:fill="E5E5E5" w:themeFill="background2"/>
          </w:tcPr>
          <w:p w14:paraId="1A285362" w14:textId="77777777" w:rsidR="00032E15" w:rsidRPr="00032E15" w:rsidRDefault="00032E15" w:rsidP="00D61A6B">
            <w:pPr>
              <w:pStyle w:val="Tablesmallheading"/>
            </w:pPr>
            <w:r w:rsidRPr="00032E15">
              <w:t>Author</w:t>
            </w:r>
          </w:p>
        </w:tc>
        <w:tc>
          <w:tcPr>
            <w:tcW w:w="987" w:type="dxa"/>
            <w:shd w:val="clear" w:color="auto" w:fill="E5E5E5" w:themeFill="background2"/>
          </w:tcPr>
          <w:p w14:paraId="181385CF" w14:textId="77777777" w:rsidR="00032E15" w:rsidRPr="00032E15" w:rsidRDefault="00032E15" w:rsidP="00D61A6B">
            <w:pPr>
              <w:pStyle w:val="Tablesmallheading"/>
            </w:pPr>
            <w:r w:rsidRPr="00032E15">
              <w:t>Checked</w:t>
            </w:r>
          </w:p>
        </w:tc>
        <w:tc>
          <w:tcPr>
            <w:tcW w:w="1024" w:type="dxa"/>
            <w:shd w:val="clear" w:color="auto" w:fill="E5E5E5" w:themeFill="background2"/>
          </w:tcPr>
          <w:p w14:paraId="40011A4F" w14:textId="77777777" w:rsidR="00032E15" w:rsidRPr="00032E15" w:rsidRDefault="00032E15" w:rsidP="00D61A6B">
            <w:pPr>
              <w:pStyle w:val="Tablesmallheading"/>
            </w:pPr>
            <w:r w:rsidRPr="00032E15">
              <w:t>Reviewed</w:t>
            </w:r>
          </w:p>
        </w:tc>
        <w:tc>
          <w:tcPr>
            <w:tcW w:w="1051" w:type="dxa"/>
            <w:shd w:val="clear" w:color="auto" w:fill="E5E5E5" w:themeFill="background2"/>
          </w:tcPr>
          <w:p w14:paraId="055B26D0" w14:textId="77777777" w:rsidR="00032E15" w:rsidRPr="00032E15" w:rsidRDefault="00032E15" w:rsidP="00D61A6B">
            <w:pPr>
              <w:pStyle w:val="Tablesmallheading"/>
            </w:pPr>
            <w:r w:rsidRPr="00032E15">
              <w:t>Approved</w:t>
            </w:r>
          </w:p>
        </w:tc>
      </w:tr>
      <w:tr w:rsidR="00032E15" w:rsidRPr="00032E15" w14:paraId="017EA929" w14:textId="77777777" w:rsidTr="00DE6208">
        <w:trPr>
          <w:cantSplit/>
        </w:trPr>
        <w:tc>
          <w:tcPr>
            <w:tcW w:w="1031" w:type="dxa"/>
          </w:tcPr>
          <w:p w14:paraId="578620FE" w14:textId="77777777" w:rsidR="00032E15" w:rsidRPr="00032E15" w:rsidRDefault="00032E15" w:rsidP="00032E15">
            <w:pPr>
              <w:rPr>
                <w:sz w:val="16"/>
              </w:rPr>
            </w:pPr>
            <w:r w:rsidRPr="00032E15">
              <w:rPr>
                <w:sz w:val="16"/>
              </w:rPr>
              <w:t>Rev A</w:t>
            </w:r>
          </w:p>
        </w:tc>
        <w:tc>
          <w:tcPr>
            <w:tcW w:w="1089" w:type="dxa"/>
          </w:tcPr>
          <w:p w14:paraId="4FAC93DA" w14:textId="77777777" w:rsidR="00032E15" w:rsidRPr="00032E15" w:rsidRDefault="00032E15" w:rsidP="00032E15">
            <w:pPr>
              <w:rPr>
                <w:sz w:val="16"/>
              </w:rPr>
            </w:pPr>
            <w:r w:rsidRPr="00032E15">
              <w:rPr>
                <w:sz w:val="16"/>
              </w:rPr>
              <w:t>7/09/2019</w:t>
            </w:r>
          </w:p>
        </w:tc>
        <w:tc>
          <w:tcPr>
            <w:tcW w:w="3703" w:type="dxa"/>
          </w:tcPr>
          <w:p w14:paraId="2AB0FB65" w14:textId="77777777" w:rsidR="00032E15" w:rsidRPr="00032E15" w:rsidRDefault="00032E15" w:rsidP="00032E15">
            <w:pPr>
              <w:rPr>
                <w:sz w:val="16"/>
              </w:rPr>
            </w:pPr>
            <w:r w:rsidRPr="00032E15">
              <w:rPr>
                <w:sz w:val="16"/>
              </w:rPr>
              <w:t>Draft for DELWP and VicForests review and comment</w:t>
            </w:r>
          </w:p>
        </w:tc>
        <w:tc>
          <w:tcPr>
            <w:tcW w:w="972" w:type="dxa"/>
          </w:tcPr>
          <w:p w14:paraId="62A92C6E" w14:textId="77777777" w:rsidR="00032E15" w:rsidRPr="00032E15" w:rsidRDefault="00032E15" w:rsidP="00032E15">
            <w:pPr>
              <w:rPr>
                <w:sz w:val="16"/>
              </w:rPr>
            </w:pPr>
            <w:r w:rsidRPr="00032E15">
              <w:rPr>
                <w:sz w:val="16"/>
              </w:rPr>
              <w:t>CC, DK</w:t>
            </w:r>
          </w:p>
        </w:tc>
        <w:tc>
          <w:tcPr>
            <w:tcW w:w="987" w:type="dxa"/>
          </w:tcPr>
          <w:p w14:paraId="0F1A5088" w14:textId="77777777" w:rsidR="00032E15" w:rsidRPr="00032E15" w:rsidRDefault="00032E15" w:rsidP="00032E15">
            <w:pPr>
              <w:rPr>
                <w:sz w:val="16"/>
              </w:rPr>
            </w:pPr>
            <w:r w:rsidRPr="00032E15">
              <w:rPr>
                <w:sz w:val="16"/>
              </w:rPr>
              <w:t>DE</w:t>
            </w:r>
          </w:p>
        </w:tc>
        <w:tc>
          <w:tcPr>
            <w:tcW w:w="1024" w:type="dxa"/>
          </w:tcPr>
          <w:p w14:paraId="7F901957" w14:textId="77777777" w:rsidR="00032E15" w:rsidRPr="00032E15" w:rsidRDefault="00032E15" w:rsidP="00032E15">
            <w:pPr>
              <w:rPr>
                <w:sz w:val="16"/>
              </w:rPr>
            </w:pPr>
            <w:r w:rsidRPr="00032E15">
              <w:rPr>
                <w:sz w:val="16"/>
              </w:rPr>
              <w:t>DE</w:t>
            </w:r>
          </w:p>
        </w:tc>
        <w:tc>
          <w:tcPr>
            <w:tcW w:w="1051" w:type="dxa"/>
          </w:tcPr>
          <w:p w14:paraId="562917B0" w14:textId="77777777" w:rsidR="00032E15" w:rsidRPr="00032E15" w:rsidRDefault="00032E15" w:rsidP="00032E15">
            <w:pPr>
              <w:rPr>
                <w:sz w:val="16"/>
              </w:rPr>
            </w:pPr>
            <w:r w:rsidRPr="00032E15">
              <w:rPr>
                <w:sz w:val="16"/>
              </w:rPr>
              <w:t>Rev A</w:t>
            </w:r>
          </w:p>
        </w:tc>
      </w:tr>
      <w:tr w:rsidR="00032E15" w:rsidRPr="00032E15" w14:paraId="254252FA" w14:textId="77777777" w:rsidTr="00DE6208">
        <w:trPr>
          <w:cantSplit/>
        </w:trPr>
        <w:tc>
          <w:tcPr>
            <w:tcW w:w="1031" w:type="dxa"/>
          </w:tcPr>
          <w:p w14:paraId="732C44C9" w14:textId="77777777" w:rsidR="00032E15" w:rsidRPr="00032E15" w:rsidRDefault="00032E15" w:rsidP="00032E15">
            <w:pPr>
              <w:rPr>
                <w:sz w:val="16"/>
              </w:rPr>
            </w:pPr>
            <w:r w:rsidRPr="00032E15">
              <w:rPr>
                <w:sz w:val="16"/>
              </w:rPr>
              <w:t>Rev B</w:t>
            </w:r>
          </w:p>
        </w:tc>
        <w:tc>
          <w:tcPr>
            <w:tcW w:w="1089" w:type="dxa"/>
          </w:tcPr>
          <w:p w14:paraId="0457CA63" w14:textId="543A3A3D" w:rsidR="00032E15" w:rsidRPr="00032E15" w:rsidRDefault="00F42977" w:rsidP="00032E15">
            <w:pPr>
              <w:rPr>
                <w:sz w:val="16"/>
              </w:rPr>
            </w:pPr>
            <w:r>
              <w:rPr>
                <w:sz w:val="16"/>
              </w:rPr>
              <w:t>29/01/2020</w:t>
            </w:r>
          </w:p>
        </w:tc>
        <w:tc>
          <w:tcPr>
            <w:tcW w:w="3703" w:type="dxa"/>
          </w:tcPr>
          <w:p w14:paraId="36FBDE41" w14:textId="77777777" w:rsidR="00032E15" w:rsidRPr="00032E15" w:rsidRDefault="00032E15" w:rsidP="00032E15">
            <w:pPr>
              <w:rPr>
                <w:sz w:val="16"/>
              </w:rPr>
            </w:pPr>
            <w:r w:rsidRPr="00032E15">
              <w:rPr>
                <w:sz w:val="16"/>
              </w:rPr>
              <w:t>Final, following review and comment by DELWP and VicForests</w:t>
            </w:r>
          </w:p>
        </w:tc>
        <w:tc>
          <w:tcPr>
            <w:tcW w:w="972" w:type="dxa"/>
          </w:tcPr>
          <w:p w14:paraId="778A367B" w14:textId="77777777" w:rsidR="00032E15" w:rsidRPr="00032E15" w:rsidRDefault="00032E15" w:rsidP="00032E15">
            <w:pPr>
              <w:rPr>
                <w:sz w:val="16"/>
              </w:rPr>
            </w:pPr>
            <w:r w:rsidRPr="00032E15">
              <w:rPr>
                <w:sz w:val="16"/>
              </w:rPr>
              <w:t>CC, DK</w:t>
            </w:r>
          </w:p>
        </w:tc>
        <w:tc>
          <w:tcPr>
            <w:tcW w:w="987" w:type="dxa"/>
          </w:tcPr>
          <w:p w14:paraId="0C5908D8" w14:textId="77777777" w:rsidR="00032E15" w:rsidRPr="00032E15" w:rsidRDefault="00032E15" w:rsidP="00032E15">
            <w:pPr>
              <w:rPr>
                <w:sz w:val="16"/>
              </w:rPr>
            </w:pPr>
            <w:r w:rsidRPr="00032E15">
              <w:rPr>
                <w:sz w:val="16"/>
              </w:rPr>
              <w:t>DE</w:t>
            </w:r>
          </w:p>
        </w:tc>
        <w:tc>
          <w:tcPr>
            <w:tcW w:w="1024" w:type="dxa"/>
          </w:tcPr>
          <w:p w14:paraId="4EB4F932" w14:textId="77777777" w:rsidR="00032E15" w:rsidRPr="00032E15" w:rsidRDefault="00032E15" w:rsidP="00032E15">
            <w:pPr>
              <w:rPr>
                <w:sz w:val="16"/>
              </w:rPr>
            </w:pPr>
            <w:r w:rsidRPr="00032E15">
              <w:rPr>
                <w:sz w:val="16"/>
              </w:rPr>
              <w:t>DE</w:t>
            </w:r>
          </w:p>
        </w:tc>
        <w:tc>
          <w:tcPr>
            <w:tcW w:w="1051" w:type="dxa"/>
          </w:tcPr>
          <w:p w14:paraId="0FC8CBE2" w14:textId="77777777" w:rsidR="00032E15" w:rsidRPr="00032E15" w:rsidRDefault="00032E15" w:rsidP="00032E15">
            <w:pPr>
              <w:rPr>
                <w:sz w:val="16"/>
              </w:rPr>
            </w:pPr>
            <w:r w:rsidRPr="00032E15">
              <w:rPr>
                <w:sz w:val="16"/>
              </w:rPr>
              <w:t>Rev B</w:t>
            </w:r>
          </w:p>
        </w:tc>
      </w:tr>
      <w:tr w:rsidR="00DE6208" w:rsidRPr="00032E15" w14:paraId="14334DF1" w14:textId="77777777" w:rsidTr="00DE6208">
        <w:trPr>
          <w:cantSplit/>
        </w:trPr>
        <w:tc>
          <w:tcPr>
            <w:tcW w:w="1031" w:type="dxa"/>
          </w:tcPr>
          <w:p w14:paraId="7C760B4C" w14:textId="14AA4439" w:rsidR="00DE6208" w:rsidRPr="00032E15" w:rsidRDefault="00DE6208" w:rsidP="00DE6208">
            <w:pPr>
              <w:pStyle w:val="Tablesmalltext"/>
            </w:pPr>
            <w:r w:rsidRPr="00032E15">
              <w:t xml:space="preserve">Rev </w:t>
            </w:r>
            <w:r>
              <w:t>C</w:t>
            </w:r>
          </w:p>
        </w:tc>
        <w:tc>
          <w:tcPr>
            <w:tcW w:w="1089" w:type="dxa"/>
          </w:tcPr>
          <w:p w14:paraId="579C5194" w14:textId="2632DB35" w:rsidR="00DE6208" w:rsidRPr="00032E15" w:rsidRDefault="00CE7A2D" w:rsidP="00DE6208">
            <w:pPr>
              <w:pStyle w:val="Tablesmalltext"/>
            </w:pPr>
            <w:r>
              <w:t>21/02</w:t>
            </w:r>
            <w:r w:rsidR="00DE6208">
              <w:t>/2020</w:t>
            </w:r>
          </w:p>
        </w:tc>
        <w:tc>
          <w:tcPr>
            <w:tcW w:w="3703" w:type="dxa"/>
          </w:tcPr>
          <w:p w14:paraId="22F2750E" w14:textId="458E7411" w:rsidR="00DE6208" w:rsidRPr="00032E15" w:rsidRDefault="00DE6208" w:rsidP="00DE6208">
            <w:pPr>
              <w:pStyle w:val="Tablesmalltext"/>
            </w:pPr>
            <w:r>
              <w:t>Final, noting VicForests substantive comments on RevA and the auditors’ responses</w:t>
            </w:r>
          </w:p>
        </w:tc>
        <w:tc>
          <w:tcPr>
            <w:tcW w:w="972" w:type="dxa"/>
          </w:tcPr>
          <w:p w14:paraId="4A816F34" w14:textId="35900DE8" w:rsidR="00DE6208" w:rsidRPr="00032E15" w:rsidRDefault="00DE6208" w:rsidP="00DE6208">
            <w:pPr>
              <w:pStyle w:val="Tablesmalltext"/>
            </w:pPr>
            <w:r w:rsidRPr="00032E15">
              <w:t>CC, DK</w:t>
            </w:r>
          </w:p>
        </w:tc>
        <w:tc>
          <w:tcPr>
            <w:tcW w:w="987" w:type="dxa"/>
          </w:tcPr>
          <w:p w14:paraId="629404EA" w14:textId="72724522" w:rsidR="00DE6208" w:rsidRPr="00032E15" w:rsidRDefault="00DE6208" w:rsidP="00DE6208">
            <w:pPr>
              <w:pStyle w:val="Tablesmalltext"/>
            </w:pPr>
            <w:r w:rsidRPr="00032E15">
              <w:t>DE</w:t>
            </w:r>
          </w:p>
        </w:tc>
        <w:tc>
          <w:tcPr>
            <w:tcW w:w="1024" w:type="dxa"/>
          </w:tcPr>
          <w:p w14:paraId="638D7BD8" w14:textId="24D330F9" w:rsidR="00DE6208" w:rsidRPr="00032E15" w:rsidRDefault="00DE6208" w:rsidP="00DE6208">
            <w:pPr>
              <w:pStyle w:val="Tablesmalltext"/>
            </w:pPr>
            <w:r w:rsidRPr="00032E15">
              <w:t>DE</w:t>
            </w:r>
          </w:p>
        </w:tc>
        <w:tc>
          <w:tcPr>
            <w:tcW w:w="1051" w:type="dxa"/>
          </w:tcPr>
          <w:p w14:paraId="45D4EA74" w14:textId="04B4037E" w:rsidR="00DE6208" w:rsidRPr="00032E15" w:rsidRDefault="00DE6208" w:rsidP="00DE6208">
            <w:pPr>
              <w:pStyle w:val="Tablesmalltext"/>
            </w:pPr>
            <w:r w:rsidRPr="00032E15">
              <w:t xml:space="preserve">Rev </w:t>
            </w:r>
            <w:r>
              <w:t>C</w:t>
            </w:r>
          </w:p>
        </w:tc>
      </w:tr>
      <w:tr w:rsidR="00DE6208" w:rsidRPr="00032E15" w14:paraId="1BBF9197" w14:textId="77777777" w:rsidTr="00DE6208">
        <w:trPr>
          <w:cantSplit/>
        </w:trPr>
        <w:tc>
          <w:tcPr>
            <w:tcW w:w="1031" w:type="dxa"/>
          </w:tcPr>
          <w:p w14:paraId="0F41DC50" w14:textId="77777777" w:rsidR="00DE6208" w:rsidRPr="00032E15" w:rsidRDefault="00DE6208" w:rsidP="00DE6208">
            <w:pPr>
              <w:pStyle w:val="Tablesmalltext"/>
            </w:pPr>
          </w:p>
        </w:tc>
        <w:tc>
          <w:tcPr>
            <w:tcW w:w="1089" w:type="dxa"/>
          </w:tcPr>
          <w:p w14:paraId="6CADA0A8" w14:textId="77777777" w:rsidR="00DE6208" w:rsidRPr="00032E15" w:rsidRDefault="00DE6208" w:rsidP="00DE6208">
            <w:pPr>
              <w:pStyle w:val="Tablesmalltext"/>
            </w:pPr>
          </w:p>
        </w:tc>
        <w:tc>
          <w:tcPr>
            <w:tcW w:w="3703" w:type="dxa"/>
          </w:tcPr>
          <w:p w14:paraId="5BF944B1" w14:textId="77777777" w:rsidR="00DE6208" w:rsidRPr="00032E15" w:rsidRDefault="00DE6208" w:rsidP="00DE6208">
            <w:pPr>
              <w:pStyle w:val="Tablesmalltext"/>
            </w:pPr>
          </w:p>
        </w:tc>
        <w:tc>
          <w:tcPr>
            <w:tcW w:w="972" w:type="dxa"/>
          </w:tcPr>
          <w:p w14:paraId="04CD174A" w14:textId="77777777" w:rsidR="00DE6208" w:rsidRPr="00032E15" w:rsidRDefault="00DE6208" w:rsidP="00DE6208">
            <w:pPr>
              <w:pStyle w:val="Tablesmalltext"/>
            </w:pPr>
          </w:p>
        </w:tc>
        <w:tc>
          <w:tcPr>
            <w:tcW w:w="987" w:type="dxa"/>
          </w:tcPr>
          <w:p w14:paraId="4B033551" w14:textId="77777777" w:rsidR="00DE6208" w:rsidRPr="00032E15" w:rsidRDefault="00DE6208" w:rsidP="00DE6208">
            <w:pPr>
              <w:pStyle w:val="Tablesmalltext"/>
            </w:pPr>
          </w:p>
        </w:tc>
        <w:tc>
          <w:tcPr>
            <w:tcW w:w="1024" w:type="dxa"/>
          </w:tcPr>
          <w:p w14:paraId="5521508C" w14:textId="77777777" w:rsidR="00DE6208" w:rsidRPr="00032E15" w:rsidRDefault="00DE6208" w:rsidP="00DE6208">
            <w:pPr>
              <w:pStyle w:val="Tablesmalltext"/>
            </w:pPr>
          </w:p>
        </w:tc>
        <w:tc>
          <w:tcPr>
            <w:tcW w:w="1051" w:type="dxa"/>
          </w:tcPr>
          <w:p w14:paraId="7A1BE8D1" w14:textId="77777777" w:rsidR="00DE6208" w:rsidRPr="00032E15" w:rsidRDefault="00DE6208" w:rsidP="00DE6208">
            <w:pPr>
              <w:pStyle w:val="Tablesmalltext"/>
            </w:pPr>
          </w:p>
        </w:tc>
      </w:tr>
      <w:tr w:rsidR="00DE6208" w:rsidRPr="00032E15" w14:paraId="11C0E327" w14:textId="77777777" w:rsidTr="00DE6208">
        <w:trPr>
          <w:cantSplit/>
        </w:trPr>
        <w:tc>
          <w:tcPr>
            <w:tcW w:w="1031" w:type="dxa"/>
          </w:tcPr>
          <w:p w14:paraId="1F41047B" w14:textId="77777777" w:rsidR="00DE6208" w:rsidRPr="00032E15" w:rsidRDefault="00DE6208" w:rsidP="00DE6208">
            <w:pPr>
              <w:pStyle w:val="Tablesmalltext"/>
            </w:pPr>
          </w:p>
        </w:tc>
        <w:tc>
          <w:tcPr>
            <w:tcW w:w="1089" w:type="dxa"/>
          </w:tcPr>
          <w:p w14:paraId="1C55A61F" w14:textId="77777777" w:rsidR="00DE6208" w:rsidRPr="00032E15" w:rsidRDefault="00DE6208" w:rsidP="00DE6208">
            <w:pPr>
              <w:pStyle w:val="Tablesmalltext"/>
            </w:pPr>
          </w:p>
        </w:tc>
        <w:tc>
          <w:tcPr>
            <w:tcW w:w="3703" w:type="dxa"/>
          </w:tcPr>
          <w:p w14:paraId="1CD2B906" w14:textId="77777777" w:rsidR="00DE6208" w:rsidRPr="00032E15" w:rsidRDefault="00DE6208" w:rsidP="00DE6208">
            <w:pPr>
              <w:pStyle w:val="Tablesmalltext"/>
            </w:pPr>
          </w:p>
        </w:tc>
        <w:tc>
          <w:tcPr>
            <w:tcW w:w="972" w:type="dxa"/>
          </w:tcPr>
          <w:p w14:paraId="5B10D2C6" w14:textId="77777777" w:rsidR="00DE6208" w:rsidRPr="00032E15" w:rsidRDefault="00DE6208" w:rsidP="00DE6208">
            <w:pPr>
              <w:pStyle w:val="Tablesmalltext"/>
            </w:pPr>
          </w:p>
        </w:tc>
        <w:tc>
          <w:tcPr>
            <w:tcW w:w="987" w:type="dxa"/>
          </w:tcPr>
          <w:p w14:paraId="2F72ED97" w14:textId="77777777" w:rsidR="00DE6208" w:rsidRPr="00032E15" w:rsidRDefault="00DE6208" w:rsidP="00DE6208">
            <w:pPr>
              <w:pStyle w:val="Tablesmalltext"/>
            </w:pPr>
          </w:p>
        </w:tc>
        <w:tc>
          <w:tcPr>
            <w:tcW w:w="1024" w:type="dxa"/>
          </w:tcPr>
          <w:p w14:paraId="671196C4" w14:textId="77777777" w:rsidR="00DE6208" w:rsidRPr="00032E15" w:rsidRDefault="00DE6208" w:rsidP="00DE6208">
            <w:pPr>
              <w:pStyle w:val="Tablesmalltext"/>
            </w:pPr>
          </w:p>
        </w:tc>
        <w:tc>
          <w:tcPr>
            <w:tcW w:w="1051" w:type="dxa"/>
          </w:tcPr>
          <w:p w14:paraId="28D1C009" w14:textId="77777777" w:rsidR="00DE6208" w:rsidRPr="00032E15" w:rsidRDefault="00DE6208" w:rsidP="00DE6208">
            <w:pPr>
              <w:pStyle w:val="Tablesmalltext"/>
            </w:pPr>
          </w:p>
        </w:tc>
      </w:tr>
      <w:tr w:rsidR="00DE6208" w:rsidRPr="00032E15" w14:paraId="08F4161A" w14:textId="77777777" w:rsidTr="00DE6208">
        <w:trPr>
          <w:cantSplit/>
        </w:trPr>
        <w:tc>
          <w:tcPr>
            <w:tcW w:w="1031" w:type="dxa"/>
          </w:tcPr>
          <w:p w14:paraId="2FD70664" w14:textId="77777777" w:rsidR="00DE6208" w:rsidRPr="00032E15" w:rsidRDefault="00DE6208" w:rsidP="00DE6208">
            <w:pPr>
              <w:pStyle w:val="Tablesmalltext"/>
            </w:pPr>
          </w:p>
        </w:tc>
        <w:tc>
          <w:tcPr>
            <w:tcW w:w="1089" w:type="dxa"/>
          </w:tcPr>
          <w:p w14:paraId="671CFF25" w14:textId="77777777" w:rsidR="00DE6208" w:rsidRPr="00032E15" w:rsidRDefault="00DE6208" w:rsidP="00DE6208">
            <w:pPr>
              <w:pStyle w:val="Tablesmalltext"/>
            </w:pPr>
          </w:p>
        </w:tc>
        <w:tc>
          <w:tcPr>
            <w:tcW w:w="3703" w:type="dxa"/>
          </w:tcPr>
          <w:p w14:paraId="5E751FF5" w14:textId="77777777" w:rsidR="00DE6208" w:rsidRPr="00032E15" w:rsidRDefault="00DE6208" w:rsidP="00DE6208">
            <w:pPr>
              <w:pStyle w:val="Tablesmalltext"/>
            </w:pPr>
          </w:p>
        </w:tc>
        <w:tc>
          <w:tcPr>
            <w:tcW w:w="972" w:type="dxa"/>
          </w:tcPr>
          <w:p w14:paraId="4E57DAF6" w14:textId="77777777" w:rsidR="00DE6208" w:rsidRPr="00032E15" w:rsidRDefault="00DE6208" w:rsidP="00DE6208">
            <w:pPr>
              <w:pStyle w:val="Tablesmalltext"/>
            </w:pPr>
          </w:p>
        </w:tc>
        <w:tc>
          <w:tcPr>
            <w:tcW w:w="987" w:type="dxa"/>
          </w:tcPr>
          <w:p w14:paraId="1B77EADB" w14:textId="77777777" w:rsidR="00DE6208" w:rsidRPr="00032E15" w:rsidRDefault="00DE6208" w:rsidP="00DE6208">
            <w:pPr>
              <w:pStyle w:val="Tablesmalltext"/>
            </w:pPr>
          </w:p>
        </w:tc>
        <w:tc>
          <w:tcPr>
            <w:tcW w:w="1024" w:type="dxa"/>
          </w:tcPr>
          <w:p w14:paraId="6279A514" w14:textId="77777777" w:rsidR="00DE6208" w:rsidRPr="00032E15" w:rsidRDefault="00DE6208" w:rsidP="00DE6208">
            <w:pPr>
              <w:pStyle w:val="Tablesmalltext"/>
            </w:pPr>
          </w:p>
        </w:tc>
        <w:tc>
          <w:tcPr>
            <w:tcW w:w="1051" w:type="dxa"/>
          </w:tcPr>
          <w:p w14:paraId="6FBEE214" w14:textId="77777777" w:rsidR="00DE6208" w:rsidRPr="00032E15" w:rsidRDefault="00DE6208" w:rsidP="00DE6208">
            <w:pPr>
              <w:pStyle w:val="Tablesmalltext"/>
            </w:pPr>
          </w:p>
        </w:tc>
      </w:tr>
    </w:tbl>
    <w:p w14:paraId="1700883D" w14:textId="77777777" w:rsidR="00032E15" w:rsidRPr="00032E15" w:rsidRDefault="00032E15" w:rsidP="00D61A6B">
      <w:pPr>
        <w:pStyle w:val="Contents"/>
      </w:pPr>
      <w:r w:rsidRPr="00032E15">
        <w:lastRenderedPageBreak/>
        <w:t>Contents</w:t>
      </w:r>
    </w:p>
    <w:sdt>
      <w:sdtPr>
        <w:rPr>
          <w:b w:val="0"/>
          <w:noProof w:val="0"/>
        </w:rPr>
        <w:id w:val="243461376"/>
        <w:docPartObj>
          <w:docPartGallery w:val="Table of Contents"/>
          <w:docPartUnique/>
        </w:docPartObj>
      </w:sdtPr>
      <w:sdtEndPr>
        <w:rPr>
          <w:b/>
          <w:noProof/>
        </w:rPr>
      </w:sdtEndPr>
      <w:sdtContent>
        <w:p w14:paraId="2B43CFA6" w14:textId="3D9F8478" w:rsidR="00C61883" w:rsidRDefault="00032E15">
          <w:pPr>
            <w:pStyle w:val="TOC1"/>
            <w:rPr>
              <w:rFonts w:asciiTheme="minorHAnsi" w:hAnsiTheme="minorHAnsi" w:cstheme="minorBidi"/>
              <w:b w:val="0"/>
              <w:sz w:val="22"/>
              <w:szCs w:val="22"/>
              <w:lang w:val="en-AU" w:eastAsia="en-AU"/>
            </w:rPr>
          </w:pPr>
          <w:r w:rsidRPr="00032E15">
            <w:fldChar w:fldCharType="begin"/>
          </w:r>
          <w:r w:rsidRPr="00032E15">
            <w:instrText xml:space="preserve"> TOC \o "1-1" \h \z \t "Heading 2,2,Heading 3,3,Heading 4,3,Summary,1" </w:instrText>
          </w:r>
          <w:r w:rsidRPr="00032E15">
            <w:fldChar w:fldCharType="separate"/>
          </w:r>
          <w:hyperlink w:anchor="_Toc33202260" w:history="1">
            <w:r w:rsidR="00C61883" w:rsidRPr="000345FE">
              <w:rPr>
                <w:rStyle w:val="Hyperlink"/>
              </w:rPr>
              <w:t>Executive Summary</w:t>
            </w:r>
            <w:r w:rsidR="00C61883">
              <w:rPr>
                <w:webHidden/>
              </w:rPr>
              <w:tab/>
            </w:r>
            <w:r w:rsidR="00C61883">
              <w:rPr>
                <w:webHidden/>
              </w:rPr>
              <w:fldChar w:fldCharType="begin"/>
            </w:r>
            <w:r w:rsidR="00C61883">
              <w:rPr>
                <w:webHidden/>
              </w:rPr>
              <w:instrText xml:space="preserve"> PAGEREF _Toc33202260 \h </w:instrText>
            </w:r>
            <w:r w:rsidR="00C61883">
              <w:rPr>
                <w:webHidden/>
              </w:rPr>
            </w:r>
            <w:r w:rsidR="00C61883">
              <w:rPr>
                <w:webHidden/>
              </w:rPr>
              <w:fldChar w:fldCharType="separate"/>
            </w:r>
            <w:r w:rsidR="007E0985">
              <w:rPr>
                <w:webHidden/>
              </w:rPr>
              <w:t>i</w:t>
            </w:r>
            <w:r w:rsidR="00C61883">
              <w:rPr>
                <w:webHidden/>
              </w:rPr>
              <w:fldChar w:fldCharType="end"/>
            </w:r>
          </w:hyperlink>
        </w:p>
        <w:p w14:paraId="6381CBF3" w14:textId="2B7BAEC8" w:rsidR="00C61883" w:rsidRDefault="0013561C">
          <w:pPr>
            <w:pStyle w:val="TOC1"/>
            <w:rPr>
              <w:rFonts w:asciiTheme="minorHAnsi" w:hAnsiTheme="minorHAnsi" w:cstheme="minorBidi"/>
              <w:b w:val="0"/>
              <w:sz w:val="22"/>
              <w:szCs w:val="22"/>
              <w:lang w:val="en-AU" w:eastAsia="en-AU"/>
            </w:rPr>
          </w:pPr>
          <w:hyperlink w:anchor="_Toc33202261" w:history="1">
            <w:r w:rsidR="00C61883" w:rsidRPr="000345FE">
              <w:rPr>
                <w:rStyle w:val="Hyperlink"/>
              </w:rPr>
              <w:t>Glossary</w:t>
            </w:r>
            <w:r w:rsidR="00C61883">
              <w:rPr>
                <w:webHidden/>
              </w:rPr>
              <w:tab/>
            </w:r>
            <w:r w:rsidR="00C61883">
              <w:rPr>
                <w:webHidden/>
              </w:rPr>
              <w:fldChar w:fldCharType="begin"/>
            </w:r>
            <w:r w:rsidR="00C61883">
              <w:rPr>
                <w:webHidden/>
              </w:rPr>
              <w:instrText xml:space="preserve"> PAGEREF _Toc33202261 \h </w:instrText>
            </w:r>
            <w:r w:rsidR="00C61883">
              <w:rPr>
                <w:webHidden/>
              </w:rPr>
            </w:r>
            <w:r w:rsidR="00C61883">
              <w:rPr>
                <w:webHidden/>
              </w:rPr>
              <w:fldChar w:fldCharType="separate"/>
            </w:r>
            <w:r w:rsidR="007E0985">
              <w:rPr>
                <w:webHidden/>
              </w:rPr>
              <w:t>1</w:t>
            </w:r>
            <w:r w:rsidR="00C61883">
              <w:rPr>
                <w:webHidden/>
              </w:rPr>
              <w:fldChar w:fldCharType="end"/>
            </w:r>
          </w:hyperlink>
        </w:p>
        <w:p w14:paraId="057A0F69" w14:textId="16722F98" w:rsidR="00C61883" w:rsidRDefault="0013561C">
          <w:pPr>
            <w:pStyle w:val="TOC1"/>
            <w:rPr>
              <w:rFonts w:asciiTheme="minorHAnsi" w:hAnsiTheme="minorHAnsi" w:cstheme="minorBidi"/>
              <w:b w:val="0"/>
              <w:sz w:val="22"/>
              <w:szCs w:val="22"/>
              <w:lang w:val="en-AU" w:eastAsia="en-AU"/>
            </w:rPr>
          </w:pPr>
          <w:hyperlink w:anchor="_Toc33202262" w:history="1">
            <w:r w:rsidR="00C61883" w:rsidRPr="000345FE">
              <w:rPr>
                <w:rStyle w:val="Hyperlink"/>
              </w:rPr>
              <w:t>1.</w:t>
            </w:r>
            <w:r w:rsidR="00C61883">
              <w:rPr>
                <w:rFonts w:asciiTheme="minorHAnsi" w:hAnsiTheme="minorHAnsi" w:cstheme="minorBidi"/>
                <w:b w:val="0"/>
                <w:sz w:val="22"/>
                <w:szCs w:val="22"/>
                <w:lang w:val="en-AU" w:eastAsia="en-AU"/>
              </w:rPr>
              <w:tab/>
            </w:r>
            <w:r w:rsidR="00C61883" w:rsidRPr="000345FE">
              <w:rPr>
                <w:rStyle w:val="Hyperlink"/>
              </w:rPr>
              <w:t>Introduction</w:t>
            </w:r>
            <w:r w:rsidR="00C61883">
              <w:rPr>
                <w:webHidden/>
              </w:rPr>
              <w:tab/>
            </w:r>
            <w:r w:rsidR="00C61883">
              <w:rPr>
                <w:webHidden/>
              </w:rPr>
              <w:fldChar w:fldCharType="begin"/>
            </w:r>
            <w:r w:rsidR="00C61883">
              <w:rPr>
                <w:webHidden/>
              </w:rPr>
              <w:instrText xml:space="preserve"> PAGEREF _Toc33202262 \h </w:instrText>
            </w:r>
            <w:r w:rsidR="00C61883">
              <w:rPr>
                <w:webHidden/>
              </w:rPr>
            </w:r>
            <w:r w:rsidR="00C61883">
              <w:rPr>
                <w:webHidden/>
              </w:rPr>
              <w:fldChar w:fldCharType="separate"/>
            </w:r>
            <w:r w:rsidR="007E0985">
              <w:rPr>
                <w:webHidden/>
              </w:rPr>
              <w:t>3</w:t>
            </w:r>
            <w:r w:rsidR="00C61883">
              <w:rPr>
                <w:webHidden/>
              </w:rPr>
              <w:fldChar w:fldCharType="end"/>
            </w:r>
          </w:hyperlink>
        </w:p>
        <w:p w14:paraId="36ADD25D" w14:textId="3897B64D" w:rsidR="00C61883" w:rsidRDefault="0013561C">
          <w:pPr>
            <w:pStyle w:val="TOC2"/>
            <w:rPr>
              <w:rFonts w:asciiTheme="minorHAnsi" w:hAnsiTheme="minorHAnsi" w:cstheme="minorBidi"/>
              <w:sz w:val="22"/>
              <w:szCs w:val="22"/>
              <w:lang w:val="en-AU" w:eastAsia="en-AU"/>
            </w:rPr>
          </w:pPr>
          <w:hyperlink w:anchor="_Toc33202263" w:history="1">
            <w:r w:rsidR="00C61883" w:rsidRPr="000345FE">
              <w:rPr>
                <w:rStyle w:val="Hyperlink"/>
              </w:rPr>
              <w:t>1.1</w:t>
            </w:r>
            <w:r w:rsidR="00C61883">
              <w:rPr>
                <w:rFonts w:asciiTheme="minorHAnsi" w:hAnsiTheme="minorHAnsi" w:cstheme="minorBidi"/>
                <w:sz w:val="22"/>
                <w:szCs w:val="22"/>
                <w:lang w:val="en-AU" w:eastAsia="en-AU"/>
              </w:rPr>
              <w:tab/>
            </w:r>
            <w:r w:rsidR="00C61883" w:rsidRPr="000345FE">
              <w:rPr>
                <w:rStyle w:val="Hyperlink"/>
              </w:rPr>
              <w:t>Sustainable Forest Management in Victoria</w:t>
            </w:r>
            <w:r w:rsidR="00C61883">
              <w:rPr>
                <w:webHidden/>
              </w:rPr>
              <w:tab/>
            </w:r>
            <w:r w:rsidR="00C61883">
              <w:rPr>
                <w:webHidden/>
              </w:rPr>
              <w:fldChar w:fldCharType="begin"/>
            </w:r>
            <w:r w:rsidR="00C61883">
              <w:rPr>
                <w:webHidden/>
              </w:rPr>
              <w:instrText xml:space="preserve"> PAGEREF _Toc33202263 \h </w:instrText>
            </w:r>
            <w:r w:rsidR="00C61883">
              <w:rPr>
                <w:webHidden/>
              </w:rPr>
            </w:r>
            <w:r w:rsidR="00C61883">
              <w:rPr>
                <w:webHidden/>
              </w:rPr>
              <w:fldChar w:fldCharType="separate"/>
            </w:r>
            <w:r w:rsidR="007E0985">
              <w:rPr>
                <w:webHidden/>
              </w:rPr>
              <w:t>3</w:t>
            </w:r>
            <w:r w:rsidR="00C61883">
              <w:rPr>
                <w:webHidden/>
              </w:rPr>
              <w:fldChar w:fldCharType="end"/>
            </w:r>
          </w:hyperlink>
        </w:p>
        <w:p w14:paraId="456BFB7F" w14:textId="4CF391B3" w:rsidR="00C61883" w:rsidRDefault="0013561C">
          <w:pPr>
            <w:pStyle w:val="TOC2"/>
            <w:rPr>
              <w:rFonts w:asciiTheme="minorHAnsi" w:hAnsiTheme="minorHAnsi" w:cstheme="minorBidi"/>
              <w:sz w:val="22"/>
              <w:szCs w:val="22"/>
              <w:lang w:val="en-AU" w:eastAsia="en-AU"/>
            </w:rPr>
          </w:pPr>
          <w:hyperlink w:anchor="_Toc33202264" w:history="1">
            <w:r w:rsidR="00C61883" w:rsidRPr="000345FE">
              <w:rPr>
                <w:rStyle w:val="Hyperlink"/>
              </w:rPr>
              <w:t>1.2</w:t>
            </w:r>
            <w:r w:rsidR="00C61883">
              <w:rPr>
                <w:rFonts w:asciiTheme="minorHAnsi" w:hAnsiTheme="minorHAnsi" w:cstheme="minorBidi"/>
                <w:sz w:val="22"/>
                <w:szCs w:val="22"/>
                <w:lang w:val="en-AU" w:eastAsia="en-AU"/>
              </w:rPr>
              <w:tab/>
            </w:r>
            <w:r w:rsidR="00C61883" w:rsidRPr="000345FE">
              <w:rPr>
                <w:rStyle w:val="Hyperlink"/>
              </w:rPr>
              <w:t>Forest Audit Program</w:t>
            </w:r>
            <w:r w:rsidR="00C61883">
              <w:rPr>
                <w:webHidden/>
              </w:rPr>
              <w:tab/>
            </w:r>
            <w:r w:rsidR="00C61883">
              <w:rPr>
                <w:webHidden/>
              </w:rPr>
              <w:fldChar w:fldCharType="begin"/>
            </w:r>
            <w:r w:rsidR="00C61883">
              <w:rPr>
                <w:webHidden/>
              </w:rPr>
              <w:instrText xml:space="preserve"> PAGEREF _Toc33202264 \h </w:instrText>
            </w:r>
            <w:r w:rsidR="00C61883">
              <w:rPr>
                <w:webHidden/>
              </w:rPr>
            </w:r>
            <w:r w:rsidR="00C61883">
              <w:rPr>
                <w:webHidden/>
              </w:rPr>
              <w:fldChar w:fldCharType="separate"/>
            </w:r>
            <w:r w:rsidR="007E0985">
              <w:rPr>
                <w:webHidden/>
              </w:rPr>
              <w:t>3</w:t>
            </w:r>
            <w:r w:rsidR="00C61883">
              <w:rPr>
                <w:webHidden/>
              </w:rPr>
              <w:fldChar w:fldCharType="end"/>
            </w:r>
          </w:hyperlink>
        </w:p>
        <w:p w14:paraId="5A9C1C70" w14:textId="47D3F20C" w:rsidR="00C61883" w:rsidRDefault="0013561C">
          <w:pPr>
            <w:pStyle w:val="TOC1"/>
            <w:rPr>
              <w:rFonts w:asciiTheme="minorHAnsi" w:hAnsiTheme="minorHAnsi" w:cstheme="minorBidi"/>
              <w:b w:val="0"/>
              <w:sz w:val="22"/>
              <w:szCs w:val="22"/>
              <w:lang w:val="en-AU" w:eastAsia="en-AU"/>
            </w:rPr>
          </w:pPr>
          <w:hyperlink w:anchor="_Toc33202265" w:history="1">
            <w:r w:rsidR="00C61883" w:rsidRPr="000345FE">
              <w:rPr>
                <w:rStyle w:val="Hyperlink"/>
              </w:rPr>
              <w:t>2.</w:t>
            </w:r>
            <w:r w:rsidR="00C61883">
              <w:rPr>
                <w:rFonts w:asciiTheme="minorHAnsi" w:hAnsiTheme="minorHAnsi" w:cstheme="minorBidi"/>
                <w:b w:val="0"/>
                <w:sz w:val="22"/>
                <w:szCs w:val="22"/>
                <w:lang w:val="en-AU" w:eastAsia="en-AU"/>
              </w:rPr>
              <w:tab/>
            </w:r>
            <w:r w:rsidR="00C61883" w:rsidRPr="000345FE">
              <w:rPr>
                <w:rStyle w:val="Hyperlink"/>
              </w:rPr>
              <w:t>Audit scope</w:t>
            </w:r>
            <w:r w:rsidR="00C61883">
              <w:rPr>
                <w:webHidden/>
              </w:rPr>
              <w:tab/>
            </w:r>
            <w:r w:rsidR="00C61883">
              <w:rPr>
                <w:webHidden/>
              </w:rPr>
              <w:fldChar w:fldCharType="begin"/>
            </w:r>
            <w:r w:rsidR="00C61883">
              <w:rPr>
                <w:webHidden/>
              </w:rPr>
              <w:instrText xml:space="preserve"> PAGEREF _Toc33202265 \h </w:instrText>
            </w:r>
            <w:r w:rsidR="00C61883">
              <w:rPr>
                <w:webHidden/>
              </w:rPr>
            </w:r>
            <w:r w:rsidR="00C61883">
              <w:rPr>
                <w:webHidden/>
              </w:rPr>
              <w:fldChar w:fldCharType="separate"/>
            </w:r>
            <w:r w:rsidR="007E0985">
              <w:rPr>
                <w:webHidden/>
              </w:rPr>
              <w:t>5</w:t>
            </w:r>
            <w:r w:rsidR="00C61883">
              <w:rPr>
                <w:webHidden/>
              </w:rPr>
              <w:fldChar w:fldCharType="end"/>
            </w:r>
          </w:hyperlink>
        </w:p>
        <w:p w14:paraId="31FBE4B5" w14:textId="06AB2265" w:rsidR="00C61883" w:rsidRDefault="0013561C">
          <w:pPr>
            <w:pStyle w:val="TOC2"/>
            <w:rPr>
              <w:rFonts w:asciiTheme="minorHAnsi" w:hAnsiTheme="minorHAnsi" w:cstheme="minorBidi"/>
              <w:sz w:val="22"/>
              <w:szCs w:val="22"/>
              <w:lang w:val="en-AU" w:eastAsia="en-AU"/>
            </w:rPr>
          </w:pPr>
          <w:hyperlink w:anchor="_Toc33202266" w:history="1">
            <w:r w:rsidR="00C61883" w:rsidRPr="000345FE">
              <w:rPr>
                <w:rStyle w:val="Hyperlink"/>
              </w:rPr>
              <w:t>2.1</w:t>
            </w:r>
            <w:r w:rsidR="00C61883">
              <w:rPr>
                <w:rFonts w:asciiTheme="minorHAnsi" w:hAnsiTheme="minorHAnsi" w:cstheme="minorBidi"/>
                <w:sz w:val="22"/>
                <w:szCs w:val="22"/>
                <w:lang w:val="en-AU" w:eastAsia="en-AU"/>
              </w:rPr>
              <w:tab/>
            </w:r>
            <w:r w:rsidR="00C61883" w:rsidRPr="000345FE">
              <w:rPr>
                <w:rStyle w:val="Hyperlink"/>
              </w:rPr>
              <w:t>Audit objectives</w:t>
            </w:r>
            <w:r w:rsidR="00C61883">
              <w:rPr>
                <w:webHidden/>
              </w:rPr>
              <w:tab/>
            </w:r>
            <w:r w:rsidR="00C61883">
              <w:rPr>
                <w:webHidden/>
              </w:rPr>
              <w:fldChar w:fldCharType="begin"/>
            </w:r>
            <w:r w:rsidR="00C61883">
              <w:rPr>
                <w:webHidden/>
              </w:rPr>
              <w:instrText xml:space="preserve"> PAGEREF _Toc33202266 \h </w:instrText>
            </w:r>
            <w:r w:rsidR="00C61883">
              <w:rPr>
                <w:webHidden/>
              </w:rPr>
            </w:r>
            <w:r w:rsidR="00C61883">
              <w:rPr>
                <w:webHidden/>
              </w:rPr>
              <w:fldChar w:fldCharType="separate"/>
            </w:r>
            <w:r w:rsidR="007E0985">
              <w:rPr>
                <w:webHidden/>
              </w:rPr>
              <w:t>5</w:t>
            </w:r>
            <w:r w:rsidR="00C61883">
              <w:rPr>
                <w:webHidden/>
              </w:rPr>
              <w:fldChar w:fldCharType="end"/>
            </w:r>
          </w:hyperlink>
        </w:p>
        <w:p w14:paraId="2781BC70" w14:textId="0AC19866" w:rsidR="00C61883" w:rsidRDefault="0013561C">
          <w:pPr>
            <w:pStyle w:val="TOC2"/>
            <w:rPr>
              <w:rFonts w:asciiTheme="minorHAnsi" w:hAnsiTheme="minorHAnsi" w:cstheme="minorBidi"/>
              <w:sz w:val="22"/>
              <w:szCs w:val="22"/>
              <w:lang w:val="en-AU" w:eastAsia="en-AU"/>
            </w:rPr>
          </w:pPr>
          <w:hyperlink w:anchor="_Toc33202267" w:history="1">
            <w:r w:rsidR="00C61883" w:rsidRPr="000345FE">
              <w:rPr>
                <w:rStyle w:val="Hyperlink"/>
              </w:rPr>
              <w:t>2.2</w:t>
            </w:r>
            <w:r w:rsidR="00C61883">
              <w:rPr>
                <w:rFonts w:asciiTheme="minorHAnsi" w:hAnsiTheme="minorHAnsi" w:cstheme="minorBidi"/>
                <w:sz w:val="22"/>
                <w:szCs w:val="22"/>
                <w:lang w:val="en-AU" w:eastAsia="en-AU"/>
              </w:rPr>
              <w:tab/>
            </w:r>
            <w:r w:rsidR="00C61883" w:rsidRPr="000345FE">
              <w:rPr>
                <w:rStyle w:val="Hyperlink"/>
              </w:rPr>
              <w:t>Audit scope</w:t>
            </w:r>
            <w:r w:rsidR="00C61883">
              <w:rPr>
                <w:webHidden/>
              </w:rPr>
              <w:tab/>
            </w:r>
            <w:r w:rsidR="00C61883">
              <w:rPr>
                <w:webHidden/>
              </w:rPr>
              <w:fldChar w:fldCharType="begin"/>
            </w:r>
            <w:r w:rsidR="00C61883">
              <w:rPr>
                <w:webHidden/>
              </w:rPr>
              <w:instrText xml:space="preserve"> PAGEREF _Toc33202267 \h </w:instrText>
            </w:r>
            <w:r w:rsidR="00C61883">
              <w:rPr>
                <w:webHidden/>
              </w:rPr>
            </w:r>
            <w:r w:rsidR="00C61883">
              <w:rPr>
                <w:webHidden/>
              </w:rPr>
              <w:fldChar w:fldCharType="separate"/>
            </w:r>
            <w:r w:rsidR="007E0985">
              <w:rPr>
                <w:webHidden/>
              </w:rPr>
              <w:t>5</w:t>
            </w:r>
            <w:r w:rsidR="00C61883">
              <w:rPr>
                <w:webHidden/>
              </w:rPr>
              <w:fldChar w:fldCharType="end"/>
            </w:r>
          </w:hyperlink>
        </w:p>
        <w:p w14:paraId="3726CF82" w14:textId="60E6AE5B" w:rsidR="00C61883" w:rsidRDefault="0013561C">
          <w:pPr>
            <w:pStyle w:val="TOC2"/>
            <w:rPr>
              <w:rFonts w:asciiTheme="minorHAnsi" w:hAnsiTheme="minorHAnsi" w:cstheme="minorBidi"/>
              <w:sz w:val="22"/>
              <w:szCs w:val="22"/>
              <w:lang w:val="en-AU" w:eastAsia="en-AU"/>
            </w:rPr>
          </w:pPr>
          <w:hyperlink w:anchor="_Toc33202268" w:history="1">
            <w:r w:rsidR="00C61883" w:rsidRPr="000345FE">
              <w:rPr>
                <w:rStyle w:val="Hyperlink"/>
              </w:rPr>
              <w:t>2.3</w:t>
            </w:r>
            <w:r w:rsidR="00C61883">
              <w:rPr>
                <w:rFonts w:asciiTheme="minorHAnsi" w:hAnsiTheme="minorHAnsi" w:cstheme="minorBidi"/>
                <w:sz w:val="22"/>
                <w:szCs w:val="22"/>
                <w:lang w:val="en-AU" w:eastAsia="en-AU"/>
              </w:rPr>
              <w:tab/>
            </w:r>
            <w:r w:rsidR="00C61883" w:rsidRPr="000345FE">
              <w:rPr>
                <w:rStyle w:val="Hyperlink"/>
              </w:rPr>
              <w:t>Audit timing</w:t>
            </w:r>
            <w:r w:rsidR="00C61883">
              <w:rPr>
                <w:webHidden/>
              </w:rPr>
              <w:tab/>
            </w:r>
            <w:r w:rsidR="00C61883">
              <w:rPr>
                <w:webHidden/>
              </w:rPr>
              <w:fldChar w:fldCharType="begin"/>
            </w:r>
            <w:r w:rsidR="00C61883">
              <w:rPr>
                <w:webHidden/>
              </w:rPr>
              <w:instrText xml:space="preserve"> PAGEREF _Toc33202268 \h </w:instrText>
            </w:r>
            <w:r w:rsidR="00C61883">
              <w:rPr>
                <w:webHidden/>
              </w:rPr>
            </w:r>
            <w:r w:rsidR="00C61883">
              <w:rPr>
                <w:webHidden/>
              </w:rPr>
              <w:fldChar w:fldCharType="separate"/>
            </w:r>
            <w:r w:rsidR="007E0985">
              <w:rPr>
                <w:webHidden/>
              </w:rPr>
              <w:t>6</w:t>
            </w:r>
            <w:r w:rsidR="00C61883">
              <w:rPr>
                <w:webHidden/>
              </w:rPr>
              <w:fldChar w:fldCharType="end"/>
            </w:r>
          </w:hyperlink>
        </w:p>
        <w:p w14:paraId="66F37841" w14:textId="19A81DC3" w:rsidR="00C61883" w:rsidRDefault="0013561C">
          <w:pPr>
            <w:pStyle w:val="TOC2"/>
            <w:rPr>
              <w:rFonts w:asciiTheme="minorHAnsi" w:hAnsiTheme="minorHAnsi" w:cstheme="minorBidi"/>
              <w:sz w:val="22"/>
              <w:szCs w:val="22"/>
              <w:lang w:val="en-AU" w:eastAsia="en-AU"/>
            </w:rPr>
          </w:pPr>
          <w:hyperlink w:anchor="_Toc33202269" w:history="1">
            <w:r w:rsidR="00C61883" w:rsidRPr="000345FE">
              <w:rPr>
                <w:rStyle w:val="Hyperlink"/>
              </w:rPr>
              <w:t>2.4</w:t>
            </w:r>
            <w:r w:rsidR="00C61883">
              <w:rPr>
                <w:rFonts w:asciiTheme="minorHAnsi" w:hAnsiTheme="minorHAnsi" w:cstheme="minorBidi"/>
                <w:sz w:val="22"/>
                <w:szCs w:val="22"/>
                <w:lang w:val="en-AU" w:eastAsia="en-AU"/>
              </w:rPr>
              <w:tab/>
            </w:r>
            <w:r w:rsidR="00C61883" w:rsidRPr="000345FE">
              <w:rPr>
                <w:rStyle w:val="Hyperlink"/>
              </w:rPr>
              <w:t>Audit team</w:t>
            </w:r>
            <w:r w:rsidR="00C61883">
              <w:rPr>
                <w:webHidden/>
              </w:rPr>
              <w:tab/>
            </w:r>
            <w:r w:rsidR="00C61883">
              <w:rPr>
                <w:webHidden/>
              </w:rPr>
              <w:fldChar w:fldCharType="begin"/>
            </w:r>
            <w:r w:rsidR="00C61883">
              <w:rPr>
                <w:webHidden/>
              </w:rPr>
              <w:instrText xml:space="preserve"> PAGEREF _Toc33202269 \h </w:instrText>
            </w:r>
            <w:r w:rsidR="00C61883">
              <w:rPr>
                <w:webHidden/>
              </w:rPr>
            </w:r>
            <w:r w:rsidR="00C61883">
              <w:rPr>
                <w:webHidden/>
              </w:rPr>
              <w:fldChar w:fldCharType="separate"/>
            </w:r>
            <w:r w:rsidR="007E0985">
              <w:rPr>
                <w:webHidden/>
              </w:rPr>
              <w:t>6</w:t>
            </w:r>
            <w:r w:rsidR="00C61883">
              <w:rPr>
                <w:webHidden/>
              </w:rPr>
              <w:fldChar w:fldCharType="end"/>
            </w:r>
          </w:hyperlink>
        </w:p>
        <w:p w14:paraId="25594123" w14:textId="18A96BC1" w:rsidR="00C61883" w:rsidRDefault="0013561C">
          <w:pPr>
            <w:pStyle w:val="TOC1"/>
            <w:rPr>
              <w:rFonts w:asciiTheme="minorHAnsi" w:hAnsiTheme="minorHAnsi" w:cstheme="minorBidi"/>
              <w:b w:val="0"/>
              <w:sz w:val="22"/>
              <w:szCs w:val="22"/>
              <w:lang w:val="en-AU" w:eastAsia="en-AU"/>
            </w:rPr>
          </w:pPr>
          <w:hyperlink w:anchor="_Toc33202270" w:history="1">
            <w:r w:rsidR="00C61883" w:rsidRPr="000345FE">
              <w:rPr>
                <w:rStyle w:val="Hyperlink"/>
              </w:rPr>
              <w:t>3.</w:t>
            </w:r>
            <w:r w:rsidR="00C61883">
              <w:rPr>
                <w:rFonts w:asciiTheme="minorHAnsi" w:hAnsiTheme="minorHAnsi" w:cstheme="minorBidi"/>
                <w:b w:val="0"/>
                <w:sz w:val="22"/>
                <w:szCs w:val="22"/>
                <w:lang w:val="en-AU" w:eastAsia="en-AU"/>
              </w:rPr>
              <w:tab/>
            </w:r>
            <w:r w:rsidR="00C61883" w:rsidRPr="000345FE">
              <w:rPr>
                <w:rStyle w:val="Hyperlink"/>
              </w:rPr>
              <w:t>Audit approach</w:t>
            </w:r>
            <w:r w:rsidR="00C61883">
              <w:rPr>
                <w:webHidden/>
              </w:rPr>
              <w:tab/>
            </w:r>
            <w:r w:rsidR="00C61883">
              <w:rPr>
                <w:webHidden/>
              </w:rPr>
              <w:fldChar w:fldCharType="begin"/>
            </w:r>
            <w:r w:rsidR="00C61883">
              <w:rPr>
                <w:webHidden/>
              </w:rPr>
              <w:instrText xml:space="preserve"> PAGEREF _Toc33202270 \h </w:instrText>
            </w:r>
            <w:r w:rsidR="00C61883">
              <w:rPr>
                <w:webHidden/>
              </w:rPr>
            </w:r>
            <w:r w:rsidR="00C61883">
              <w:rPr>
                <w:webHidden/>
              </w:rPr>
              <w:fldChar w:fldCharType="separate"/>
            </w:r>
            <w:r w:rsidR="007E0985">
              <w:rPr>
                <w:webHidden/>
              </w:rPr>
              <w:t>8</w:t>
            </w:r>
            <w:r w:rsidR="00C61883">
              <w:rPr>
                <w:webHidden/>
              </w:rPr>
              <w:fldChar w:fldCharType="end"/>
            </w:r>
          </w:hyperlink>
        </w:p>
        <w:p w14:paraId="6C24A84A" w14:textId="6F24DE67" w:rsidR="00C61883" w:rsidRDefault="0013561C">
          <w:pPr>
            <w:pStyle w:val="TOC2"/>
            <w:rPr>
              <w:rFonts w:asciiTheme="minorHAnsi" w:hAnsiTheme="minorHAnsi" w:cstheme="minorBidi"/>
              <w:sz w:val="22"/>
              <w:szCs w:val="22"/>
              <w:lang w:val="en-AU" w:eastAsia="en-AU"/>
            </w:rPr>
          </w:pPr>
          <w:hyperlink w:anchor="_Toc33202271" w:history="1">
            <w:r w:rsidR="00C61883" w:rsidRPr="000345FE">
              <w:rPr>
                <w:rStyle w:val="Hyperlink"/>
              </w:rPr>
              <w:t>3.1</w:t>
            </w:r>
            <w:r w:rsidR="00C61883">
              <w:rPr>
                <w:rFonts w:asciiTheme="minorHAnsi" w:hAnsiTheme="minorHAnsi" w:cstheme="minorBidi"/>
                <w:sz w:val="22"/>
                <w:szCs w:val="22"/>
                <w:lang w:val="en-AU" w:eastAsia="en-AU"/>
              </w:rPr>
              <w:tab/>
            </w:r>
            <w:r w:rsidR="00C61883" w:rsidRPr="000345FE">
              <w:rPr>
                <w:rStyle w:val="Hyperlink"/>
              </w:rPr>
              <w:t>Coupe selection</w:t>
            </w:r>
            <w:r w:rsidR="00C61883">
              <w:rPr>
                <w:webHidden/>
              </w:rPr>
              <w:tab/>
            </w:r>
            <w:r w:rsidR="00C61883">
              <w:rPr>
                <w:webHidden/>
              </w:rPr>
              <w:fldChar w:fldCharType="begin"/>
            </w:r>
            <w:r w:rsidR="00C61883">
              <w:rPr>
                <w:webHidden/>
              </w:rPr>
              <w:instrText xml:space="preserve"> PAGEREF _Toc33202271 \h </w:instrText>
            </w:r>
            <w:r w:rsidR="00C61883">
              <w:rPr>
                <w:webHidden/>
              </w:rPr>
            </w:r>
            <w:r w:rsidR="00C61883">
              <w:rPr>
                <w:webHidden/>
              </w:rPr>
              <w:fldChar w:fldCharType="separate"/>
            </w:r>
            <w:r w:rsidR="007E0985">
              <w:rPr>
                <w:webHidden/>
              </w:rPr>
              <w:t>8</w:t>
            </w:r>
            <w:r w:rsidR="00C61883">
              <w:rPr>
                <w:webHidden/>
              </w:rPr>
              <w:fldChar w:fldCharType="end"/>
            </w:r>
          </w:hyperlink>
        </w:p>
        <w:p w14:paraId="55591126" w14:textId="46B4F595" w:rsidR="00C61883" w:rsidRDefault="0013561C">
          <w:pPr>
            <w:pStyle w:val="TOC2"/>
            <w:rPr>
              <w:rFonts w:asciiTheme="minorHAnsi" w:hAnsiTheme="minorHAnsi" w:cstheme="minorBidi"/>
              <w:sz w:val="22"/>
              <w:szCs w:val="22"/>
              <w:lang w:val="en-AU" w:eastAsia="en-AU"/>
            </w:rPr>
          </w:pPr>
          <w:hyperlink w:anchor="_Toc33202272" w:history="1">
            <w:r w:rsidR="00C61883" w:rsidRPr="000345FE">
              <w:rPr>
                <w:rStyle w:val="Hyperlink"/>
              </w:rPr>
              <w:t>3.2</w:t>
            </w:r>
            <w:r w:rsidR="00C61883">
              <w:rPr>
                <w:rFonts w:asciiTheme="minorHAnsi" w:hAnsiTheme="minorHAnsi" w:cstheme="minorBidi"/>
                <w:sz w:val="22"/>
                <w:szCs w:val="22"/>
                <w:lang w:val="en-AU" w:eastAsia="en-AU"/>
              </w:rPr>
              <w:tab/>
            </w:r>
            <w:r w:rsidR="00C61883" w:rsidRPr="000345FE">
              <w:rPr>
                <w:rStyle w:val="Hyperlink"/>
              </w:rPr>
              <w:t>Audit criteria and workbook</w:t>
            </w:r>
            <w:r w:rsidR="00C61883">
              <w:rPr>
                <w:webHidden/>
              </w:rPr>
              <w:tab/>
            </w:r>
            <w:r w:rsidR="00C61883">
              <w:rPr>
                <w:webHidden/>
              </w:rPr>
              <w:fldChar w:fldCharType="begin"/>
            </w:r>
            <w:r w:rsidR="00C61883">
              <w:rPr>
                <w:webHidden/>
              </w:rPr>
              <w:instrText xml:space="preserve"> PAGEREF _Toc33202272 \h </w:instrText>
            </w:r>
            <w:r w:rsidR="00C61883">
              <w:rPr>
                <w:webHidden/>
              </w:rPr>
            </w:r>
            <w:r w:rsidR="00C61883">
              <w:rPr>
                <w:webHidden/>
              </w:rPr>
              <w:fldChar w:fldCharType="separate"/>
            </w:r>
            <w:r w:rsidR="007E0985">
              <w:rPr>
                <w:webHidden/>
              </w:rPr>
              <w:t>9</w:t>
            </w:r>
            <w:r w:rsidR="00C61883">
              <w:rPr>
                <w:webHidden/>
              </w:rPr>
              <w:fldChar w:fldCharType="end"/>
            </w:r>
          </w:hyperlink>
        </w:p>
        <w:p w14:paraId="54F3B8CB" w14:textId="192F1FAA" w:rsidR="00C61883" w:rsidRDefault="0013561C">
          <w:pPr>
            <w:pStyle w:val="TOC2"/>
            <w:rPr>
              <w:rFonts w:asciiTheme="minorHAnsi" w:hAnsiTheme="minorHAnsi" w:cstheme="minorBidi"/>
              <w:sz w:val="22"/>
              <w:szCs w:val="22"/>
              <w:lang w:val="en-AU" w:eastAsia="en-AU"/>
            </w:rPr>
          </w:pPr>
          <w:hyperlink w:anchor="_Toc33202273" w:history="1">
            <w:r w:rsidR="00C61883" w:rsidRPr="000345FE">
              <w:rPr>
                <w:rStyle w:val="Hyperlink"/>
              </w:rPr>
              <w:t>3.3</w:t>
            </w:r>
            <w:r w:rsidR="00C61883">
              <w:rPr>
                <w:rFonts w:asciiTheme="minorHAnsi" w:hAnsiTheme="minorHAnsi" w:cstheme="minorBidi"/>
                <w:sz w:val="22"/>
                <w:szCs w:val="22"/>
                <w:lang w:val="en-AU" w:eastAsia="en-AU"/>
              </w:rPr>
              <w:tab/>
            </w:r>
            <w:r w:rsidR="00C61883" w:rsidRPr="000345FE">
              <w:rPr>
                <w:rStyle w:val="Hyperlink"/>
              </w:rPr>
              <w:t>Field assessments</w:t>
            </w:r>
            <w:r w:rsidR="00C61883">
              <w:rPr>
                <w:webHidden/>
              </w:rPr>
              <w:tab/>
            </w:r>
            <w:r w:rsidR="00C61883">
              <w:rPr>
                <w:webHidden/>
              </w:rPr>
              <w:fldChar w:fldCharType="begin"/>
            </w:r>
            <w:r w:rsidR="00C61883">
              <w:rPr>
                <w:webHidden/>
              </w:rPr>
              <w:instrText xml:space="preserve"> PAGEREF _Toc33202273 \h </w:instrText>
            </w:r>
            <w:r w:rsidR="00C61883">
              <w:rPr>
                <w:webHidden/>
              </w:rPr>
            </w:r>
            <w:r w:rsidR="00C61883">
              <w:rPr>
                <w:webHidden/>
              </w:rPr>
              <w:fldChar w:fldCharType="separate"/>
            </w:r>
            <w:r w:rsidR="007E0985">
              <w:rPr>
                <w:webHidden/>
              </w:rPr>
              <w:t>12</w:t>
            </w:r>
            <w:r w:rsidR="00C61883">
              <w:rPr>
                <w:webHidden/>
              </w:rPr>
              <w:fldChar w:fldCharType="end"/>
            </w:r>
          </w:hyperlink>
        </w:p>
        <w:p w14:paraId="2505235B" w14:textId="5339C2D5" w:rsidR="00C61883" w:rsidRDefault="0013561C">
          <w:pPr>
            <w:pStyle w:val="TOC2"/>
            <w:rPr>
              <w:rFonts w:asciiTheme="minorHAnsi" w:hAnsiTheme="minorHAnsi" w:cstheme="minorBidi"/>
              <w:sz w:val="22"/>
              <w:szCs w:val="22"/>
              <w:lang w:val="en-AU" w:eastAsia="en-AU"/>
            </w:rPr>
          </w:pPr>
          <w:hyperlink w:anchor="_Toc33202274" w:history="1">
            <w:r w:rsidR="00C61883" w:rsidRPr="000345FE">
              <w:rPr>
                <w:rStyle w:val="Hyperlink"/>
              </w:rPr>
              <w:t>3.4</w:t>
            </w:r>
            <w:r w:rsidR="00C61883">
              <w:rPr>
                <w:rFonts w:asciiTheme="minorHAnsi" w:hAnsiTheme="minorHAnsi" w:cstheme="minorBidi"/>
                <w:sz w:val="22"/>
                <w:szCs w:val="22"/>
                <w:lang w:val="en-AU" w:eastAsia="en-AU"/>
              </w:rPr>
              <w:tab/>
            </w:r>
            <w:r w:rsidR="00C61883" w:rsidRPr="000345FE">
              <w:rPr>
                <w:rStyle w:val="Hyperlink"/>
              </w:rPr>
              <w:t>Environmental impact assessment</w:t>
            </w:r>
            <w:r w:rsidR="00C61883">
              <w:rPr>
                <w:webHidden/>
              </w:rPr>
              <w:tab/>
            </w:r>
            <w:r w:rsidR="00C61883">
              <w:rPr>
                <w:webHidden/>
              </w:rPr>
              <w:fldChar w:fldCharType="begin"/>
            </w:r>
            <w:r w:rsidR="00C61883">
              <w:rPr>
                <w:webHidden/>
              </w:rPr>
              <w:instrText xml:space="preserve"> PAGEREF _Toc33202274 \h </w:instrText>
            </w:r>
            <w:r w:rsidR="00C61883">
              <w:rPr>
                <w:webHidden/>
              </w:rPr>
            </w:r>
            <w:r w:rsidR="00C61883">
              <w:rPr>
                <w:webHidden/>
              </w:rPr>
              <w:fldChar w:fldCharType="separate"/>
            </w:r>
            <w:r w:rsidR="007E0985">
              <w:rPr>
                <w:webHidden/>
              </w:rPr>
              <w:t>15</w:t>
            </w:r>
            <w:r w:rsidR="00C61883">
              <w:rPr>
                <w:webHidden/>
              </w:rPr>
              <w:fldChar w:fldCharType="end"/>
            </w:r>
          </w:hyperlink>
        </w:p>
        <w:p w14:paraId="512A2B35" w14:textId="58E82780" w:rsidR="00C61883" w:rsidRDefault="0013561C">
          <w:pPr>
            <w:pStyle w:val="TOC1"/>
            <w:rPr>
              <w:rFonts w:asciiTheme="minorHAnsi" w:hAnsiTheme="minorHAnsi" w:cstheme="minorBidi"/>
              <w:b w:val="0"/>
              <w:sz w:val="22"/>
              <w:szCs w:val="22"/>
              <w:lang w:val="en-AU" w:eastAsia="en-AU"/>
            </w:rPr>
          </w:pPr>
          <w:hyperlink w:anchor="_Toc33202275" w:history="1">
            <w:r w:rsidR="00C61883" w:rsidRPr="000345FE">
              <w:rPr>
                <w:rStyle w:val="Hyperlink"/>
              </w:rPr>
              <w:t>4.</w:t>
            </w:r>
            <w:r w:rsidR="00C61883">
              <w:rPr>
                <w:rFonts w:asciiTheme="minorHAnsi" w:hAnsiTheme="minorHAnsi" w:cstheme="minorBidi"/>
                <w:b w:val="0"/>
                <w:sz w:val="22"/>
                <w:szCs w:val="22"/>
                <w:lang w:val="en-AU" w:eastAsia="en-AU"/>
              </w:rPr>
              <w:tab/>
            </w:r>
            <w:r w:rsidR="00C61883" w:rsidRPr="000345FE">
              <w:rPr>
                <w:rStyle w:val="Hyperlink"/>
              </w:rPr>
              <w:t>Audit results</w:t>
            </w:r>
            <w:r w:rsidR="00C61883">
              <w:rPr>
                <w:webHidden/>
              </w:rPr>
              <w:tab/>
            </w:r>
            <w:r w:rsidR="00C61883">
              <w:rPr>
                <w:webHidden/>
              </w:rPr>
              <w:fldChar w:fldCharType="begin"/>
            </w:r>
            <w:r w:rsidR="00C61883">
              <w:rPr>
                <w:webHidden/>
              </w:rPr>
              <w:instrText xml:space="preserve"> PAGEREF _Toc33202275 \h </w:instrText>
            </w:r>
            <w:r w:rsidR="00C61883">
              <w:rPr>
                <w:webHidden/>
              </w:rPr>
            </w:r>
            <w:r w:rsidR="00C61883">
              <w:rPr>
                <w:webHidden/>
              </w:rPr>
              <w:fldChar w:fldCharType="separate"/>
            </w:r>
            <w:r w:rsidR="007E0985">
              <w:rPr>
                <w:webHidden/>
              </w:rPr>
              <w:t>16</w:t>
            </w:r>
            <w:r w:rsidR="00C61883">
              <w:rPr>
                <w:webHidden/>
              </w:rPr>
              <w:fldChar w:fldCharType="end"/>
            </w:r>
          </w:hyperlink>
        </w:p>
        <w:p w14:paraId="59C85F3A" w14:textId="031B20FD" w:rsidR="00C61883" w:rsidRDefault="0013561C">
          <w:pPr>
            <w:pStyle w:val="TOC2"/>
            <w:rPr>
              <w:rFonts w:asciiTheme="minorHAnsi" w:hAnsiTheme="minorHAnsi" w:cstheme="minorBidi"/>
              <w:sz w:val="22"/>
              <w:szCs w:val="22"/>
              <w:lang w:val="en-AU" w:eastAsia="en-AU"/>
            </w:rPr>
          </w:pPr>
          <w:hyperlink w:anchor="_Toc33202276" w:history="1">
            <w:r w:rsidR="00C61883" w:rsidRPr="000345FE">
              <w:rPr>
                <w:rStyle w:val="Hyperlink"/>
              </w:rPr>
              <w:t>4.1</w:t>
            </w:r>
            <w:r w:rsidR="00C61883">
              <w:rPr>
                <w:rFonts w:asciiTheme="minorHAnsi" w:hAnsiTheme="minorHAnsi" w:cstheme="minorBidi"/>
                <w:sz w:val="22"/>
                <w:szCs w:val="22"/>
                <w:lang w:val="en-AU" w:eastAsia="en-AU"/>
              </w:rPr>
              <w:tab/>
            </w:r>
            <w:r w:rsidR="00C61883" w:rsidRPr="000345FE">
              <w:rPr>
                <w:rStyle w:val="Hyperlink"/>
              </w:rPr>
              <w:t>Overall compliance findings</w:t>
            </w:r>
            <w:r w:rsidR="00C61883">
              <w:rPr>
                <w:webHidden/>
              </w:rPr>
              <w:tab/>
            </w:r>
            <w:r w:rsidR="00C61883">
              <w:rPr>
                <w:webHidden/>
              </w:rPr>
              <w:fldChar w:fldCharType="begin"/>
            </w:r>
            <w:r w:rsidR="00C61883">
              <w:rPr>
                <w:webHidden/>
              </w:rPr>
              <w:instrText xml:space="preserve"> PAGEREF _Toc33202276 \h </w:instrText>
            </w:r>
            <w:r w:rsidR="00C61883">
              <w:rPr>
                <w:webHidden/>
              </w:rPr>
            </w:r>
            <w:r w:rsidR="00C61883">
              <w:rPr>
                <w:webHidden/>
              </w:rPr>
              <w:fldChar w:fldCharType="separate"/>
            </w:r>
            <w:r w:rsidR="007E0985">
              <w:rPr>
                <w:webHidden/>
              </w:rPr>
              <w:t>16</w:t>
            </w:r>
            <w:r w:rsidR="00C61883">
              <w:rPr>
                <w:webHidden/>
              </w:rPr>
              <w:fldChar w:fldCharType="end"/>
            </w:r>
          </w:hyperlink>
        </w:p>
        <w:p w14:paraId="76FA1F24" w14:textId="563A5654" w:rsidR="00C61883" w:rsidRDefault="0013561C">
          <w:pPr>
            <w:pStyle w:val="TOC3"/>
            <w:rPr>
              <w:rFonts w:asciiTheme="minorHAnsi" w:hAnsiTheme="minorHAnsi" w:cstheme="minorBidi"/>
              <w:sz w:val="22"/>
              <w:szCs w:val="22"/>
              <w:lang w:val="en-AU" w:eastAsia="en-AU"/>
            </w:rPr>
          </w:pPr>
          <w:hyperlink w:anchor="_Toc33202277" w:history="1">
            <w:r w:rsidR="00C61883" w:rsidRPr="000345FE">
              <w:rPr>
                <w:rStyle w:val="Hyperlink"/>
              </w:rPr>
              <w:t>4.1.1</w:t>
            </w:r>
            <w:r w:rsidR="00C61883">
              <w:rPr>
                <w:rFonts w:asciiTheme="minorHAnsi" w:hAnsiTheme="minorHAnsi" w:cstheme="minorBidi"/>
                <w:sz w:val="22"/>
                <w:szCs w:val="22"/>
                <w:lang w:val="en-AU" w:eastAsia="en-AU"/>
              </w:rPr>
              <w:tab/>
            </w:r>
            <w:r w:rsidR="00C61883" w:rsidRPr="000345FE">
              <w:rPr>
                <w:rStyle w:val="Hyperlink"/>
              </w:rPr>
              <w:t>Harvest coupes</w:t>
            </w:r>
            <w:r w:rsidR="00C61883">
              <w:rPr>
                <w:webHidden/>
              </w:rPr>
              <w:tab/>
            </w:r>
            <w:r w:rsidR="00C61883">
              <w:rPr>
                <w:webHidden/>
              </w:rPr>
              <w:fldChar w:fldCharType="begin"/>
            </w:r>
            <w:r w:rsidR="00C61883">
              <w:rPr>
                <w:webHidden/>
              </w:rPr>
              <w:instrText xml:space="preserve"> PAGEREF _Toc33202277 \h </w:instrText>
            </w:r>
            <w:r w:rsidR="00C61883">
              <w:rPr>
                <w:webHidden/>
              </w:rPr>
            </w:r>
            <w:r w:rsidR="00C61883">
              <w:rPr>
                <w:webHidden/>
              </w:rPr>
              <w:fldChar w:fldCharType="separate"/>
            </w:r>
            <w:r w:rsidR="007E0985">
              <w:rPr>
                <w:webHidden/>
              </w:rPr>
              <w:t>16</w:t>
            </w:r>
            <w:r w:rsidR="00C61883">
              <w:rPr>
                <w:webHidden/>
              </w:rPr>
              <w:fldChar w:fldCharType="end"/>
            </w:r>
          </w:hyperlink>
        </w:p>
        <w:p w14:paraId="74899792" w14:textId="2B1275E9" w:rsidR="00C61883" w:rsidRDefault="0013561C">
          <w:pPr>
            <w:pStyle w:val="TOC3"/>
            <w:rPr>
              <w:rFonts w:asciiTheme="minorHAnsi" w:hAnsiTheme="minorHAnsi" w:cstheme="minorBidi"/>
              <w:sz w:val="22"/>
              <w:szCs w:val="22"/>
              <w:lang w:val="en-AU" w:eastAsia="en-AU"/>
            </w:rPr>
          </w:pPr>
          <w:hyperlink w:anchor="_Toc33202278" w:history="1">
            <w:r w:rsidR="00C61883" w:rsidRPr="000345FE">
              <w:rPr>
                <w:rStyle w:val="Hyperlink"/>
              </w:rPr>
              <w:t>4.1.2</w:t>
            </w:r>
            <w:r w:rsidR="00C61883">
              <w:rPr>
                <w:rFonts w:asciiTheme="minorHAnsi" w:hAnsiTheme="minorHAnsi" w:cstheme="minorBidi"/>
                <w:sz w:val="22"/>
                <w:szCs w:val="22"/>
                <w:lang w:val="en-AU" w:eastAsia="en-AU"/>
              </w:rPr>
              <w:tab/>
            </w:r>
            <w:r w:rsidR="00C61883" w:rsidRPr="000345FE">
              <w:rPr>
                <w:rStyle w:val="Hyperlink"/>
              </w:rPr>
              <w:t>Regeneration coupes</w:t>
            </w:r>
            <w:r w:rsidR="00C61883">
              <w:rPr>
                <w:webHidden/>
              </w:rPr>
              <w:tab/>
            </w:r>
            <w:r w:rsidR="00C61883">
              <w:rPr>
                <w:webHidden/>
              </w:rPr>
              <w:fldChar w:fldCharType="begin"/>
            </w:r>
            <w:r w:rsidR="00C61883">
              <w:rPr>
                <w:webHidden/>
              </w:rPr>
              <w:instrText xml:space="preserve"> PAGEREF _Toc33202278 \h </w:instrText>
            </w:r>
            <w:r w:rsidR="00C61883">
              <w:rPr>
                <w:webHidden/>
              </w:rPr>
            </w:r>
            <w:r w:rsidR="00C61883">
              <w:rPr>
                <w:webHidden/>
              </w:rPr>
              <w:fldChar w:fldCharType="separate"/>
            </w:r>
            <w:r w:rsidR="007E0985">
              <w:rPr>
                <w:webHidden/>
              </w:rPr>
              <w:t>17</w:t>
            </w:r>
            <w:r w:rsidR="00C61883">
              <w:rPr>
                <w:webHidden/>
              </w:rPr>
              <w:fldChar w:fldCharType="end"/>
            </w:r>
          </w:hyperlink>
        </w:p>
        <w:p w14:paraId="5D88A0AB" w14:textId="4DAD2C06" w:rsidR="00C61883" w:rsidRDefault="0013561C">
          <w:pPr>
            <w:pStyle w:val="TOC2"/>
            <w:rPr>
              <w:rFonts w:asciiTheme="minorHAnsi" w:hAnsiTheme="minorHAnsi" w:cstheme="minorBidi"/>
              <w:sz w:val="22"/>
              <w:szCs w:val="22"/>
              <w:lang w:val="en-AU" w:eastAsia="en-AU"/>
            </w:rPr>
          </w:pPr>
          <w:hyperlink w:anchor="_Toc33202279" w:history="1">
            <w:r w:rsidR="00C61883" w:rsidRPr="000345FE">
              <w:rPr>
                <w:rStyle w:val="Hyperlink"/>
              </w:rPr>
              <w:t>4.2</w:t>
            </w:r>
            <w:r w:rsidR="00C61883">
              <w:rPr>
                <w:rFonts w:asciiTheme="minorHAnsi" w:hAnsiTheme="minorHAnsi" w:cstheme="minorBidi"/>
                <w:sz w:val="22"/>
                <w:szCs w:val="22"/>
                <w:lang w:val="en-AU" w:eastAsia="en-AU"/>
              </w:rPr>
              <w:tab/>
            </w:r>
            <w:r w:rsidR="00C61883" w:rsidRPr="000345FE">
              <w:rPr>
                <w:rStyle w:val="Hyperlink"/>
              </w:rPr>
              <w:t>Harvest coupes: environmental compliance theme</w:t>
            </w:r>
            <w:r w:rsidR="00C61883">
              <w:rPr>
                <w:webHidden/>
              </w:rPr>
              <w:tab/>
            </w:r>
            <w:r w:rsidR="00C61883">
              <w:rPr>
                <w:webHidden/>
              </w:rPr>
              <w:fldChar w:fldCharType="begin"/>
            </w:r>
            <w:r w:rsidR="00C61883">
              <w:rPr>
                <w:webHidden/>
              </w:rPr>
              <w:instrText xml:space="preserve"> PAGEREF _Toc33202279 \h </w:instrText>
            </w:r>
            <w:r w:rsidR="00C61883">
              <w:rPr>
                <w:webHidden/>
              </w:rPr>
            </w:r>
            <w:r w:rsidR="00C61883">
              <w:rPr>
                <w:webHidden/>
              </w:rPr>
              <w:fldChar w:fldCharType="separate"/>
            </w:r>
            <w:r w:rsidR="007E0985">
              <w:rPr>
                <w:webHidden/>
              </w:rPr>
              <w:t>18</w:t>
            </w:r>
            <w:r w:rsidR="00C61883">
              <w:rPr>
                <w:webHidden/>
              </w:rPr>
              <w:fldChar w:fldCharType="end"/>
            </w:r>
          </w:hyperlink>
        </w:p>
        <w:p w14:paraId="5D8897DC" w14:textId="232B270F" w:rsidR="00C61883" w:rsidRDefault="0013561C">
          <w:pPr>
            <w:pStyle w:val="TOC3"/>
            <w:rPr>
              <w:rFonts w:asciiTheme="minorHAnsi" w:hAnsiTheme="minorHAnsi" w:cstheme="minorBidi"/>
              <w:sz w:val="22"/>
              <w:szCs w:val="22"/>
              <w:lang w:val="en-AU" w:eastAsia="en-AU"/>
            </w:rPr>
          </w:pPr>
          <w:hyperlink w:anchor="_Toc33202280" w:history="1">
            <w:r w:rsidR="00C61883" w:rsidRPr="000345FE">
              <w:rPr>
                <w:rStyle w:val="Hyperlink"/>
              </w:rPr>
              <w:t>4.2.1</w:t>
            </w:r>
            <w:r w:rsidR="00C61883">
              <w:rPr>
                <w:rFonts w:asciiTheme="minorHAnsi" w:hAnsiTheme="minorHAnsi" w:cstheme="minorBidi"/>
                <w:sz w:val="22"/>
                <w:szCs w:val="22"/>
                <w:lang w:val="en-AU" w:eastAsia="en-AU"/>
              </w:rPr>
              <w:tab/>
            </w:r>
            <w:r w:rsidR="00C61883" w:rsidRPr="000345FE">
              <w:rPr>
                <w:rStyle w:val="Hyperlink"/>
              </w:rPr>
              <w:t>Compliance elements related to the protection of forest soils</w:t>
            </w:r>
            <w:r w:rsidR="00C61883">
              <w:rPr>
                <w:webHidden/>
              </w:rPr>
              <w:tab/>
            </w:r>
            <w:r w:rsidR="00C61883">
              <w:rPr>
                <w:webHidden/>
              </w:rPr>
              <w:fldChar w:fldCharType="begin"/>
            </w:r>
            <w:r w:rsidR="00C61883">
              <w:rPr>
                <w:webHidden/>
              </w:rPr>
              <w:instrText xml:space="preserve"> PAGEREF _Toc33202280 \h </w:instrText>
            </w:r>
            <w:r w:rsidR="00C61883">
              <w:rPr>
                <w:webHidden/>
              </w:rPr>
            </w:r>
            <w:r w:rsidR="00C61883">
              <w:rPr>
                <w:webHidden/>
              </w:rPr>
              <w:fldChar w:fldCharType="separate"/>
            </w:r>
            <w:r w:rsidR="007E0985">
              <w:rPr>
                <w:webHidden/>
              </w:rPr>
              <w:t>18</w:t>
            </w:r>
            <w:r w:rsidR="00C61883">
              <w:rPr>
                <w:webHidden/>
              </w:rPr>
              <w:fldChar w:fldCharType="end"/>
            </w:r>
          </w:hyperlink>
        </w:p>
        <w:p w14:paraId="5C36C7A9" w14:textId="3E9AA0B2" w:rsidR="00C61883" w:rsidRDefault="0013561C">
          <w:pPr>
            <w:pStyle w:val="TOC3"/>
            <w:rPr>
              <w:rFonts w:asciiTheme="minorHAnsi" w:hAnsiTheme="minorHAnsi" w:cstheme="minorBidi"/>
              <w:sz w:val="22"/>
              <w:szCs w:val="22"/>
              <w:lang w:val="en-AU" w:eastAsia="en-AU"/>
            </w:rPr>
          </w:pPr>
          <w:hyperlink w:anchor="_Toc33202281" w:history="1">
            <w:r w:rsidR="00C61883" w:rsidRPr="000345FE">
              <w:rPr>
                <w:rStyle w:val="Hyperlink"/>
              </w:rPr>
              <w:t>4.2.2</w:t>
            </w:r>
            <w:r w:rsidR="00C61883">
              <w:rPr>
                <w:rFonts w:asciiTheme="minorHAnsi" w:hAnsiTheme="minorHAnsi" w:cstheme="minorBidi"/>
                <w:sz w:val="22"/>
                <w:szCs w:val="22"/>
                <w:lang w:val="en-AU" w:eastAsia="en-AU"/>
              </w:rPr>
              <w:tab/>
            </w:r>
            <w:r w:rsidR="00C61883" w:rsidRPr="000345FE">
              <w:rPr>
                <w:rStyle w:val="Hyperlink"/>
              </w:rPr>
              <w:t>Compliance elements related to the protection of water flows, water quality and river health</w:t>
            </w:r>
            <w:r w:rsidR="00C61883">
              <w:rPr>
                <w:webHidden/>
              </w:rPr>
              <w:tab/>
            </w:r>
            <w:r w:rsidR="00C61883">
              <w:rPr>
                <w:webHidden/>
              </w:rPr>
              <w:fldChar w:fldCharType="begin"/>
            </w:r>
            <w:r w:rsidR="00C61883">
              <w:rPr>
                <w:webHidden/>
              </w:rPr>
              <w:instrText xml:space="preserve"> PAGEREF _Toc33202281 \h </w:instrText>
            </w:r>
            <w:r w:rsidR="00C61883">
              <w:rPr>
                <w:webHidden/>
              </w:rPr>
            </w:r>
            <w:r w:rsidR="00C61883">
              <w:rPr>
                <w:webHidden/>
              </w:rPr>
              <w:fldChar w:fldCharType="separate"/>
            </w:r>
            <w:r w:rsidR="007E0985">
              <w:rPr>
                <w:webHidden/>
              </w:rPr>
              <w:t>20</w:t>
            </w:r>
            <w:r w:rsidR="00C61883">
              <w:rPr>
                <w:webHidden/>
              </w:rPr>
              <w:fldChar w:fldCharType="end"/>
            </w:r>
          </w:hyperlink>
        </w:p>
        <w:p w14:paraId="3C967816" w14:textId="029A5A90" w:rsidR="00C61883" w:rsidRDefault="0013561C">
          <w:pPr>
            <w:pStyle w:val="TOC3"/>
            <w:rPr>
              <w:rFonts w:asciiTheme="minorHAnsi" w:hAnsiTheme="minorHAnsi" w:cstheme="minorBidi"/>
              <w:sz w:val="22"/>
              <w:szCs w:val="22"/>
              <w:lang w:val="en-AU" w:eastAsia="en-AU"/>
            </w:rPr>
          </w:pPr>
          <w:hyperlink w:anchor="_Toc33202282" w:history="1">
            <w:r w:rsidR="00C61883" w:rsidRPr="000345FE">
              <w:rPr>
                <w:rStyle w:val="Hyperlink"/>
              </w:rPr>
              <w:t>4.2.3</w:t>
            </w:r>
            <w:r w:rsidR="00C61883">
              <w:rPr>
                <w:rFonts w:asciiTheme="minorHAnsi" w:hAnsiTheme="minorHAnsi" w:cstheme="minorBidi"/>
                <w:sz w:val="22"/>
                <w:szCs w:val="22"/>
                <w:lang w:val="en-AU" w:eastAsia="en-AU"/>
              </w:rPr>
              <w:tab/>
            </w:r>
            <w:r w:rsidR="00C61883" w:rsidRPr="000345FE">
              <w:rPr>
                <w:rStyle w:val="Hyperlink"/>
              </w:rPr>
              <w:t>Compliance elements related to the protection of biodiversity values</w:t>
            </w:r>
            <w:r w:rsidR="00C61883">
              <w:rPr>
                <w:webHidden/>
              </w:rPr>
              <w:tab/>
            </w:r>
            <w:r w:rsidR="00C61883">
              <w:rPr>
                <w:webHidden/>
              </w:rPr>
              <w:fldChar w:fldCharType="begin"/>
            </w:r>
            <w:r w:rsidR="00C61883">
              <w:rPr>
                <w:webHidden/>
              </w:rPr>
              <w:instrText xml:space="preserve"> PAGEREF _Toc33202282 \h </w:instrText>
            </w:r>
            <w:r w:rsidR="00C61883">
              <w:rPr>
                <w:webHidden/>
              </w:rPr>
            </w:r>
            <w:r w:rsidR="00C61883">
              <w:rPr>
                <w:webHidden/>
              </w:rPr>
              <w:fldChar w:fldCharType="separate"/>
            </w:r>
            <w:r w:rsidR="007E0985">
              <w:rPr>
                <w:webHidden/>
              </w:rPr>
              <w:t>23</w:t>
            </w:r>
            <w:r w:rsidR="00C61883">
              <w:rPr>
                <w:webHidden/>
              </w:rPr>
              <w:fldChar w:fldCharType="end"/>
            </w:r>
          </w:hyperlink>
        </w:p>
        <w:p w14:paraId="7389A7B9" w14:textId="30532883" w:rsidR="00C61883" w:rsidRDefault="0013561C">
          <w:pPr>
            <w:pStyle w:val="TOC2"/>
            <w:rPr>
              <w:rFonts w:asciiTheme="minorHAnsi" w:hAnsiTheme="minorHAnsi" w:cstheme="minorBidi"/>
              <w:sz w:val="22"/>
              <w:szCs w:val="22"/>
              <w:lang w:val="en-AU" w:eastAsia="en-AU"/>
            </w:rPr>
          </w:pPr>
          <w:hyperlink w:anchor="_Toc33202283" w:history="1">
            <w:r w:rsidR="00C61883" w:rsidRPr="000345FE">
              <w:rPr>
                <w:rStyle w:val="Hyperlink"/>
              </w:rPr>
              <w:t>4.3</w:t>
            </w:r>
            <w:r w:rsidR="00C61883">
              <w:rPr>
                <w:rFonts w:asciiTheme="minorHAnsi" w:hAnsiTheme="minorHAnsi" w:cstheme="minorBidi"/>
                <w:sz w:val="22"/>
                <w:szCs w:val="22"/>
                <w:lang w:val="en-AU" w:eastAsia="en-AU"/>
              </w:rPr>
              <w:tab/>
            </w:r>
            <w:r w:rsidR="00C61883" w:rsidRPr="000345FE">
              <w:rPr>
                <w:rStyle w:val="Hyperlink"/>
              </w:rPr>
              <w:t>Harvest coupes: roading compliance theme</w:t>
            </w:r>
            <w:r w:rsidR="00C61883">
              <w:rPr>
                <w:webHidden/>
              </w:rPr>
              <w:tab/>
            </w:r>
            <w:r w:rsidR="00C61883">
              <w:rPr>
                <w:webHidden/>
              </w:rPr>
              <w:fldChar w:fldCharType="begin"/>
            </w:r>
            <w:r w:rsidR="00C61883">
              <w:rPr>
                <w:webHidden/>
              </w:rPr>
              <w:instrText xml:space="preserve"> PAGEREF _Toc33202283 \h </w:instrText>
            </w:r>
            <w:r w:rsidR="00C61883">
              <w:rPr>
                <w:webHidden/>
              </w:rPr>
            </w:r>
            <w:r w:rsidR="00C61883">
              <w:rPr>
                <w:webHidden/>
              </w:rPr>
              <w:fldChar w:fldCharType="separate"/>
            </w:r>
            <w:r w:rsidR="007E0985">
              <w:rPr>
                <w:webHidden/>
              </w:rPr>
              <w:t>25</w:t>
            </w:r>
            <w:r w:rsidR="00C61883">
              <w:rPr>
                <w:webHidden/>
              </w:rPr>
              <w:fldChar w:fldCharType="end"/>
            </w:r>
          </w:hyperlink>
        </w:p>
        <w:p w14:paraId="02F46C35" w14:textId="7186581A" w:rsidR="00C61883" w:rsidRDefault="0013561C">
          <w:pPr>
            <w:pStyle w:val="TOC3"/>
            <w:rPr>
              <w:rFonts w:asciiTheme="minorHAnsi" w:hAnsiTheme="minorHAnsi" w:cstheme="minorBidi"/>
              <w:sz w:val="22"/>
              <w:szCs w:val="22"/>
              <w:lang w:val="en-AU" w:eastAsia="en-AU"/>
            </w:rPr>
          </w:pPr>
          <w:hyperlink w:anchor="_Toc33202284" w:history="1">
            <w:r w:rsidR="00C61883" w:rsidRPr="000345FE">
              <w:rPr>
                <w:rStyle w:val="Hyperlink"/>
              </w:rPr>
              <w:t>4.3.1</w:t>
            </w:r>
            <w:r w:rsidR="00C61883">
              <w:rPr>
                <w:rFonts w:asciiTheme="minorHAnsi" w:hAnsiTheme="minorHAnsi" w:cstheme="minorBidi"/>
                <w:sz w:val="22"/>
                <w:szCs w:val="22"/>
                <w:lang w:val="en-AU" w:eastAsia="en-AU"/>
              </w:rPr>
              <w:tab/>
            </w:r>
            <w:r w:rsidR="00C61883" w:rsidRPr="000345FE">
              <w:rPr>
                <w:rStyle w:val="Hyperlink"/>
              </w:rPr>
              <w:t>Compliance elements related to in-coupe road and waterway crossing design</w:t>
            </w:r>
            <w:r w:rsidR="00C61883">
              <w:rPr>
                <w:webHidden/>
              </w:rPr>
              <w:tab/>
            </w:r>
            <w:r w:rsidR="00C61883">
              <w:rPr>
                <w:webHidden/>
              </w:rPr>
              <w:fldChar w:fldCharType="begin"/>
            </w:r>
            <w:r w:rsidR="00C61883">
              <w:rPr>
                <w:webHidden/>
              </w:rPr>
              <w:instrText xml:space="preserve"> PAGEREF _Toc33202284 \h </w:instrText>
            </w:r>
            <w:r w:rsidR="00C61883">
              <w:rPr>
                <w:webHidden/>
              </w:rPr>
            </w:r>
            <w:r w:rsidR="00C61883">
              <w:rPr>
                <w:webHidden/>
              </w:rPr>
              <w:fldChar w:fldCharType="separate"/>
            </w:r>
            <w:r w:rsidR="007E0985">
              <w:rPr>
                <w:webHidden/>
              </w:rPr>
              <w:t>25</w:t>
            </w:r>
            <w:r w:rsidR="00C61883">
              <w:rPr>
                <w:webHidden/>
              </w:rPr>
              <w:fldChar w:fldCharType="end"/>
            </w:r>
          </w:hyperlink>
        </w:p>
        <w:p w14:paraId="75E7D470" w14:textId="6A3E97A9" w:rsidR="00C61883" w:rsidRDefault="0013561C">
          <w:pPr>
            <w:pStyle w:val="TOC3"/>
            <w:rPr>
              <w:rFonts w:asciiTheme="minorHAnsi" w:hAnsiTheme="minorHAnsi" w:cstheme="minorBidi"/>
              <w:sz w:val="22"/>
              <w:szCs w:val="22"/>
              <w:lang w:val="en-AU" w:eastAsia="en-AU"/>
            </w:rPr>
          </w:pPr>
          <w:hyperlink w:anchor="_Toc33202285" w:history="1">
            <w:r w:rsidR="00C61883" w:rsidRPr="000345FE">
              <w:rPr>
                <w:rStyle w:val="Hyperlink"/>
              </w:rPr>
              <w:t>4.3.2</w:t>
            </w:r>
            <w:r w:rsidR="00C61883">
              <w:rPr>
                <w:rFonts w:asciiTheme="minorHAnsi" w:hAnsiTheme="minorHAnsi" w:cstheme="minorBidi"/>
                <w:sz w:val="22"/>
                <w:szCs w:val="22"/>
                <w:lang w:val="en-AU" w:eastAsia="en-AU"/>
              </w:rPr>
              <w:tab/>
            </w:r>
            <w:r w:rsidR="00C61883" w:rsidRPr="000345FE">
              <w:rPr>
                <w:rStyle w:val="Hyperlink"/>
              </w:rPr>
              <w:t>Compliance elements related to in-coupe road and waterway crossing construction</w:t>
            </w:r>
            <w:r w:rsidR="00C61883">
              <w:rPr>
                <w:webHidden/>
              </w:rPr>
              <w:tab/>
            </w:r>
            <w:r w:rsidR="00C61883">
              <w:rPr>
                <w:webHidden/>
              </w:rPr>
              <w:fldChar w:fldCharType="begin"/>
            </w:r>
            <w:r w:rsidR="00C61883">
              <w:rPr>
                <w:webHidden/>
              </w:rPr>
              <w:instrText xml:space="preserve"> PAGEREF _Toc33202285 \h </w:instrText>
            </w:r>
            <w:r w:rsidR="00C61883">
              <w:rPr>
                <w:webHidden/>
              </w:rPr>
            </w:r>
            <w:r w:rsidR="00C61883">
              <w:rPr>
                <w:webHidden/>
              </w:rPr>
              <w:fldChar w:fldCharType="separate"/>
            </w:r>
            <w:r w:rsidR="007E0985">
              <w:rPr>
                <w:webHidden/>
              </w:rPr>
              <w:t>26</w:t>
            </w:r>
            <w:r w:rsidR="00C61883">
              <w:rPr>
                <w:webHidden/>
              </w:rPr>
              <w:fldChar w:fldCharType="end"/>
            </w:r>
          </w:hyperlink>
        </w:p>
        <w:p w14:paraId="59CDCCD1" w14:textId="6E1C0221" w:rsidR="00C61883" w:rsidRDefault="0013561C">
          <w:pPr>
            <w:pStyle w:val="TOC3"/>
            <w:rPr>
              <w:rFonts w:asciiTheme="minorHAnsi" w:hAnsiTheme="minorHAnsi" w:cstheme="minorBidi"/>
              <w:sz w:val="22"/>
              <w:szCs w:val="22"/>
              <w:lang w:val="en-AU" w:eastAsia="en-AU"/>
            </w:rPr>
          </w:pPr>
          <w:hyperlink w:anchor="_Toc33202286" w:history="1">
            <w:r w:rsidR="00C61883" w:rsidRPr="000345FE">
              <w:rPr>
                <w:rStyle w:val="Hyperlink"/>
              </w:rPr>
              <w:t>4.3.3</w:t>
            </w:r>
            <w:r w:rsidR="00C61883">
              <w:rPr>
                <w:rFonts w:asciiTheme="minorHAnsi" w:hAnsiTheme="minorHAnsi" w:cstheme="minorBidi"/>
                <w:sz w:val="22"/>
                <w:szCs w:val="22"/>
                <w:lang w:val="en-AU" w:eastAsia="en-AU"/>
              </w:rPr>
              <w:tab/>
            </w:r>
            <w:r w:rsidR="00C61883" w:rsidRPr="000345FE">
              <w:rPr>
                <w:rStyle w:val="Hyperlink"/>
              </w:rPr>
              <w:t>Compliance elements related to in-coupe road and waterway crossing maintenance and closure</w:t>
            </w:r>
            <w:r w:rsidR="00C61883">
              <w:rPr>
                <w:webHidden/>
              </w:rPr>
              <w:tab/>
            </w:r>
            <w:r w:rsidR="00C61883">
              <w:rPr>
                <w:webHidden/>
              </w:rPr>
              <w:fldChar w:fldCharType="begin"/>
            </w:r>
            <w:r w:rsidR="00C61883">
              <w:rPr>
                <w:webHidden/>
              </w:rPr>
              <w:instrText xml:space="preserve"> PAGEREF _Toc33202286 \h </w:instrText>
            </w:r>
            <w:r w:rsidR="00C61883">
              <w:rPr>
                <w:webHidden/>
              </w:rPr>
            </w:r>
            <w:r w:rsidR="00C61883">
              <w:rPr>
                <w:webHidden/>
              </w:rPr>
              <w:fldChar w:fldCharType="separate"/>
            </w:r>
            <w:r w:rsidR="007E0985">
              <w:rPr>
                <w:webHidden/>
              </w:rPr>
              <w:t>27</w:t>
            </w:r>
            <w:r w:rsidR="00C61883">
              <w:rPr>
                <w:webHidden/>
              </w:rPr>
              <w:fldChar w:fldCharType="end"/>
            </w:r>
          </w:hyperlink>
        </w:p>
        <w:p w14:paraId="47374FB5" w14:textId="35C3D62D" w:rsidR="00C61883" w:rsidRDefault="0013561C">
          <w:pPr>
            <w:pStyle w:val="TOC2"/>
            <w:rPr>
              <w:rFonts w:asciiTheme="minorHAnsi" w:hAnsiTheme="minorHAnsi" w:cstheme="minorBidi"/>
              <w:sz w:val="22"/>
              <w:szCs w:val="22"/>
              <w:lang w:val="en-AU" w:eastAsia="en-AU"/>
            </w:rPr>
          </w:pPr>
          <w:hyperlink w:anchor="_Toc33202287" w:history="1">
            <w:r w:rsidR="00C61883" w:rsidRPr="000345FE">
              <w:rPr>
                <w:rStyle w:val="Hyperlink"/>
              </w:rPr>
              <w:t>4.4</w:t>
            </w:r>
            <w:r w:rsidR="00C61883">
              <w:rPr>
                <w:rFonts w:asciiTheme="minorHAnsi" w:hAnsiTheme="minorHAnsi" w:cstheme="minorBidi"/>
                <w:sz w:val="22"/>
                <w:szCs w:val="22"/>
                <w:lang w:val="en-AU" w:eastAsia="en-AU"/>
              </w:rPr>
              <w:tab/>
            </w:r>
            <w:r w:rsidR="00C61883" w:rsidRPr="000345FE">
              <w:rPr>
                <w:rStyle w:val="Hyperlink"/>
              </w:rPr>
              <w:t>Harvest coupes: infrastructure compliance theme</w:t>
            </w:r>
            <w:r w:rsidR="00C61883">
              <w:rPr>
                <w:webHidden/>
              </w:rPr>
              <w:tab/>
            </w:r>
            <w:r w:rsidR="00C61883">
              <w:rPr>
                <w:webHidden/>
              </w:rPr>
              <w:fldChar w:fldCharType="begin"/>
            </w:r>
            <w:r w:rsidR="00C61883">
              <w:rPr>
                <w:webHidden/>
              </w:rPr>
              <w:instrText xml:space="preserve"> PAGEREF _Toc33202287 \h </w:instrText>
            </w:r>
            <w:r w:rsidR="00C61883">
              <w:rPr>
                <w:webHidden/>
              </w:rPr>
            </w:r>
            <w:r w:rsidR="00C61883">
              <w:rPr>
                <w:webHidden/>
              </w:rPr>
              <w:fldChar w:fldCharType="separate"/>
            </w:r>
            <w:r w:rsidR="007E0985">
              <w:rPr>
                <w:webHidden/>
              </w:rPr>
              <w:t>28</w:t>
            </w:r>
            <w:r w:rsidR="00C61883">
              <w:rPr>
                <w:webHidden/>
              </w:rPr>
              <w:fldChar w:fldCharType="end"/>
            </w:r>
          </w:hyperlink>
        </w:p>
        <w:p w14:paraId="2FF9AE2B" w14:textId="4CFC7E35" w:rsidR="00C61883" w:rsidRDefault="0013561C">
          <w:pPr>
            <w:pStyle w:val="TOC2"/>
            <w:rPr>
              <w:rFonts w:asciiTheme="minorHAnsi" w:hAnsiTheme="minorHAnsi" w:cstheme="minorBidi"/>
              <w:sz w:val="22"/>
              <w:szCs w:val="22"/>
              <w:lang w:val="en-AU" w:eastAsia="en-AU"/>
            </w:rPr>
          </w:pPr>
          <w:hyperlink w:anchor="_Toc33202288" w:history="1">
            <w:r w:rsidR="00C61883" w:rsidRPr="000345FE">
              <w:rPr>
                <w:rStyle w:val="Hyperlink"/>
              </w:rPr>
              <w:t>4.5</w:t>
            </w:r>
            <w:r w:rsidR="00C61883">
              <w:rPr>
                <w:rFonts w:asciiTheme="minorHAnsi" w:hAnsiTheme="minorHAnsi" w:cstheme="minorBidi"/>
                <w:sz w:val="22"/>
                <w:szCs w:val="22"/>
                <w:lang w:val="en-AU" w:eastAsia="en-AU"/>
              </w:rPr>
              <w:tab/>
            </w:r>
            <w:r w:rsidR="00C61883" w:rsidRPr="000345FE">
              <w:rPr>
                <w:rStyle w:val="Hyperlink"/>
              </w:rPr>
              <w:t>Harvest coupes: coupe planning and management</w:t>
            </w:r>
            <w:r w:rsidR="00C61883">
              <w:rPr>
                <w:webHidden/>
              </w:rPr>
              <w:tab/>
            </w:r>
            <w:r w:rsidR="00C61883">
              <w:rPr>
                <w:webHidden/>
              </w:rPr>
              <w:fldChar w:fldCharType="begin"/>
            </w:r>
            <w:r w:rsidR="00C61883">
              <w:rPr>
                <w:webHidden/>
              </w:rPr>
              <w:instrText xml:space="preserve"> PAGEREF _Toc33202288 \h </w:instrText>
            </w:r>
            <w:r w:rsidR="00C61883">
              <w:rPr>
                <w:webHidden/>
              </w:rPr>
            </w:r>
            <w:r w:rsidR="00C61883">
              <w:rPr>
                <w:webHidden/>
              </w:rPr>
              <w:fldChar w:fldCharType="separate"/>
            </w:r>
            <w:r w:rsidR="007E0985">
              <w:rPr>
                <w:webHidden/>
              </w:rPr>
              <w:t>31</w:t>
            </w:r>
            <w:r w:rsidR="00C61883">
              <w:rPr>
                <w:webHidden/>
              </w:rPr>
              <w:fldChar w:fldCharType="end"/>
            </w:r>
          </w:hyperlink>
        </w:p>
        <w:p w14:paraId="189B722D" w14:textId="65EDECEA" w:rsidR="00C61883" w:rsidRDefault="0013561C">
          <w:pPr>
            <w:pStyle w:val="TOC2"/>
            <w:rPr>
              <w:rFonts w:asciiTheme="minorHAnsi" w:hAnsiTheme="minorHAnsi" w:cstheme="minorBidi"/>
              <w:sz w:val="22"/>
              <w:szCs w:val="22"/>
              <w:lang w:val="en-AU" w:eastAsia="en-AU"/>
            </w:rPr>
          </w:pPr>
          <w:hyperlink w:anchor="_Toc33202289" w:history="1">
            <w:r w:rsidR="00C61883" w:rsidRPr="000345FE">
              <w:rPr>
                <w:rStyle w:val="Hyperlink"/>
              </w:rPr>
              <w:t>4.6</w:t>
            </w:r>
            <w:r w:rsidR="00C61883">
              <w:rPr>
                <w:rFonts w:asciiTheme="minorHAnsi" w:hAnsiTheme="minorHAnsi" w:cstheme="minorBidi"/>
                <w:sz w:val="22"/>
                <w:szCs w:val="22"/>
                <w:lang w:val="en-AU" w:eastAsia="en-AU"/>
              </w:rPr>
              <w:tab/>
            </w:r>
            <w:r w:rsidR="00C61883" w:rsidRPr="000345FE">
              <w:rPr>
                <w:rStyle w:val="Hyperlink"/>
              </w:rPr>
              <w:t>Coupe regeneration and rehabilitation</w:t>
            </w:r>
            <w:r w:rsidR="00C61883">
              <w:rPr>
                <w:webHidden/>
              </w:rPr>
              <w:tab/>
            </w:r>
            <w:r w:rsidR="00C61883">
              <w:rPr>
                <w:webHidden/>
              </w:rPr>
              <w:fldChar w:fldCharType="begin"/>
            </w:r>
            <w:r w:rsidR="00C61883">
              <w:rPr>
                <w:webHidden/>
              </w:rPr>
              <w:instrText xml:space="preserve"> PAGEREF _Toc33202289 \h </w:instrText>
            </w:r>
            <w:r w:rsidR="00C61883">
              <w:rPr>
                <w:webHidden/>
              </w:rPr>
            </w:r>
            <w:r w:rsidR="00C61883">
              <w:rPr>
                <w:webHidden/>
              </w:rPr>
              <w:fldChar w:fldCharType="separate"/>
            </w:r>
            <w:r w:rsidR="007E0985">
              <w:rPr>
                <w:webHidden/>
              </w:rPr>
              <w:t>33</w:t>
            </w:r>
            <w:r w:rsidR="00C61883">
              <w:rPr>
                <w:webHidden/>
              </w:rPr>
              <w:fldChar w:fldCharType="end"/>
            </w:r>
          </w:hyperlink>
        </w:p>
        <w:p w14:paraId="1E77F7ED" w14:textId="5D02317E" w:rsidR="00C61883" w:rsidRDefault="0013561C">
          <w:pPr>
            <w:pStyle w:val="TOC1"/>
            <w:rPr>
              <w:rFonts w:asciiTheme="minorHAnsi" w:hAnsiTheme="minorHAnsi" w:cstheme="minorBidi"/>
              <w:b w:val="0"/>
              <w:sz w:val="22"/>
              <w:szCs w:val="22"/>
              <w:lang w:val="en-AU" w:eastAsia="en-AU"/>
            </w:rPr>
          </w:pPr>
          <w:hyperlink w:anchor="_Toc33202290" w:history="1">
            <w:r w:rsidR="00C61883" w:rsidRPr="000345FE">
              <w:rPr>
                <w:rStyle w:val="Hyperlink"/>
              </w:rPr>
              <w:t>5.</w:t>
            </w:r>
            <w:r w:rsidR="00C61883">
              <w:rPr>
                <w:rFonts w:asciiTheme="minorHAnsi" w:hAnsiTheme="minorHAnsi" w:cstheme="minorBidi"/>
                <w:b w:val="0"/>
                <w:sz w:val="22"/>
                <w:szCs w:val="22"/>
                <w:lang w:val="en-AU" w:eastAsia="en-AU"/>
              </w:rPr>
              <w:tab/>
            </w:r>
            <w:r w:rsidR="00C61883" w:rsidRPr="000345FE">
              <w:rPr>
                <w:rStyle w:val="Hyperlink"/>
              </w:rPr>
              <w:t>Discussion</w:t>
            </w:r>
            <w:r w:rsidR="00C61883">
              <w:rPr>
                <w:webHidden/>
              </w:rPr>
              <w:tab/>
            </w:r>
            <w:r w:rsidR="00C61883">
              <w:rPr>
                <w:webHidden/>
              </w:rPr>
              <w:fldChar w:fldCharType="begin"/>
            </w:r>
            <w:r w:rsidR="00C61883">
              <w:rPr>
                <w:webHidden/>
              </w:rPr>
              <w:instrText xml:space="preserve"> PAGEREF _Toc33202290 \h </w:instrText>
            </w:r>
            <w:r w:rsidR="00C61883">
              <w:rPr>
                <w:webHidden/>
              </w:rPr>
            </w:r>
            <w:r w:rsidR="00C61883">
              <w:rPr>
                <w:webHidden/>
              </w:rPr>
              <w:fldChar w:fldCharType="separate"/>
            </w:r>
            <w:r w:rsidR="007E0985">
              <w:rPr>
                <w:webHidden/>
              </w:rPr>
              <w:t>35</w:t>
            </w:r>
            <w:r w:rsidR="00C61883">
              <w:rPr>
                <w:webHidden/>
              </w:rPr>
              <w:fldChar w:fldCharType="end"/>
            </w:r>
          </w:hyperlink>
        </w:p>
        <w:p w14:paraId="7B6EEED3" w14:textId="6077F384" w:rsidR="00C61883" w:rsidRDefault="0013561C">
          <w:pPr>
            <w:pStyle w:val="TOC2"/>
            <w:rPr>
              <w:rFonts w:asciiTheme="minorHAnsi" w:hAnsiTheme="minorHAnsi" w:cstheme="minorBidi"/>
              <w:sz w:val="22"/>
              <w:szCs w:val="22"/>
              <w:lang w:val="en-AU" w:eastAsia="en-AU"/>
            </w:rPr>
          </w:pPr>
          <w:hyperlink w:anchor="_Toc33202291" w:history="1">
            <w:r w:rsidR="00C61883" w:rsidRPr="000345FE">
              <w:rPr>
                <w:rStyle w:val="Hyperlink"/>
              </w:rPr>
              <w:t>5.1</w:t>
            </w:r>
            <w:r w:rsidR="00C61883">
              <w:rPr>
                <w:rFonts w:asciiTheme="minorHAnsi" w:hAnsiTheme="minorHAnsi" w:cstheme="minorBidi"/>
                <w:sz w:val="22"/>
                <w:szCs w:val="22"/>
                <w:lang w:val="en-AU" w:eastAsia="en-AU"/>
              </w:rPr>
              <w:tab/>
            </w:r>
            <w:r w:rsidR="00C61883" w:rsidRPr="000345FE">
              <w:rPr>
                <w:rStyle w:val="Hyperlink"/>
              </w:rPr>
              <w:t>Overall audit findings</w:t>
            </w:r>
            <w:r w:rsidR="00C61883">
              <w:rPr>
                <w:webHidden/>
              </w:rPr>
              <w:tab/>
            </w:r>
            <w:r w:rsidR="00C61883">
              <w:rPr>
                <w:webHidden/>
              </w:rPr>
              <w:fldChar w:fldCharType="begin"/>
            </w:r>
            <w:r w:rsidR="00C61883">
              <w:rPr>
                <w:webHidden/>
              </w:rPr>
              <w:instrText xml:space="preserve"> PAGEREF _Toc33202291 \h </w:instrText>
            </w:r>
            <w:r w:rsidR="00C61883">
              <w:rPr>
                <w:webHidden/>
              </w:rPr>
            </w:r>
            <w:r w:rsidR="00C61883">
              <w:rPr>
                <w:webHidden/>
              </w:rPr>
              <w:fldChar w:fldCharType="separate"/>
            </w:r>
            <w:r w:rsidR="007E0985">
              <w:rPr>
                <w:webHidden/>
              </w:rPr>
              <w:t>35</w:t>
            </w:r>
            <w:r w:rsidR="00C61883">
              <w:rPr>
                <w:webHidden/>
              </w:rPr>
              <w:fldChar w:fldCharType="end"/>
            </w:r>
          </w:hyperlink>
        </w:p>
        <w:p w14:paraId="69CD098A" w14:textId="67AE8359" w:rsidR="00C61883" w:rsidRDefault="0013561C">
          <w:pPr>
            <w:pStyle w:val="TOC3"/>
            <w:rPr>
              <w:rFonts w:asciiTheme="minorHAnsi" w:hAnsiTheme="minorHAnsi" w:cstheme="minorBidi"/>
              <w:sz w:val="22"/>
              <w:szCs w:val="22"/>
              <w:lang w:val="en-AU" w:eastAsia="en-AU"/>
            </w:rPr>
          </w:pPr>
          <w:hyperlink w:anchor="_Toc33202292" w:history="1">
            <w:r w:rsidR="00C61883" w:rsidRPr="000345FE">
              <w:rPr>
                <w:rStyle w:val="Hyperlink"/>
              </w:rPr>
              <w:t>5.1.1</w:t>
            </w:r>
            <w:r w:rsidR="00C61883">
              <w:rPr>
                <w:rFonts w:asciiTheme="minorHAnsi" w:hAnsiTheme="minorHAnsi" w:cstheme="minorBidi"/>
                <w:sz w:val="22"/>
                <w:szCs w:val="22"/>
                <w:lang w:val="en-AU" w:eastAsia="en-AU"/>
              </w:rPr>
              <w:tab/>
            </w:r>
            <w:r w:rsidR="00C61883" w:rsidRPr="000345FE">
              <w:rPr>
                <w:rStyle w:val="Hyperlink"/>
              </w:rPr>
              <w:t>Harvest coupes</w:t>
            </w:r>
            <w:r w:rsidR="00C61883">
              <w:rPr>
                <w:webHidden/>
              </w:rPr>
              <w:tab/>
            </w:r>
            <w:r w:rsidR="00C61883">
              <w:rPr>
                <w:webHidden/>
              </w:rPr>
              <w:fldChar w:fldCharType="begin"/>
            </w:r>
            <w:r w:rsidR="00C61883">
              <w:rPr>
                <w:webHidden/>
              </w:rPr>
              <w:instrText xml:space="preserve"> PAGEREF _Toc33202292 \h </w:instrText>
            </w:r>
            <w:r w:rsidR="00C61883">
              <w:rPr>
                <w:webHidden/>
              </w:rPr>
            </w:r>
            <w:r w:rsidR="00C61883">
              <w:rPr>
                <w:webHidden/>
              </w:rPr>
              <w:fldChar w:fldCharType="separate"/>
            </w:r>
            <w:r w:rsidR="007E0985">
              <w:rPr>
                <w:webHidden/>
              </w:rPr>
              <w:t>35</w:t>
            </w:r>
            <w:r w:rsidR="00C61883">
              <w:rPr>
                <w:webHidden/>
              </w:rPr>
              <w:fldChar w:fldCharType="end"/>
            </w:r>
          </w:hyperlink>
        </w:p>
        <w:p w14:paraId="79F3DAC1" w14:textId="5405228D" w:rsidR="00C61883" w:rsidRDefault="0013561C">
          <w:pPr>
            <w:pStyle w:val="TOC3"/>
            <w:rPr>
              <w:rFonts w:asciiTheme="minorHAnsi" w:hAnsiTheme="minorHAnsi" w:cstheme="minorBidi"/>
              <w:sz w:val="22"/>
              <w:szCs w:val="22"/>
              <w:lang w:val="en-AU" w:eastAsia="en-AU"/>
            </w:rPr>
          </w:pPr>
          <w:hyperlink w:anchor="_Toc33202293" w:history="1">
            <w:r w:rsidR="00C61883" w:rsidRPr="000345FE">
              <w:rPr>
                <w:rStyle w:val="Hyperlink"/>
              </w:rPr>
              <w:t>5.1.2</w:t>
            </w:r>
            <w:r w:rsidR="00C61883">
              <w:rPr>
                <w:rFonts w:asciiTheme="minorHAnsi" w:hAnsiTheme="minorHAnsi" w:cstheme="minorBidi"/>
                <w:sz w:val="22"/>
                <w:szCs w:val="22"/>
                <w:lang w:val="en-AU" w:eastAsia="en-AU"/>
              </w:rPr>
              <w:tab/>
            </w:r>
            <w:r w:rsidR="00C61883" w:rsidRPr="000345FE">
              <w:rPr>
                <w:rStyle w:val="Hyperlink"/>
              </w:rPr>
              <w:t>Regeneration coupes</w:t>
            </w:r>
            <w:r w:rsidR="00C61883">
              <w:rPr>
                <w:webHidden/>
              </w:rPr>
              <w:tab/>
            </w:r>
            <w:r w:rsidR="00C61883">
              <w:rPr>
                <w:webHidden/>
              </w:rPr>
              <w:fldChar w:fldCharType="begin"/>
            </w:r>
            <w:r w:rsidR="00C61883">
              <w:rPr>
                <w:webHidden/>
              </w:rPr>
              <w:instrText xml:space="preserve"> PAGEREF _Toc33202293 \h </w:instrText>
            </w:r>
            <w:r w:rsidR="00C61883">
              <w:rPr>
                <w:webHidden/>
              </w:rPr>
            </w:r>
            <w:r w:rsidR="00C61883">
              <w:rPr>
                <w:webHidden/>
              </w:rPr>
              <w:fldChar w:fldCharType="separate"/>
            </w:r>
            <w:r w:rsidR="007E0985">
              <w:rPr>
                <w:webHidden/>
              </w:rPr>
              <w:t>38</w:t>
            </w:r>
            <w:r w:rsidR="00C61883">
              <w:rPr>
                <w:webHidden/>
              </w:rPr>
              <w:fldChar w:fldCharType="end"/>
            </w:r>
          </w:hyperlink>
        </w:p>
        <w:p w14:paraId="1B1C2656" w14:textId="21805BD9" w:rsidR="00C61883" w:rsidRDefault="0013561C">
          <w:pPr>
            <w:pStyle w:val="TOC2"/>
            <w:rPr>
              <w:rFonts w:asciiTheme="minorHAnsi" w:hAnsiTheme="minorHAnsi" w:cstheme="minorBidi"/>
              <w:sz w:val="22"/>
              <w:szCs w:val="22"/>
              <w:lang w:val="en-AU" w:eastAsia="en-AU"/>
            </w:rPr>
          </w:pPr>
          <w:hyperlink w:anchor="_Toc33202294" w:history="1">
            <w:r w:rsidR="00C61883" w:rsidRPr="000345FE">
              <w:rPr>
                <w:rStyle w:val="Hyperlink"/>
              </w:rPr>
              <w:t>5.2</w:t>
            </w:r>
            <w:r w:rsidR="00C61883">
              <w:rPr>
                <w:rFonts w:asciiTheme="minorHAnsi" w:hAnsiTheme="minorHAnsi" w:cstheme="minorBidi"/>
                <w:sz w:val="22"/>
                <w:szCs w:val="22"/>
                <w:lang w:val="en-AU" w:eastAsia="en-AU"/>
              </w:rPr>
              <w:tab/>
            </w:r>
            <w:r w:rsidR="00C61883" w:rsidRPr="000345FE">
              <w:rPr>
                <w:rStyle w:val="Hyperlink"/>
              </w:rPr>
              <w:t>Comparison with previous audits</w:t>
            </w:r>
            <w:r w:rsidR="00C61883">
              <w:rPr>
                <w:webHidden/>
              </w:rPr>
              <w:tab/>
            </w:r>
            <w:r w:rsidR="00C61883">
              <w:rPr>
                <w:webHidden/>
              </w:rPr>
              <w:fldChar w:fldCharType="begin"/>
            </w:r>
            <w:r w:rsidR="00C61883">
              <w:rPr>
                <w:webHidden/>
              </w:rPr>
              <w:instrText xml:space="preserve"> PAGEREF _Toc33202294 \h </w:instrText>
            </w:r>
            <w:r w:rsidR="00C61883">
              <w:rPr>
                <w:webHidden/>
              </w:rPr>
            </w:r>
            <w:r w:rsidR="00C61883">
              <w:rPr>
                <w:webHidden/>
              </w:rPr>
              <w:fldChar w:fldCharType="separate"/>
            </w:r>
            <w:r w:rsidR="007E0985">
              <w:rPr>
                <w:webHidden/>
              </w:rPr>
              <w:t>39</w:t>
            </w:r>
            <w:r w:rsidR="00C61883">
              <w:rPr>
                <w:webHidden/>
              </w:rPr>
              <w:fldChar w:fldCharType="end"/>
            </w:r>
          </w:hyperlink>
        </w:p>
        <w:p w14:paraId="21F76D69" w14:textId="2B4A3FA4" w:rsidR="00C61883" w:rsidRDefault="0013561C">
          <w:pPr>
            <w:pStyle w:val="TOC2"/>
            <w:rPr>
              <w:rFonts w:asciiTheme="minorHAnsi" w:hAnsiTheme="minorHAnsi" w:cstheme="minorBidi"/>
              <w:sz w:val="22"/>
              <w:szCs w:val="22"/>
              <w:lang w:val="en-AU" w:eastAsia="en-AU"/>
            </w:rPr>
          </w:pPr>
          <w:hyperlink w:anchor="_Toc33202295" w:history="1">
            <w:r w:rsidR="00C61883" w:rsidRPr="000345FE">
              <w:rPr>
                <w:rStyle w:val="Hyperlink"/>
              </w:rPr>
              <w:t>5.3</w:t>
            </w:r>
            <w:r w:rsidR="00C61883">
              <w:rPr>
                <w:rFonts w:asciiTheme="minorHAnsi" w:hAnsiTheme="minorHAnsi" w:cstheme="minorBidi"/>
                <w:sz w:val="22"/>
                <w:szCs w:val="22"/>
                <w:lang w:val="en-AU" w:eastAsia="en-AU"/>
              </w:rPr>
              <w:tab/>
            </w:r>
            <w:r w:rsidR="00C61883" w:rsidRPr="000345FE">
              <w:rPr>
                <w:rStyle w:val="Hyperlink"/>
              </w:rPr>
              <w:t>Potential improvements to coupe planning, timber harvesting and coupe regeneration practices</w:t>
            </w:r>
            <w:r w:rsidR="00C61883">
              <w:rPr>
                <w:webHidden/>
              </w:rPr>
              <w:tab/>
            </w:r>
            <w:r w:rsidR="00C61883">
              <w:rPr>
                <w:webHidden/>
              </w:rPr>
              <w:fldChar w:fldCharType="begin"/>
            </w:r>
            <w:r w:rsidR="00C61883">
              <w:rPr>
                <w:webHidden/>
              </w:rPr>
              <w:instrText xml:space="preserve"> PAGEREF _Toc33202295 \h </w:instrText>
            </w:r>
            <w:r w:rsidR="00C61883">
              <w:rPr>
                <w:webHidden/>
              </w:rPr>
            </w:r>
            <w:r w:rsidR="00C61883">
              <w:rPr>
                <w:webHidden/>
              </w:rPr>
              <w:fldChar w:fldCharType="separate"/>
            </w:r>
            <w:r w:rsidR="007E0985">
              <w:rPr>
                <w:webHidden/>
              </w:rPr>
              <w:t>40</w:t>
            </w:r>
            <w:r w:rsidR="00C61883">
              <w:rPr>
                <w:webHidden/>
              </w:rPr>
              <w:fldChar w:fldCharType="end"/>
            </w:r>
          </w:hyperlink>
        </w:p>
        <w:p w14:paraId="2C2D2984" w14:textId="54CEA940" w:rsidR="00C61883" w:rsidRDefault="0013561C">
          <w:pPr>
            <w:pStyle w:val="TOC3"/>
            <w:rPr>
              <w:rFonts w:asciiTheme="minorHAnsi" w:hAnsiTheme="minorHAnsi" w:cstheme="minorBidi"/>
              <w:sz w:val="22"/>
              <w:szCs w:val="22"/>
              <w:lang w:val="en-AU" w:eastAsia="en-AU"/>
            </w:rPr>
          </w:pPr>
          <w:hyperlink w:anchor="_Toc33202296" w:history="1">
            <w:r w:rsidR="00C61883" w:rsidRPr="000345FE">
              <w:rPr>
                <w:rStyle w:val="Hyperlink"/>
              </w:rPr>
              <w:t>5.3.1</w:t>
            </w:r>
            <w:r w:rsidR="00C61883">
              <w:rPr>
                <w:rFonts w:asciiTheme="minorHAnsi" w:hAnsiTheme="minorHAnsi" w:cstheme="minorBidi"/>
                <w:sz w:val="22"/>
                <w:szCs w:val="22"/>
                <w:lang w:val="en-AU" w:eastAsia="en-AU"/>
              </w:rPr>
              <w:tab/>
            </w:r>
            <w:r w:rsidR="00C61883" w:rsidRPr="000345FE">
              <w:rPr>
                <w:rStyle w:val="Hyperlink"/>
              </w:rPr>
              <w:t>Coupe planning</w:t>
            </w:r>
            <w:r w:rsidR="00C61883">
              <w:rPr>
                <w:webHidden/>
              </w:rPr>
              <w:tab/>
            </w:r>
            <w:r w:rsidR="00C61883">
              <w:rPr>
                <w:webHidden/>
              </w:rPr>
              <w:fldChar w:fldCharType="begin"/>
            </w:r>
            <w:r w:rsidR="00C61883">
              <w:rPr>
                <w:webHidden/>
              </w:rPr>
              <w:instrText xml:space="preserve"> PAGEREF _Toc33202296 \h </w:instrText>
            </w:r>
            <w:r w:rsidR="00C61883">
              <w:rPr>
                <w:webHidden/>
              </w:rPr>
            </w:r>
            <w:r w:rsidR="00C61883">
              <w:rPr>
                <w:webHidden/>
              </w:rPr>
              <w:fldChar w:fldCharType="separate"/>
            </w:r>
            <w:r w:rsidR="007E0985">
              <w:rPr>
                <w:webHidden/>
              </w:rPr>
              <w:t>40</w:t>
            </w:r>
            <w:r w:rsidR="00C61883">
              <w:rPr>
                <w:webHidden/>
              </w:rPr>
              <w:fldChar w:fldCharType="end"/>
            </w:r>
          </w:hyperlink>
        </w:p>
        <w:p w14:paraId="5B9E74A8" w14:textId="068687B9" w:rsidR="00C61883" w:rsidRDefault="0013561C">
          <w:pPr>
            <w:pStyle w:val="TOC3"/>
            <w:rPr>
              <w:rFonts w:asciiTheme="minorHAnsi" w:hAnsiTheme="minorHAnsi" w:cstheme="minorBidi"/>
              <w:sz w:val="22"/>
              <w:szCs w:val="22"/>
              <w:lang w:val="en-AU" w:eastAsia="en-AU"/>
            </w:rPr>
          </w:pPr>
          <w:hyperlink w:anchor="_Toc33202297" w:history="1">
            <w:r w:rsidR="00C61883" w:rsidRPr="000345FE">
              <w:rPr>
                <w:rStyle w:val="Hyperlink"/>
              </w:rPr>
              <w:t>5.3.2</w:t>
            </w:r>
            <w:r w:rsidR="00C61883">
              <w:rPr>
                <w:rFonts w:asciiTheme="minorHAnsi" w:hAnsiTheme="minorHAnsi" w:cstheme="minorBidi"/>
                <w:sz w:val="22"/>
                <w:szCs w:val="22"/>
                <w:lang w:val="en-AU" w:eastAsia="en-AU"/>
              </w:rPr>
              <w:tab/>
            </w:r>
            <w:r w:rsidR="00C61883" w:rsidRPr="000345FE">
              <w:rPr>
                <w:rStyle w:val="Hyperlink"/>
              </w:rPr>
              <w:t>Design, construction and maintenance of in-coupe roads and waterway crossings</w:t>
            </w:r>
            <w:r w:rsidR="00C61883">
              <w:rPr>
                <w:webHidden/>
              </w:rPr>
              <w:tab/>
            </w:r>
            <w:r w:rsidR="00C61883">
              <w:rPr>
                <w:webHidden/>
              </w:rPr>
              <w:fldChar w:fldCharType="begin"/>
            </w:r>
            <w:r w:rsidR="00C61883">
              <w:rPr>
                <w:webHidden/>
              </w:rPr>
              <w:instrText xml:space="preserve"> PAGEREF _Toc33202297 \h </w:instrText>
            </w:r>
            <w:r w:rsidR="00C61883">
              <w:rPr>
                <w:webHidden/>
              </w:rPr>
            </w:r>
            <w:r w:rsidR="00C61883">
              <w:rPr>
                <w:webHidden/>
              </w:rPr>
              <w:fldChar w:fldCharType="separate"/>
            </w:r>
            <w:r w:rsidR="007E0985">
              <w:rPr>
                <w:webHidden/>
              </w:rPr>
              <w:t>41</w:t>
            </w:r>
            <w:r w:rsidR="00C61883">
              <w:rPr>
                <w:webHidden/>
              </w:rPr>
              <w:fldChar w:fldCharType="end"/>
            </w:r>
          </w:hyperlink>
        </w:p>
        <w:p w14:paraId="68EE4AB6" w14:textId="21859921" w:rsidR="00C61883" w:rsidRDefault="0013561C">
          <w:pPr>
            <w:pStyle w:val="TOC3"/>
            <w:rPr>
              <w:rFonts w:asciiTheme="minorHAnsi" w:hAnsiTheme="minorHAnsi" w:cstheme="minorBidi"/>
              <w:sz w:val="22"/>
              <w:szCs w:val="22"/>
              <w:lang w:val="en-AU" w:eastAsia="en-AU"/>
            </w:rPr>
          </w:pPr>
          <w:hyperlink w:anchor="_Toc33202298" w:history="1">
            <w:r w:rsidR="00C61883" w:rsidRPr="000345FE">
              <w:rPr>
                <w:rStyle w:val="Hyperlink"/>
              </w:rPr>
              <w:t>5.3.3</w:t>
            </w:r>
            <w:r w:rsidR="00C61883">
              <w:rPr>
                <w:rFonts w:asciiTheme="minorHAnsi" w:hAnsiTheme="minorHAnsi" w:cstheme="minorBidi"/>
                <w:sz w:val="22"/>
                <w:szCs w:val="22"/>
                <w:lang w:val="en-AU" w:eastAsia="en-AU"/>
              </w:rPr>
              <w:tab/>
            </w:r>
            <w:r w:rsidR="00C61883" w:rsidRPr="000345FE">
              <w:rPr>
                <w:rStyle w:val="Hyperlink"/>
              </w:rPr>
              <w:t>Coupe infrastructure</w:t>
            </w:r>
            <w:r w:rsidR="00C61883">
              <w:rPr>
                <w:webHidden/>
              </w:rPr>
              <w:tab/>
            </w:r>
            <w:r w:rsidR="00C61883">
              <w:rPr>
                <w:webHidden/>
              </w:rPr>
              <w:fldChar w:fldCharType="begin"/>
            </w:r>
            <w:r w:rsidR="00C61883">
              <w:rPr>
                <w:webHidden/>
              </w:rPr>
              <w:instrText xml:space="preserve"> PAGEREF _Toc33202298 \h </w:instrText>
            </w:r>
            <w:r w:rsidR="00C61883">
              <w:rPr>
                <w:webHidden/>
              </w:rPr>
            </w:r>
            <w:r w:rsidR="00C61883">
              <w:rPr>
                <w:webHidden/>
              </w:rPr>
              <w:fldChar w:fldCharType="separate"/>
            </w:r>
            <w:r w:rsidR="007E0985">
              <w:rPr>
                <w:webHidden/>
              </w:rPr>
              <w:t>42</w:t>
            </w:r>
            <w:r w:rsidR="00C61883">
              <w:rPr>
                <w:webHidden/>
              </w:rPr>
              <w:fldChar w:fldCharType="end"/>
            </w:r>
          </w:hyperlink>
        </w:p>
        <w:p w14:paraId="18B527B9" w14:textId="2DBC8C6A" w:rsidR="00C61883" w:rsidRDefault="0013561C">
          <w:pPr>
            <w:pStyle w:val="TOC3"/>
            <w:rPr>
              <w:rFonts w:asciiTheme="minorHAnsi" w:hAnsiTheme="minorHAnsi" w:cstheme="minorBidi"/>
              <w:sz w:val="22"/>
              <w:szCs w:val="22"/>
              <w:lang w:val="en-AU" w:eastAsia="en-AU"/>
            </w:rPr>
          </w:pPr>
          <w:hyperlink w:anchor="_Toc33202299" w:history="1">
            <w:r w:rsidR="00C61883" w:rsidRPr="000345FE">
              <w:rPr>
                <w:rStyle w:val="Hyperlink"/>
              </w:rPr>
              <w:t>5.3.4</w:t>
            </w:r>
            <w:r w:rsidR="00C61883">
              <w:rPr>
                <w:rFonts w:asciiTheme="minorHAnsi" w:hAnsiTheme="minorHAnsi" w:cstheme="minorBidi"/>
                <w:sz w:val="22"/>
                <w:szCs w:val="22"/>
                <w:lang w:val="en-AU" w:eastAsia="en-AU"/>
              </w:rPr>
              <w:tab/>
            </w:r>
            <w:r w:rsidR="00C61883" w:rsidRPr="000345FE">
              <w:rPr>
                <w:rStyle w:val="Hyperlink"/>
              </w:rPr>
              <w:t>Biosecurity</w:t>
            </w:r>
            <w:r w:rsidR="00C61883">
              <w:rPr>
                <w:webHidden/>
              </w:rPr>
              <w:tab/>
            </w:r>
            <w:r w:rsidR="00C61883">
              <w:rPr>
                <w:webHidden/>
              </w:rPr>
              <w:fldChar w:fldCharType="begin"/>
            </w:r>
            <w:r w:rsidR="00C61883">
              <w:rPr>
                <w:webHidden/>
              </w:rPr>
              <w:instrText xml:space="preserve"> PAGEREF _Toc33202299 \h </w:instrText>
            </w:r>
            <w:r w:rsidR="00C61883">
              <w:rPr>
                <w:webHidden/>
              </w:rPr>
            </w:r>
            <w:r w:rsidR="00C61883">
              <w:rPr>
                <w:webHidden/>
              </w:rPr>
              <w:fldChar w:fldCharType="separate"/>
            </w:r>
            <w:r w:rsidR="007E0985">
              <w:rPr>
                <w:webHidden/>
              </w:rPr>
              <w:t>44</w:t>
            </w:r>
            <w:r w:rsidR="00C61883">
              <w:rPr>
                <w:webHidden/>
              </w:rPr>
              <w:fldChar w:fldCharType="end"/>
            </w:r>
          </w:hyperlink>
        </w:p>
        <w:p w14:paraId="78C1A47E" w14:textId="490C1DAD" w:rsidR="00C61883" w:rsidRDefault="0013561C">
          <w:pPr>
            <w:pStyle w:val="TOC3"/>
            <w:rPr>
              <w:rFonts w:asciiTheme="minorHAnsi" w:hAnsiTheme="minorHAnsi" w:cstheme="minorBidi"/>
              <w:sz w:val="22"/>
              <w:szCs w:val="22"/>
              <w:lang w:val="en-AU" w:eastAsia="en-AU"/>
            </w:rPr>
          </w:pPr>
          <w:hyperlink w:anchor="_Toc33202300" w:history="1">
            <w:r w:rsidR="00C61883" w:rsidRPr="000345FE">
              <w:rPr>
                <w:rStyle w:val="Hyperlink"/>
              </w:rPr>
              <w:t>5.3.5</w:t>
            </w:r>
            <w:r w:rsidR="00C61883">
              <w:rPr>
                <w:rFonts w:asciiTheme="minorHAnsi" w:hAnsiTheme="minorHAnsi" w:cstheme="minorBidi"/>
                <w:sz w:val="22"/>
                <w:szCs w:val="22"/>
                <w:lang w:val="en-AU" w:eastAsia="en-AU"/>
              </w:rPr>
              <w:tab/>
            </w:r>
            <w:r w:rsidR="00C61883" w:rsidRPr="000345FE">
              <w:rPr>
                <w:rStyle w:val="Hyperlink"/>
              </w:rPr>
              <w:t>Coupe infrastructure rehabilitation</w:t>
            </w:r>
            <w:r w:rsidR="00C61883">
              <w:rPr>
                <w:webHidden/>
              </w:rPr>
              <w:tab/>
            </w:r>
            <w:r w:rsidR="00C61883">
              <w:rPr>
                <w:webHidden/>
              </w:rPr>
              <w:fldChar w:fldCharType="begin"/>
            </w:r>
            <w:r w:rsidR="00C61883">
              <w:rPr>
                <w:webHidden/>
              </w:rPr>
              <w:instrText xml:space="preserve"> PAGEREF _Toc33202300 \h </w:instrText>
            </w:r>
            <w:r w:rsidR="00C61883">
              <w:rPr>
                <w:webHidden/>
              </w:rPr>
            </w:r>
            <w:r w:rsidR="00C61883">
              <w:rPr>
                <w:webHidden/>
              </w:rPr>
              <w:fldChar w:fldCharType="separate"/>
            </w:r>
            <w:r w:rsidR="007E0985">
              <w:rPr>
                <w:webHidden/>
              </w:rPr>
              <w:t>45</w:t>
            </w:r>
            <w:r w:rsidR="00C61883">
              <w:rPr>
                <w:webHidden/>
              </w:rPr>
              <w:fldChar w:fldCharType="end"/>
            </w:r>
          </w:hyperlink>
        </w:p>
        <w:p w14:paraId="37D07022" w14:textId="28DD60FD" w:rsidR="00C61883" w:rsidRDefault="0013561C">
          <w:pPr>
            <w:pStyle w:val="TOC3"/>
            <w:rPr>
              <w:rFonts w:asciiTheme="minorHAnsi" w:hAnsiTheme="minorHAnsi" w:cstheme="minorBidi"/>
              <w:sz w:val="22"/>
              <w:szCs w:val="22"/>
              <w:lang w:val="en-AU" w:eastAsia="en-AU"/>
            </w:rPr>
          </w:pPr>
          <w:hyperlink w:anchor="_Toc33202301" w:history="1">
            <w:r w:rsidR="00C61883" w:rsidRPr="000345FE">
              <w:rPr>
                <w:rStyle w:val="Hyperlink"/>
              </w:rPr>
              <w:t>5.3.6</w:t>
            </w:r>
            <w:r w:rsidR="00C61883">
              <w:rPr>
                <w:rFonts w:asciiTheme="minorHAnsi" w:hAnsiTheme="minorHAnsi" w:cstheme="minorBidi"/>
                <w:sz w:val="22"/>
                <w:szCs w:val="22"/>
                <w:lang w:val="en-AU" w:eastAsia="en-AU"/>
              </w:rPr>
              <w:tab/>
            </w:r>
            <w:r w:rsidR="00C61883" w:rsidRPr="000345FE">
              <w:rPr>
                <w:rStyle w:val="Hyperlink"/>
              </w:rPr>
              <w:t>Monitoring and recording of coupe activities</w:t>
            </w:r>
            <w:r w:rsidR="00C61883">
              <w:rPr>
                <w:webHidden/>
              </w:rPr>
              <w:tab/>
            </w:r>
            <w:r w:rsidR="00C61883">
              <w:rPr>
                <w:webHidden/>
              </w:rPr>
              <w:fldChar w:fldCharType="begin"/>
            </w:r>
            <w:r w:rsidR="00C61883">
              <w:rPr>
                <w:webHidden/>
              </w:rPr>
              <w:instrText xml:space="preserve"> PAGEREF _Toc33202301 \h </w:instrText>
            </w:r>
            <w:r w:rsidR="00C61883">
              <w:rPr>
                <w:webHidden/>
              </w:rPr>
            </w:r>
            <w:r w:rsidR="00C61883">
              <w:rPr>
                <w:webHidden/>
              </w:rPr>
              <w:fldChar w:fldCharType="separate"/>
            </w:r>
            <w:r w:rsidR="007E0985">
              <w:rPr>
                <w:webHidden/>
              </w:rPr>
              <w:t>46</w:t>
            </w:r>
            <w:r w:rsidR="00C61883">
              <w:rPr>
                <w:webHidden/>
              </w:rPr>
              <w:fldChar w:fldCharType="end"/>
            </w:r>
          </w:hyperlink>
        </w:p>
        <w:p w14:paraId="526A93A7" w14:textId="2B25CF75" w:rsidR="00C61883" w:rsidRDefault="0013561C">
          <w:pPr>
            <w:pStyle w:val="TOC2"/>
            <w:rPr>
              <w:rFonts w:asciiTheme="minorHAnsi" w:hAnsiTheme="minorHAnsi" w:cstheme="minorBidi"/>
              <w:sz w:val="22"/>
              <w:szCs w:val="22"/>
              <w:lang w:val="en-AU" w:eastAsia="en-AU"/>
            </w:rPr>
          </w:pPr>
          <w:hyperlink w:anchor="_Toc33202302" w:history="1">
            <w:r w:rsidR="00C61883" w:rsidRPr="000345FE">
              <w:rPr>
                <w:rStyle w:val="Hyperlink"/>
              </w:rPr>
              <w:t>5.4</w:t>
            </w:r>
            <w:r w:rsidR="00C61883">
              <w:rPr>
                <w:rFonts w:asciiTheme="minorHAnsi" w:hAnsiTheme="minorHAnsi" w:cstheme="minorBidi"/>
                <w:sz w:val="22"/>
                <w:szCs w:val="22"/>
                <w:lang w:val="en-AU" w:eastAsia="en-AU"/>
              </w:rPr>
              <w:tab/>
            </w:r>
            <w:r w:rsidR="00C61883" w:rsidRPr="000345FE">
              <w:rPr>
                <w:rStyle w:val="Hyperlink"/>
              </w:rPr>
              <w:t>Potential improvements to the regulatory framework for timber harvesting</w:t>
            </w:r>
            <w:r w:rsidR="00C61883">
              <w:rPr>
                <w:webHidden/>
              </w:rPr>
              <w:tab/>
            </w:r>
            <w:r w:rsidR="00C61883">
              <w:rPr>
                <w:webHidden/>
              </w:rPr>
              <w:fldChar w:fldCharType="begin"/>
            </w:r>
            <w:r w:rsidR="00C61883">
              <w:rPr>
                <w:webHidden/>
              </w:rPr>
              <w:instrText xml:space="preserve"> PAGEREF _Toc33202302 \h </w:instrText>
            </w:r>
            <w:r w:rsidR="00C61883">
              <w:rPr>
                <w:webHidden/>
              </w:rPr>
            </w:r>
            <w:r w:rsidR="00C61883">
              <w:rPr>
                <w:webHidden/>
              </w:rPr>
              <w:fldChar w:fldCharType="separate"/>
            </w:r>
            <w:r w:rsidR="007E0985">
              <w:rPr>
                <w:webHidden/>
              </w:rPr>
              <w:t>47</w:t>
            </w:r>
            <w:r w:rsidR="00C61883">
              <w:rPr>
                <w:webHidden/>
              </w:rPr>
              <w:fldChar w:fldCharType="end"/>
            </w:r>
          </w:hyperlink>
        </w:p>
        <w:p w14:paraId="5DAF5C8F" w14:textId="3251ECBB" w:rsidR="00C61883" w:rsidRDefault="0013561C">
          <w:pPr>
            <w:pStyle w:val="TOC2"/>
            <w:rPr>
              <w:rFonts w:asciiTheme="minorHAnsi" w:hAnsiTheme="minorHAnsi" w:cstheme="minorBidi"/>
              <w:sz w:val="22"/>
              <w:szCs w:val="22"/>
              <w:lang w:val="en-AU" w:eastAsia="en-AU"/>
            </w:rPr>
          </w:pPr>
          <w:hyperlink w:anchor="_Toc33202303" w:history="1">
            <w:r w:rsidR="00C61883" w:rsidRPr="000345FE">
              <w:rPr>
                <w:rStyle w:val="Hyperlink"/>
              </w:rPr>
              <w:t>5.5</w:t>
            </w:r>
            <w:r w:rsidR="00C61883">
              <w:rPr>
                <w:rFonts w:asciiTheme="minorHAnsi" w:hAnsiTheme="minorHAnsi" w:cstheme="minorBidi"/>
                <w:sz w:val="22"/>
                <w:szCs w:val="22"/>
                <w:lang w:val="en-AU" w:eastAsia="en-AU"/>
              </w:rPr>
              <w:tab/>
            </w:r>
            <w:r w:rsidR="00C61883" w:rsidRPr="000345FE">
              <w:rPr>
                <w:rStyle w:val="Hyperlink"/>
              </w:rPr>
              <w:t>Auditee comments</w:t>
            </w:r>
            <w:r w:rsidR="00C61883">
              <w:rPr>
                <w:webHidden/>
              </w:rPr>
              <w:tab/>
            </w:r>
            <w:r w:rsidR="00C61883">
              <w:rPr>
                <w:webHidden/>
              </w:rPr>
              <w:fldChar w:fldCharType="begin"/>
            </w:r>
            <w:r w:rsidR="00C61883">
              <w:rPr>
                <w:webHidden/>
              </w:rPr>
              <w:instrText xml:space="preserve"> PAGEREF _Toc33202303 \h </w:instrText>
            </w:r>
            <w:r w:rsidR="00C61883">
              <w:rPr>
                <w:webHidden/>
              </w:rPr>
            </w:r>
            <w:r w:rsidR="00C61883">
              <w:rPr>
                <w:webHidden/>
              </w:rPr>
              <w:fldChar w:fldCharType="separate"/>
            </w:r>
            <w:r w:rsidR="007E0985">
              <w:rPr>
                <w:webHidden/>
              </w:rPr>
              <w:t>48</w:t>
            </w:r>
            <w:r w:rsidR="00C61883">
              <w:rPr>
                <w:webHidden/>
              </w:rPr>
              <w:fldChar w:fldCharType="end"/>
            </w:r>
          </w:hyperlink>
        </w:p>
        <w:p w14:paraId="2B7ED38F" w14:textId="18087682" w:rsidR="00C61883" w:rsidRDefault="0013561C">
          <w:pPr>
            <w:pStyle w:val="TOC1"/>
            <w:rPr>
              <w:rFonts w:asciiTheme="minorHAnsi" w:hAnsiTheme="minorHAnsi" w:cstheme="minorBidi"/>
              <w:b w:val="0"/>
              <w:sz w:val="22"/>
              <w:szCs w:val="22"/>
              <w:lang w:val="en-AU" w:eastAsia="en-AU"/>
            </w:rPr>
          </w:pPr>
          <w:hyperlink w:anchor="_Toc33202304" w:history="1">
            <w:r w:rsidR="00C61883" w:rsidRPr="000345FE">
              <w:rPr>
                <w:rStyle w:val="Hyperlink"/>
              </w:rPr>
              <w:t>6.</w:t>
            </w:r>
            <w:r w:rsidR="00C61883">
              <w:rPr>
                <w:rFonts w:asciiTheme="minorHAnsi" w:hAnsiTheme="minorHAnsi" w:cstheme="minorBidi"/>
                <w:b w:val="0"/>
                <w:sz w:val="22"/>
                <w:szCs w:val="22"/>
                <w:lang w:val="en-AU" w:eastAsia="en-AU"/>
              </w:rPr>
              <w:tab/>
            </w:r>
            <w:r w:rsidR="00C61883" w:rsidRPr="000345FE">
              <w:rPr>
                <w:rStyle w:val="Hyperlink"/>
              </w:rPr>
              <w:t>Conclusions and recommendations</w:t>
            </w:r>
            <w:r w:rsidR="00C61883">
              <w:rPr>
                <w:webHidden/>
              </w:rPr>
              <w:tab/>
            </w:r>
            <w:r w:rsidR="00C61883">
              <w:rPr>
                <w:webHidden/>
              </w:rPr>
              <w:fldChar w:fldCharType="begin"/>
            </w:r>
            <w:r w:rsidR="00C61883">
              <w:rPr>
                <w:webHidden/>
              </w:rPr>
              <w:instrText xml:space="preserve"> PAGEREF _Toc33202304 \h </w:instrText>
            </w:r>
            <w:r w:rsidR="00C61883">
              <w:rPr>
                <w:webHidden/>
              </w:rPr>
            </w:r>
            <w:r w:rsidR="00C61883">
              <w:rPr>
                <w:webHidden/>
              </w:rPr>
              <w:fldChar w:fldCharType="separate"/>
            </w:r>
            <w:r w:rsidR="007E0985">
              <w:rPr>
                <w:webHidden/>
              </w:rPr>
              <w:t>49</w:t>
            </w:r>
            <w:r w:rsidR="00C61883">
              <w:rPr>
                <w:webHidden/>
              </w:rPr>
              <w:fldChar w:fldCharType="end"/>
            </w:r>
          </w:hyperlink>
        </w:p>
        <w:p w14:paraId="3B86E739" w14:textId="633E74C5" w:rsidR="00C61883" w:rsidRDefault="0013561C">
          <w:pPr>
            <w:pStyle w:val="TOC2"/>
            <w:rPr>
              <w:rFonts w:asciiTheme="minorHAnsi" w:hAnsiTheme="minorHAnsi" w:cstheme="minorBidi"/>
              <w:sz w:val="22"/>
              <w:szCs w:val="22"/>
              <w:lang w:val="en-AU" w:eastAsia="en-AU"/>
            </w:rPr>
          </w:pPr>
          <w:hyperlink w:anchor="_Toc33202305" w:history="1">
            <w:r w:rsidR="00C61883" w:rsidRPr="000345FE">
              <w:rPr>
                <w:rStyle w:val="Hyperlink"/>
              </w:rPr>
              <w:t>6.1</w:t>
            </w:r>
            <w:r w:rsidR="00C61883">
              <w:rPr>
                <w:rFonts w:asciiTheme="minorHAnsi" w:hAnsiTheme="minorHAnsi" w:cstheme="minorBidi"/>
                <w:sz w:val="22"/>
                <w:szCs w:val="22"/>
                <w:lang w:val="en-AU" w:eastAsia="en-AU"/>
              </w:rPr>
              <w:tab/>
            </w:r>
            <w:r w:rsidR="00C61883" w:rsidRPr="000345FE">
              <w:rPr>
                <w:rStyle w:val="Hyperlink"/>
              </w:rPr>
              <w:t>Conclusions</w:t>
            </w:r>
            <w:r w:rsidR="00C61883">
              <w:rPr>
                <w:webHidden/>
              </w:rPr>
              <w:tab/>
            </w:r>
            <w:r w:rsidR="00C61883">
              <w:rPr>
                <w:webHidden/>
              </w:rPr>
              <w:fldChar w:fldCharType="begin"/>
            </w:r>
            <w:r w:rsidR="00C61883">
              <w:rPr>
                <w:webHidden/>
              </w:rPr>
              <w:instrText xml:space="preserve"> PAGEREF _Toc33202305 \h </w:instrText>
            </w:r>
            <w:r w:rsidR="00C61883">
              <w:rPr>
                <w:webHidden/>
              </w:rPr>
            </w:r>
            <w:r w:rsidR="00C61883">
              <w:rPr>
                <w:webHidden/>
              </w:rPr>
              <w:fldChar w:fldCharType="separate"/>
            </w:r>
            <w:r w:rsidR="007E0985">
              <w:rPr>
                <w:webHidden/>
              </w:rPr>
              <w:t>49</w:t>
            </w:r>
            <w:r w:rsidR="00C61883">
              <w:rPr>
                <w:webHidden/>
              </w:rPr>
              <w:fldChar w:fldCharType="end"/>
            </w:r>
          </w:hyperlink>
        </w:p>
        <w:p w14:paraId="41613A1E" w14:textId="596FE59F" w:rsidR="00C61883" w:rsidRDefault="0013561C">
          <w:pPr>
            <w:pStyle w:val="TOC3"/>
            <w:rPr>
              <w:rFonts w:asciiTheme="minorHAnsi" w:hAnsiTheme="minorHAnsi" w:cstheme="minorBidi"/>
              <w:sz w:val="22"/>
              <w:szCs w:val="22"/>
              <w:lang w:val="en-AU" w:eastAsia="en-AU"/>
            </w:rPr>
          </w:pPr>
          <w:hyperlink w:anchor="_Toc33202306" w:history="1">
            <w:r w:rsidR="00C61883" w:rsidRPr="000345FE">
              <w:rPr>
                <w:rStyle w:val="Hyperlink"/>
              </w:rPr>
              <w:t>6.1.1</w:t>
            </w:r>
            <w:r w:rsidR="00C61883">
              <w:rPr>
                <w:rFonts w:asciiTheme="minorHAnsi" w:hAnsiTheme="minorHAnsi" w:cstheme="minorBidi"/>
                <w:sz w:val="22"/>
                <w:szCs w:val="22"/>
                <w:lang w:val="en-AU" w:eastAsia="en-AU"/>
              </w:rPr>
              <w:tab/>
            </w:r>
            <w:r w:rsidR="00C61883" w:rsidRPr="000345FE">
              <w:rPr>
                <w:rStyle w:val="Hyperlink"/>
              </w:rPr>
              <w:t>Overall compliance findings for harvest coupes</w:t>
            </w:r>
            <w:r w:rsidR="00C61883">
              <w:rPr>
                <w:webHidden/>
              </w:rPr>
              <w:tab/>
            </w:r>
            <w:r w:rsidR="00C61883">
              <w:rPr>
                <w:webHidden/>
              </w:rPr>
              <w:fldChar w:fldCharType="begin"/>
            </w:r>
            <w:r w:rsidR="00C61883">
              <w:rPr>
                <w:webHidden/>
              </w:rPr>
              <w:instrText xml:space="preserve"> PAGEREF _Toc33202306 \h </w:instrText>
            </w:r>
            <w:r w:rsidR="00C61883">
              <w:rPr>
                <w:webHidden/>
              </w:rPr>
            </w:r>
            <w:r w:rsidR="00C61883">
              <w:rPr>
                <w:webHidden/>
              </w:rPr>
              <w:fldChar w:fldCharType="separate"/>
            </w:r>
            <w:r w:rsidR="007E0985">
              <w:rPr>
                <w:webHidden/>
              </w:rPr>
              <w:t>49</w:t>
            </w:r>
            <w:r w:rsidR="00C61883">
              <w:rPr>
                <w:webHidden/>
              </w:rPr>
              <w:fldChar w:fldCharType="end"/>
            </w:r>
          </w:hyperlink>
        </w:p>
        <w:p w14:paraId="49FF6485" w14:textId="1B2CF34E" w:rsidR="00C61883" w:rsidRDefault="0013561C">
          <w:pPr>
            <w:pStyle w:val="TOC3"/>
            <w:rPr>
              <w:rFonts w:asciiTheme="minorHAnsi" w:hAnsiTheme="minorHAnsi" w:cstheme="minorBidi"/>
              <w:sz w:val="22"/>
              <w:szCs w:val="22"/>
              <w:lang w:val="en-AU" w:eastAsia="en-AU"/>
            </w:rPr>
          </w:pPr>
          <w:hyperlink w:anchor="_Toc33202307" w:history="1">
            <w:r w:rsidR="00C61883" w:rsidRPr="000345FE">
              <w:rPr>
                <w:rStyle w:val="Hyperlink"/>
              </w:rPr>
              <w:t>6.1.2</w:t>
            </w:r>
            <w:r w:rsidR="00C61883">
              <w:rPr>
                <w:rFonts w:asciiTheme="minorHAnsi" w:hAnsiTheme="minorHAnsi" w:cstheme="minorBidi"/>
                <w:sz w:val="22"/>
                <w:szCs w:val="22"/>
                <w:lang w:val="en-AU" w:eastAsia="en-AU"/>
              </w:rPr>
              <w:tab/>
            </w:r>
            <w:r w:rsidR="00C61883" w:rsidRPr="000345FE">
              <w:rPr>
                <w:rStyle w:val="Hyperlink"/>
              </w:rPr>
              <w:t>Overall compliance findings for regeneration coupes</w:t>
            </w:r>
            <w:r w:rsidR="00C61883">
              <w:rPr>
                <w:webHidden/>
              </w:rPr>
              <w:tab/>
            </w:r>
            <w:r w:rsidR="00C61883">
              <w:rPr>
                <w:webHidden/>
              </w:rPr>
              <w:fldChar w:fldCharType="begin"/>
            </w:r>
            <w:r w:rsidR="00C61883">
              <w:rPr>
                <w:webHidden/>
              </w:rPr>
              <w:instrText xml:space="preserve"> PAGEREF _Toc33202307 \h </w:instrText>
            </w:r>
            <w:r w:rsidR="00C61883">
              <w:rPr>
                <w:webHidden/>
              </w:rPr>
            </w:r>
            <w:r w:rsidR="00C61883">
              <w:rPr>
                <w:webHidden/>
              </w:rPr>
              <w:fldChar w:fldCharType="separate"/>
            </w:r>
            <w:r w:rsidR="007E0985">
              <w:rPr>
                <w:webHidden/>
              </w:rPr>
              <w:t>51</w:t>
            </w:r>
            <w:r w:rsidR="00C61883">
              <w:rPr>
                <w:webHidden/>
              </w:rPr>
              <w:fldChar w:fldCharType="end"/>
            </w:r>
          </w:hyperlink>
        </w:p>
        <w:p w14:paraId="65C01110" w14:textId="68FACABA" w:rsidR="00C61883" w:rsidRDefault="0013561C">
          <w:pPr>
            <w:pStyle w:val="TOC3"/>
            <w:rPr>
              <w:rFonts w:asciiTheme="minorHAnsi" w:hAnsiTheme="minorHAnsi" w:cstheme="minorBidi"/>
              <w:sz w:val="22"/>
              <w:szCs w:val="22"/>
              <w:lang w:val="en-AU" w:eastAsia="en-AU"/>
            </w:rPr>
          </w:pPr>
          <w:hyperlink w:anchor="_Toc33202308" w:history="1">
            <w:r w:rsidR="00C61883" w:rsidRPr="000345FE">
              <w:rPr>
                <w:rStyle w:val="Hyperlink"/>
              </w:rPr>
              <w:t>6.1.3</w:t>
            </w:r>
            <w:r w:rsidR="00C61883">
              <w:rPr>
                <w:rFonts w:asciiTheme="minorHAnsi" w:hAnsiTheme="minorHAnsi" w:cstheme="minorBidi"/>
                <w:sz w:val="22"/>
                <w:szCs w:val="22"/>
                <w:lang w:val="en-AU" w:eastAsia="en-AU"/>
              </w:rPr>
              <w:tab/>
            </w:r>
            <w:r w:rsidR="00C61883" w:rsidRPr="000345FE">
              <w:rPr>
                <w:rStyle w:val="Hyperlink"/>
              </w:rPr>
              <w:t>Comparison with previous audits</w:t>
            </w:r>
            <w:r w:rsidR="00C61883">
              <w:rPr>
                <w:webHidden/>
              </w:rPr>
              <w:tab/>
            </w:r>
            <w:r w:rsidR="00C61883">
              <w:rPr>
                <w:webHidden/>
              </w:rPr>
              <w:fldChar w:fldCharType="begin"/>
            </w:r>
            <w:r w:rsidR="00C61883">
              <w:rPr>
                <w:webHidden/>
              </w:rPr>
              <w:instrText xml:space="preserve"> PAGEREF _Toc33202308 \h </w:instrText>
            </w:r>
            <w:r w:rsidR="00C61883">
              <w:rPr>
                <w:webHidden/>
              </w:rPr>
            </w:r>
            <w:r w:rsidR="00C61883">
              <w:rPr>
                <w:webHidden/>
              </w:rPr>
              <w:fldChar w:fldCharType="separate"/>
            </w:r>
            <w:r w:rsidR="007E0985">
              <w:rPr>
                <w:webHidden/>
              </w:rPr>
              <w:t>51</w:t>
            </w:r>
            <w:r w:rsidR="00C61883">
              <w:rPr>
                <w:webHidden/>
              </w:rPr>
              <w:fldChar w:fldCharType="end"/>
            </w:r>
          </w:hyperlink>
        </w:p>
        <w:p w14:paraId="145B8F59" w14:textId="509043FC" w:rsidR="00C61883" w:rsidRDefault="0013561C">
          <w:pPr>
            <w:pStyle w:val="TOC2"/>
            <w:rPr>
              <w:rFonts w:asciiTheme="minorHAnsi" w:hAnsiTheme="minorHAnsi" w:cstheme="minorBidi"/>
              <w:sz w:val="22"/>
              <w:szCs w:val="22"/>
              <w:lang w:val="en-AU" w:eastAsia="en-AU"/>
            </w:rPr>
          </w:pPr>
          <w:hyperlink w:anchor="_Toc33202309" w:history="1">
            <w:r w:rsidR="00C61883" w:rsidRPr="000345FE">
              <w:rPr>
                <w:rStyle w:val="Hyperlink"/>
              </w:rPr>
              <w:t>6.2</w:t>
            </w:r>
            <w:r w:rsidR="00C61883">
              <w:rPr>
                <w:rFonts w:asciiTheme="minorHAnsi" w:hAnsiTheme="minorHAnsi" w:cstheme="minorBidi"/>
                <w:sz w:val="22"/>
                <w:szCs w:val="22"/>
                <w:lang w:val="en-AU" w:eastAsia="en-AU"/>
              </w:rPr>
              <w:tab/>
            </w:r>
            <w:r w:rsidR="00C61883" w:rsidRPr="000345FE">
              <w:rPr>
                <w:rStyle w:val="Hyperlink"/>
              </w:rPr>
              <w:t>Recommendations</w:t>
            </w:r>
            <w:r w:rsidR="00C61883">
              <w:rPr>
                <w:webHidden/>
              </w:rPr>
              <w:tab/>
            </w:r>
            <w:r w:rsidR="00C61883">
              <w:rPr>
                <w:webHidden/>
              </w:rPr>
              <w:fldChar w:fldCharType="begin"/>
            </w:r>
            <w:r w:rsidR="00C61883">
              <w:rPr>
                <w:webHidden/>
              </w:rPr>
              <w:instrText xml:space="preserve"> PAGEREF _Toc33202309 \h </w:instrText>
            </w:r>
            <w:r w:rsidR="00C61883">
              <w:rPr>
                <w:webHidden/>
              </w:rPr>
            </w:r>
            <w:r w:rsidR="00C61883">
              <w:rPr>
                <w:webHidden/>
              </w:rPr>
              <w:fldChar w:fldCharType="separate"/>
            </w:r>
            <w:r w:rsidR="007E0985">
              <w:rPr>
                <w:webHidden/>
              </w:rPr>
              <w:t>51</w:t>
            </w:r>
            <w:r w:rsidR="00C61883">
              <w:rPr>
                <w:webHidden/>
              </w:rPr>
              <w:fldChar w:fldCharType="end"/>
            </w:r>
          </w:hyperlink>
        </w:p>
        <w:p w14:paraId="1796F877" w14:textId="41A4B353" w:rsidR="00C61883" w:rsidRDefault="0013561C">
          <w:pPr>
            <w:pStyle w:val="TOC1"/>
            <w:rPr>
              <w:rFonts w:asciiTheme="minorHAnsi" w:hAnsiTheme="minorHAnsi" w:cstheme="minorBidi"/>
              <w:b w:val="0"/>
              <w:sz w:val="22"/>
              <w:szCs w:val="22"/>
              <w:lang w:val="en-AU" w:eastAsia="en-AU"/>
            </w:rPr>
          </w:pPr>
          <w:hyperlink w:anchor="_Toc33202310" w:history="1">
            <w:r w:rsidR="00C61883" w:rsidRPr="000345FE">
              <w:rPr>
                <w:rStyle w:val="Hyperlink"/>
              </w:rPr>
              <w:t>7.</w:t>
            </w:r>
            <w:r w:rsidR="00C61883">
              <w:rPr>
                <w:rFonts w:asciiTheme="minorHAnsi" w:hAnsiTheme="minorHAnsi" w:cstheme="minorBidi"/>
                <w:b w:val="0"/>
                <w:sz w:val="22"/>
                <w:szCs w:val="22"/>
                <w:lang w:val="en-AU" w:eastAsia="en-AU"/>
              </w:rPr>
              <w:tab/>
            </w:r>
            <w:r w:rsidR="00C61883" w:rsidRPr="000345FE">
              <w:rPr>
                <w:rStyle w:val="Hyperlink"/>
              </w:rPr>
              <w:t>References</w:t>
            </w:r>
            <w:r w:rsidR="00C61883">
              <w:rPr>
                <w:webHidden/>
              </w:rPr>
              <w:tab/>
            </w:r>
            <w:r w:rsidR="00C61883">
              <w:rPr>
                <w:webHidden/>
              </w:rPr>
              <w:fldChar w:fldCharType="begin"/>
            </w:r>
            <w:r w:rsidR="00C61883">
              <w:rPr>
                <w:webHidden/>
              </w:rPr>
              <w:instrText xml:space="preserve"> PAGEREF _Toc33202310 \h </w:instrText>
            </w:r>
            <w:r w:rsidR="00C61883">
              <w:rPr>
                <w:webHidden/>
              </w:rPr>
            </w:r>
            <w:r w:rsidR="00C61883">
              <w:rPr>
                <w:webHidden/>
              </w:rPr>
              <w:fldChar w:fldCharType="separate"/>
            </w:r>
            <w:r w:rsidR="007E0985">
              <w:rPr>
                <w:webHidden/>
              </w:rPr>
              <w:t>54</w:t>
            </w:r>
            <w:r w:rsidR="00C61883">
              <w:rPr>
                <w:webHidden/>
              </w:rPr>
              <w:fldChar w:fldCharType="end"/>
            </w:r>
          </w:hyperlink>
        </w:p>
        <w:p w14:paraId="2D2F2678" w14:textId="3E039A50" w:rsidR="00032E15" w:rsidRPr="00032E15" w:rsidRDefault="00032E15" w:rsidP="00D61A6B">
          <w:pPr>
            <w:pStyle w:val="TOC1"/>
          </w:pPr>
          <w:r w:rsidRPr="00032E15">
            <w:fldChar w:fldCharType="end"/>
          </w:r>
        </w:p>
        <w:p w14:paraId="46D783F0" w14:textId="77777777" w:rsidR="005544E2" w:rsidRDefault="00032E15">
          <w:pPr>
            <w:pStyle w:val="TOC1"/>
            <w:rPr>
              <w:rFonts w:asciiTheme="minorHAnsi" w:hAnsiTheme="minorHAnsi" w:cstheme="minorBidi"/>
              <w:b w:val="0"/>
              <w:sz w:val="22"/>
              <w:szCs w:val="22"/>
              <w:lang w:val="en-AU" w:eastAsia="en-AU"/>
            </w:rPr>
          </w:pPr>
          <w:r w:rsidRPr="00032E15">
            <w:rPr>
              <w:b w:val="0"/>
            </w:rPr>
            <w:fldChar w:fldCharType="begin"/>
          </w:r>
          <w:r w:rsidRPr="00032E15">
            <w:rPr>
              <w:b w:val="0"/>
            </w:rPr>
            <w:instrText xml:space="preserve"> TOC \n \h \z \t "Heading 9,1,Appendix subheading 1,2,Appendix subheading 2,3" </w:instrText>
          </w:r>
          <w:r w:rsidRPr="00032E15">
            <w:rPr>
              <w:b w:val="0"/>
            </w:rPr>
            <w:fldChar w:fldCharType="separate"/>
          </w:r>
          <w:hyperlink w:anchor="_Toc33202321" w:history="1">
            <w:r w:rsidR="005544E2" w:rsidRPr="00FC7DDF">
              <w:rPr>
                <w:rStyle w:val="Hyperlink"/>
              </w:rPr>
              <w:t>Appendix A. Audit compliance elements</w:t>
            </w:r>
          </w:hyperlink>
        </w:p>
        <w:p w14:paraId="54ED73F0" w14:textId="77777777" w:rsidR="005544E2" w:rsidRDefault="0013561C">
          <w:pPr>
            <w:pStyle w:val="TOC1"/>
            <w:rPr>
              <w:rFonts w:asciiTheme="minorHAnsi" w:hAnsiTheme="minorHAnsi" w:cstheme="minorBidi"/>
              <w:b w:val="0"/>
              <w:sz w:val="22"/>
              <w:szCs w:val="22"/>
              <w:lang w:val="en-AU" w:eastAsia="en-AU"/>
            </w:rPr>
          </w:pPr>
          <w:hyperlink w:anchor="_Toc33202322" w:history="1">
            <w:r w:rsidR="005544E2" w:rsidRPr="00FC7DDF">
              <w:rPr>
                <w:rStyle w:val="Hyperlink"/>
              </w:rPr>
              <w:t>Appendix B. Environmental impact assessment tool</w:t>
            </w:r>
          </w:hyperlink>
        </w:p>
        <w:p w14:paraId="3485B1A7" w14:textId="77777777" w:rsidR="005544E2" w:rsidRDefault="0013561C">
          <w:pPr>
            <w:pStyle w:val="TOC2"/>
            <w:rPr>
              <w:rFonts w:asciiTheme="minorHAnsi" w:hAnsiTheme="minorHAnsi" w:cstheme="minorBidi"/>
              <w:sz w:val="22"/>
              <w:szCs w:val="22"/>
              <w:lang w:val="en-AU" w:eastAsia="en-AU"/>
            </w:rPr>
          </w:pPr>
          <w:hyperlink w:anchor="_Toc33202323" w:history="1">
            <w:r w:rsidR="005544E2" w:rsidRPr="00FC7DDF">
              <w:rPr>
                <w:rStyle w:val="Hyperlink"/>
              </w:rPr>
              <w:t>B.1</w:t>
            </w:r>
            <w:r w:rsidR="005544E2">
              <w:rPr>
                <w:rFonts w:asciiTheme="minorHAnsi" w:hAnsiTheme="minorHAnsi" w:cstheme="minorBidi"/>
                <w:sz w:val="22"/>
                <w:szCs w:val="22"/>
                <w:lang w:val="en-AU" w:eastAsia="en-AU"/>
              </w:rPr>
              <w:tab/>
            </w:r>
            <w:r w:rsidR="005544E2" w:rsidRPr="00FC7DDF">
              <w:rPr>
                <w:rStyle w:val="Hyperlink"/>
              </w:rPr>
              <w:t>Extent and location of impact</w:t>
            </w:r>
          </w:hyperlink>
        </w:p>
        <w:p w14:paraId="07FD29FD" w14:textId="77777777" w:rsidR="005544E2" w:rsidRDefault="0013561C">
          <w:pPr>
            <w:pStyle w:val="TOC2"/>
            <w:rPr>
              <w:rFonts w:asciiTheme="minorHAnsi" w:hAnsiTheme="minorHAnsi" w:cstheme="minorBidi"/>
              <w:sz w:val="22"/>
              <w:szCs w:val="22"/>
              <w:lang w:val="en-AU" w:eastAsia="en-AU"/>
            </w:rPr>
          </w:pPr>
          <w:hyperlink w:anchor="_Toc33202324" w:history="1">
            <w:r w:rsidR="005544E2" w:rsidRPr="00FC7DDF">
              <w:rPr>
                <w:rStyle w:val="Hyperlink"/>
              </w:rPr>
              <w:t>B.2</w:t>
            </w:r>
            <w:r w:rsidR="005544E2">
              <w:rPr>
                <w:rFonts w:asciiTheme="minorHAnsi" w:hAnsiTheme="minorHAnsi" w:cstheme="minorBidi"/>
                <w:sz w:val="22"/>
                <w:szCs w:val="22"/>
                <w:lang w:val="en-AU" w:eastAsia="en-AU"/>
              </w:rPr>
              <w:tab/>
            </w:r>
            <w:r w:rsidR="005544E2" w:rsidRPr="00FC7DDF">
              <w:rPr>
                <w:rStyle w:val="Hyperlink"/>
              </w:rPr>
              <w:t>Extent and duration of recovery</w:t>
            </w:r>
          </w:hyperlink>
        </w:p>
        <w:p w14:paraId="16408BFB" w14:textId="77777777" w:rsidR="005544E2" w:rsidRDefault="0013561C">
          <w:pPr>
            <w:pStyle w:val="TOC2"/>
            <w:rPr>
              <w:rFonts w:asciiTheme="minorHAnsi" w:hAnsiTheme="minorHAnsi" w:cstheme="minorBidi"/>
              <w:sz w:val="22"/>
              <w:szCs w:val="22"/>
              <w:lang w:val="en-AU" w:eastAsia="en-AU"/>
            </w:rPr>
          </w:pPr>
          <w:hyperlink w:anchor="_Toc33202325" w:history="1">
            <w:r w:rsidR="005544E2" w:rsidRPr="00FC7DDF">
              <w:rPr>
                <w:rStyle w:val="Hyperlink"/>
              </w:rPr>
              <w:t>B.3</w:t>
            </w:r>
            <w:r w:rsidR="005544E2">
              <w:rPr>
                <w:rFonts w:asciiTheme="minorHAnsi" w:hAnsiTheme="minorHAnsi" w:cstheme="minorBidi"/>
                <w:sz w:val="22"/>
                <w:szCs w:val="22"/>
                <w:lang w:val="en-AU" w:eastAsia="en-AU"/>
              </w:rPr>
              <w:tab/>
            </w:r>
            <w:r w:rsidR="005544E2" w:rsidRPr="00FC7DDF">
              <w:rPr>
                <w:rStyle w:val="Hyperlink"/>
              </w:rPr>
              <w:t>Asset</w:t>
            </w:r>
          </w:hyperlink>
        </w:p>
        <w:p w14:paraId="4546D115" w14:textId="77777777" w:rsidR="005544E2" w:rsidRDefault="0013561C">
          <w:pPr>
            <w:pStyle w:val="TOC2"/>
            <w:rPr>
              <w:rFonts w:asciiTheme="minorHAnsi" w:hAnsiTheme="minorHAnsi" w:cstheme="minorBidi"/>
              <w:sz w:val="22"/>
              <w:szCs w:val="22"/>
              <w:lang w:val="en-AU" w:eastAsia="en-AU"/>
            </w:rPr>
          </w:pPr>
          <w:hyperlink w:anchor="_Toc33202326" w:history="1">
            <w:r w:rsidR="005544E2" w:rsidRPr="00FC7DDF">
              <w:rPr>
                <w:rStyle w:val="Hyperlink"/>
              </w:rPr>
              <w:t>B.4</w:t>
            </w:r>
            <w:r w:rsidR="005544E2">
              <w:rPr>
                <w:rFonts w:asciiTheme="minorHAnsi" w:hAnsiTheme="minorHAnsi" w:cstheme="minorBidi"/>
                <w:sz w:val="22"/>
                <w:szCs w:val="22"/>
                <w:lang w:val="en-AU" w:eastAsia="en-AU"/>
              </w:rPr>
              <w:tab/>
            </w:r>
            <w:r w:rsidR="005544E2" w:rsidRPr="00FC7DDF">
              <w:rPr>
                <w:rStyle w:val="Hyperlink"/>
              </w:rPr>
              <w:t>Overall environmental risk</w:t>
            </w:r>
          </w:hyperlink>
        </w:p>
        <w:p w14:paraId="48CFF59C" w14:textId="77777777" w:rsidR="005544E2" w:rsidRDefault="0013561C">
          <w:pPr>
            <w:pStyle w:val="TOC1"/>
            <w:rPr>
              <w:rFonts w:asciiTheme="minorHAnsi" w:hAnsiTheme="minorHAnsi" w:cstheme="minorBidi"/>
              <w:b w:val="0"/>
              <w:sz w:val="22"/>
              <w:szCs w:val="22"/>
              <w:lang w:val="en-AU" w:eastAsia="en-AU"/>
            </w:rPr>
          </w:pPr>
          <w:hyperlink w:anchor="_Toc33202327" w:history="1">
            <w:r w:rsidR="005544E2" w:rsidRPr="00FC7DDF">
              <w:rPr>
                <w:rStyle w:val="Hyperlink"/>
              </w:rPr>
              <w:t>Appendix C. Incidents leading to assessments of non-conformance with audit criteria and the regulatory framework for timber harvesting</w:t>
            </w:r>
          </w:hyperlink>
        </w:p>
        <w:p w14:paraId="6D0E397C" w14:textId="77777777" w:rsidR="005544E2" w:rsidRDefault="0013561C">
          <w:pPr>
            <w:pStyle w:val="TOC2"/>
            <w:rPr>
              <w:rFonts w:asciiTheme="minorHAnsi" w:hAnsiTheme="minorHAnsi" w:cstheme="minorBidi"/>
              <w:sz w:val="22"/>
              <w:szCs w:val="22"/>
              <w:lang w:val="en-AU" w:eastAsia="en-AU"/>
            </w:rPr>
          </w:pPr>
          <w:hyperlink w:anchor="_Toc33202328" w:history="1">
            <w:r w:rsidR="005544E2" w:rsidRPr="00FC7DDF">
              <w:rPr>
                <w:rStyle w:val="Hyperlink"/>
              </w:rPr>
              <w:t>C.1</w:t>
            </w:r>
            <w:r w:rsidR="005544E2">
              <w:rPr>
                <w:rFonts w:asciiTheme="minorHAnsi" w:hAnsiTheme="minorHAnsi" w:cstheme="minorBidi"/>
                <w:sz w:val="22"/>
                <w:szCs w:val="22"/>
                <w:lang w:val="en-AU" w:eastAsia="en-AU"/>
              </w:rPr>
              <w:tab/>
            </w:r>
            <w:r w:rsidR="005544E2" w:rsidRPr="00FC7DDF">
              <w:rPr>
                <w:rStyle w:val="Hyperlink"/>
              </w:rPr>
              <w:t>Harvesting coupes</w:t>
            </w:r>
          </w:hyperlink>
        </w:p>
        <w:p w14:paraId="55C045C1" w14:textId="77777777" w:rsidR="005544E2" w:rsidRDefault="0013561C">
          <w:pPr>
            <w:pStyle w:val="TOC2"/>
            <w:rPr>
              <w:rFonts w:asciiTheme="minorHAnsi" w:hAnsiTheme="minorHAnsi" w:cstheme="minorBidi"/>
              <w:sz w:val="22"/>
              <w:szCs w:val="22"/>
              <w:lang w:val="en-AU" w:eastAsia="en-AU"/>
            </w:rPr>
          </w:pPr>
          <w:hyperlink w:anchor="_Toc33202329" w:history="1">
            <w:r w:rsidR="005544E2" w:rsidRPr="00FC7DDF">
              <w:rPr>
                <w:rStyle w:val="Hyperlink"/>
              </w:rPr>
              <w:t>C.2</w:t>
            </w:r>
            <w:r w:rsidR="005544E2">
              <w:rPr>
                <w:rFonts w:asciiTheme="minorHAnsi" w:hAnsiTheme="minorHAnsi" w:cstheme="minorBidi"/>
                <w:sz w:val="22"/>
                <w:szCs w:val="22"/>
                <w:lang w:val="en-AU" w:eastAsia="en-AU"/>
              </w:rPr>
              <w:tab/>
            </w:r>
            <w:r w:rsidR="005544E2" w:rsidRPr="00FC7DDF">
              <w:rPr>
                <w:rStyle w:val="Hyperlink"/>
              </w:rPr>
              <w:t>Regeneration coupes</w:t>
            </w:r>
          </w:hyperlink>
        </w:p>
        <w:p w14:paraId="4C40D2C2" w14:textId="77777777" w:rsidR="005544E2" w:rsidRDefault="0013561C">
          <w:pPr>
            <w:pStyle w:val="TOC1"/>
            <w:rPr>
              <w:rFonts w:asciiTheme="minorHAnsi" w:hAnsiTheme="minorHAnsi" w:cstheme="minorBidi"/>
              <w:b w:val="0"/>
              <w:sz w:val="22"/>
              <w:szCs w:val="22"/>
              <w:lang w:val="en-AU" w:eastAsia="en-AU"/>
            </w:rPr>
          </w:pPr>
          <w:hyperlink w:anchor="_Toc33202330" w:history="1">
            <w:r w:rsidR="005544E2" w:rsidRPr="00FC7DDF">
              <w:rPr>
                <w:rStyle w:val="Hyperlink"/>
              </w:rPr>
              <w:t>Appendix D. VicForests’ comments on draft audit report</w:t>
            </w:r>
          </w:hyperlink>
        </w:p>
        <w:p w14:paraId="29D9C3D4" w14:textId="48AD991B" w:rsidR="00032E15" w:rsidRPr="00032E15" w:rsidRDefault="00032E15" w:rsidP="00D61A6B">
          <w:pPr>
            <w:pStyle w:val="TOC1"/>
          </w:pPr>
          <w:r w:rsidRPr="00032E15">
            <w:rPr>
              <w:b w:val="0"/>
            </w:rPr>
            <w:fldChar w:fldCharType="end"/>
          </w:r>
        </w:p>
      </w:sdtContent>
    </w:sdt>
    <w:p w14:paraId="223A6705" w14:textId="77777777" w:rsidR="00032E15" w:rsidRPr="00032E15" w:rsidRDefault="00032E15" w:rsidP="00D61A6B">
      <w:pPr>
        <w:pStyle w:val="Para0"/>
      </w:pPr>
    </w:p>
    <w:p w14:paraId="358EFDD7" w14:textId="77777777" w:rsidR="00032E15" w:rsidRPr="00032E15" w:rsidRDefault="00032E15" w:rsidP="00D61A6B">
      <w:pPr>
        <w:pStyle w:val="Para0"/>
        <w:sectPr w:rsidR="00032E15" w:rsidRPr="00032E15" w:rsidSect="00032E15">
          <w:headerReference w:type="even" r:id="rId18"/>
          <w:headerReference w:type="default" r:id="rId19"/>
          <w:footerReference w:type="default" r:id="rId20"/>
          <w:headerReference w:type="first" r:id="rId21"/>
          <w:footerReference w:type="first" r:id="rId22"/>
          <w:pgSz w:w="12240" w:h="15840" w:code="9"/>
          <w:pgMar w:top="567" w:right="851" w:bottom="851" w:left="1440" w:header="567" w:footer="370" w:gutter="0"/>
          <w:pgNumType w:fmt="lowerRoman" w:start="1"/>
          <w:cols w:space="0"/>
          <w:formProt w:val="0"/>
          <w:docGrid w:linePitch="360"/>
        </w:sectPr>
      </w:pPr>
    </w:p>
    <w:p w14:paraId="49ACDE79" w14:textId="77777777" w:rsidR="00032E15" w:rsidRPr="00032E15" w:rsidRDefault="00032E15" w:rsidP="00D61A6B">
      <w:pPr>
        <w:pStyle w:val="Summary"/>
      </w:pPr>
      <w:bookmarkStart w:id="1" w:name="_Toc369528046"/>
      <w:bookmarkStart w:id="2" w:name="_Toc33202260"/>
      <w:r w:rsidRPr="00032E15">
        <w:lastRenderedPageBreak/>
        <w:t>Executive Summary</w:t>
      </w:r>
      <w:bookmarkEnd w:id="1"/>
      <w:bookmarkEnd w:id="2"/>
    </w:p>
    <w:p w14:paraId="07DF98BC" w14:textId="77777777" w:rsidR="00D61A6B" w:rsidRDefault="00D61A6B" w:rsidP="00D61A6B">
      <w:pPr>
        <w:pStyle w:val="SectionSubheading1"/>
      </w:pPr>
      <w:r>
        <w:t>Audit scope and objectives</w:t>
      </w:r>
    </w:p>
    <w:p w14:paraId="27F3106E" w14:textId="77777777" w:rsidR="00D61A6B" w:rsidRDefault="00D61A6B" w:rsidP="00D61A6B">
      <w:pPr>
        <w:pStyle w:val="Para0"/>
      </w:pPr>
      <w:r>
        <w:t xml:space="preserve">This report documents the methods, results and key findings of an environmental audit of timber harvesting operations in Victoria’s State forests. Jacobs Group (Australia) Pty Ltd (Jacobs) was commissioned by the Department of Environment, Land, Water and Planning (DELWP) to deliver the 2018-19 audit, as part of its Forest Audit Program (FAP). The audit addresses mandatory compliance elements, based on the </w:t>
      </w:r>
      <w:r w:rsidRPr="00B4422E">
        <w:rPr>
          <w:i/>
        </w:rPr>
        <w:t>Code o</w:t>
      </w:r>
      <w:r>
        <w:rPr>
          <w:i/>
        </w:rPr>
        <w:t xml:space="preserve">f Practice for Timber Production </w:t>
      </w:r>
      <w:r>
        <w:t xml:space="preserve">(the Code) and the </w:t>
      </w:r>
      <w:r>
        <w:rPr>
          <w:i/>
        </w:rPr>
        <w:t>Management Standards and Procedures for Timber Harvesting Operations in Victoria’s State forests</w:t>
      </w:r>
      <w:r>
        <w:t xml:space="preserve"> 2014 (the MSPs). </w:t>
      </w:r>
    </w:p>
    <w:p w14:paraId="32CA2547" w14:textId="77777777" w:rsidR="00D61A6B" w:rsidRDefault="00D61A6B" w:rsidP="00D61A6B">
      <w:pPr>
        <w:pStyle w:val="Para0"/>
      </w:pPr>
      <w:r>
        <w:t xml:space="preserve">The FAP has been in operation since 2002 and has been managed by DELWP since 2010. It assesses compliance with the regulatory framework for timber harvesting operations in State forests in Victoria and identifies and assesses any risk of harm they pose to the environment. </w:t>
      </w:r>
    </w:p>
    <w:p w14:paraId="1004DC0E" w14:textId="77777777" w:rsidR="00D61A6B" w:rsidRDefault="00D61A6B" w:rsidP="00D61A6B">
      <w:pPr>
        <w:pStyle w:val="Para0"/>
      </w:pPr>
      <w:r>
        <w:t xml:space="preserve">The specific regulatory compliance criteria that were considered in this years’ audit were selected by DELWP’s Timber Harvesting Compliance Unit (THCU) and related to several themes: </w:t>
      </w:r>
    </w:p>
    <w:p w14:paraId="257AAE99" w14:textId="77777777" w:rsidR="00D61A6B" w:rsidRDefault="00D61A6B" w:rsidP="00E74AFC">
      <w:pPr>
        <w:pStyle w:val="Para0bullet"/>
        <w:numPr>
          <w:ilvl w:val="0"/>
          <w:numId w:val="72"/>
        </w:numPr>
      </w:pPr>
      <w:r>
        <w:t>Protection of soil, water and biodiversity values</w:t>
      </w:r>
    </w:p>
    <w:p w14:paraId="6E88EF2F" w14:textId="77777777" w:rsidR="00D61A6B" w:rsidRDefault="00D61A6B" w:rsidP="00E74AFC">
      <w:pPr>
        <w:pStyle w:val="Para0bullet"/>
        <w:numPr>
          <w:ilvl w:val="0"/>
          <w:numId w:val="72"/>
        </w:numPr>
      </w:pPr>
      <w:r>
        <w:t xml:space="preserve">Execution of in-coupe road design and construction </w:t>
      </w:r>
    </w:p>
    <w:p w14:paraId="164CC27B" w14:textId="77777777" w:rsidR="00D61A6B" w:rsidRDefault="00D61A6B" w:rsidP="00E74AFC">
      <w:pPr>
        <w:pStyle w:val="Para0bullet"/>
        <w:numPr>
          <w:ilvl w:val="0"/>
          <w:numId w:val="72"/>
        </w:numPr>
      </w:pPr>
      <w:r>
        <w:t>Rehabilitation of coupe infrastructure</w:t>
      </w:r>
    </w:p>
    <w:p w14:paraId="19CDAB73" w14:textId="77777777" w:rsidR="00D61A6B" w:rsidRDefault="00D61A6B" w:rsidP="00E74AFC">
      <w:pPr>
        <w:pStyle w:val="Para0bullet"/>
        <w:numPr>
          <w:ilvl w:val="0"/>
          <w:numId w:val="72"/>
        </w:numPr>
      </w:pPr>
      <w:r>
        <w:t>Implementation of forest coupe planning</w:t>
      </w:r>
    </w:p>
    <w:p w14:paraId="02370830" w14:textId="77777777" w:rsidR="00D61A6B" w:rsidRDefault="00D61A6B" w:rsidP="00E74AFC">
      <w:pPr>
        <w:pStyle w:val="Para0bullet"/>
        <w:numPr>
          <w:ilvl w:val="0"/>
          <w:numId w:val="72"/>
        </w:numPr>
      </w:pPr>
      <w:r>
        <w:t xml:space="preserve">Coupe regeneration. </w:t>
      </w:r>
    </w:p>
    <w:p w14:paraId="1441CFC3" w14:textId="77777777" w:rsidR="00D61A6B" w:rsidRDefault="00D61A6B" w:rsidP="00D61A6B">
      <w:pPr>
        <w:pStyle w:val="Para0"/>
      </w:pPr>
      <w:r>
        <w:rPr>
          <w:noProof/>
          <w:lang w:val="en-AU" w:eastAsia="en-AU"/>
        </w:rPr>
        <mc:AlternateContent>
          <mc:Choice Requires="wps">
            <w:drawing>
              <wp:anchor distT="0" distB="0" distL="114300" distR="114300" simplePos="0" relativeHeight="251661312" behindDoc="1" locked="0" layoutInCell="1" allowOverlap="1" wp14:anchorId="1AAE0365" wp14:editId="2BF04A3F">
                <wp:simplePos x="0" y="0"/>
                <wp:positionH relativeFrom="page">
                  <wp:align>right</wp:align>
                </wp:positionH>
                <wp:positionV relativeFrom="paragraph">
                  <wp:posOffset>487045</wp:posOffset>
                </wp:positionV>
                <wp:extent cx="4200525" cy="3362325"/>
                <wp:effectExtent l="0" t="0" r="9525" b="9525"/>
                <wp:wrapTight wrapText="bothSides">
                  <wp:wrapPolygon edited="0">
                    <wp:start x="0" y="0"/>
                    <wp:lineTo x="0" y="21539"/>
                    <wp:lineTo x="21551" y="21539"/>
                    <wp:lineTo x="21551" y="0"/>
                    <wp:lineTo x="0" y="0"/>
                  </wp:wrapPolygon>
                </wp:wrapTight>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00525" cy="33623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C0DC2C" w14:textId="5144C11F" w:rsidR="009F391E" w:rsidRDefault="009F391E" w:rsidP="00D61A6B">
                            <w:pPr>
                              <w:spacing w:after="0"/>
                            </w:pPr>
                            <w:r w:rsidRPr="00A33357">
                              <w:rPr>
                                <w:noProof/>
                              </w:rPr>
                              <w:drawing>
                                <wp:inline distT="0" distB="0" distL="0" distR="0" wp14:anchorId="0E4215C1" wp14:editId="2F4A5251">
                                  <wp:extent cx="4010025" cy="28194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10025" cy="2819400"/>
                                          </a:xfrm>
                                          <a:prstGeom prst="rect">
                                            <a:avLst/>
                                          </a:prstGeom>
                                          <a:noFill/>
                                          <a:ln>
                                            <a:noFill/>
                                          </a:ln>
                                        </pic:spPr>
                                      </pic:pic>
                                    </a:graphicData>
                                  </a:graphic>
                                </wp:inline>
                              </w:drawing>
                            </w:r>
                          </w:p>
                          <w:p w14:paraId="46CB482B" w14:textId="77777777" w:rsidR="009F391E" w:rsidRDefault="009F391E" w:rsidP="00D61A6B">
                            <w:pPr>
                              <w:pStyle w:val="Tablesmalltext"/>
                              <w:jc w:val="right"/>
                            </w:pPr>
                            <w:r>
                              <w:t>Source: Department of Environment, Land Water and Planning.</w:t>
                            </w:r>
                          </w:p>
                          <w:p w14:paraId="7F9C7EB2" w14:textId="77777777" w:rsidR="009F391E" w:rsidRDefault="009F391E" w:rsidP="0088261C">
                            <w:pPr>
                              <w:pStyle w:val="Caption"/>
                              <w:spacing w:before="120"/>
                            </w:pPr>
                            <w:r>
                              <w:t>Figure ES.1 Victorian Forest Management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AE0365" id="_x0000_t202" coordsize="21600,21600" o:spt="202" path="m,l,21600r21600,l21600,xe">
                <v:stroke joinstyle="miter"/>
                <v:path gradientshapeok="t" o:connecttype="rect"/>
              </v:shapetype>
              <v:shape id="Text Box 35" o:spid="_x0000_s1026" type="#_x0000_t202" style="position:absolute;margin-left:279.55pt;margin-top:38.35pt;width:330.75pt;height:264.75pt;z-index:-25165516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" fillcolor="white [3201]" stroked="f" strokeweight=".5pt">
                <v:textbox>
                  <w:txbxContent>
                    <w:p w14:paraId="09C0DC2C" w14:textId="5144C11F" w:rsidR="009F391E" w:rsidRDefault="009F391E" w:rsidP="00D61A6B">
                      <w:pPr>
                        <w:spacing w:after="0"/>
                      </w:pPr>
                      <w:r w:rsidRPr="00A33357">
                        <w:rPr>
                          <w:noProof/>
                        </w:rPr>
                        <w:drawing>
                          <wp:inline distT="0" distB="0" distL="0" distR="0" wp14:anchorId="0E4215C1" wp14:editId="2F4A5251">
                            <wp:extent cx="4010025" cy="2819400"/>
                            <wp:effectExtent l="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10025" cy="2819400"/>
                                    </a:xfrm>
                                    <a:prstGeom prst="rect">
                                      <a:avLst/>
                                    </a:prstGeom>
                                    <a:noFill/>
                                    <a:ln>
                                      <a:noFill/>
                                    </a:ln>
                                  </pic:spPr>
                                </pic:pic>
                              </a:graphicData>
                            </a:graphic>
                          </wp:inline>
                        </w:drawing>
                      </w:r>
                    </w:p>
                    <w:p w14:paraId="46CB482B" w14:textId="77777777" w:rsidR="009F391E" w:rsidRDefault="009F391E" w:rsidP="00D61A6B">
                      <w:pPr>
                        <w:pStyle w:val="Tablesmalltext"/>
                        <w:jc w:val="right"/>
                      </w:pPr>
                      <w:r>
                        <w:t>Source: Department of Environment, Land Water and Planning.</w:t>
                      </w:r>
                    </w:p>
                    <w:p w14:paraId="7F9C7EB2" w14:textId="77777777" w:rsidR="009F391E" w:rsidRDefault="009F391E" w:rsidP="0088261C">
                      <w:pPr>
                        <w:pStyle w:val="Caption"/>
                        <w:spacing w:before="120"/>
                      </w:pPr>
                      <w:r>
                        <w:t>Figure ES.1 Victorian Forest Management Areas</w:t>
                      </w:r>
                    </w:p>
                  </w:txbxContent>
                </v:textbox>
                <w10:wrap type="tight" anchorx="page"/>
              </v:shape>
            </w:pict>
          </mc:Fallback>
        </mc:AlternateContent>
      </w:r>
      <w:r>
        <w:t xml:space="preserve">Conformance with the regulatory framework was assessed for timber harvesting and related roading operations conducted in 30 coupes listed in VicForests’ </w:t>
      </w:r>
      <w:r w:rsidRPr="0061155C">
        <w:rPr>
          <w:i/>
        </w:rPr>
        <w:t>Timber Release Plan</w:t>
      </w:r>
      <w:r>
        <w:rPr>
          <w:i/>
        </w:rPr>
        <w:t xml:space="preserve"> </w:t>
      </w:r>
      <w:r>
        <w:t xml:space="preserve">(TRP), as well as for regeneration activities in a further 10 coupes. The coupes were located in State forests within the Benalla-Mansfield, Central, Central Gippsland, Dandenong, East Gippsland, North-East and Tambo Forest Management Areas (FMAs; Figure ES.1). Three of the harvesting coupes included in the audit were located in Melbourne Water catchment areas. </w:t>
      </w:r>
    </w:p>
    <w:p w14:paraId="3BCC39C5" w14:textId="77777777" w:rsidR="00D61A6B" w:rsidRDefault="00D61A6B" w:rsidP="00D61A6B">
      <w:pPr>
        <w:pStyle w:val="SectionSubheading1"/>
      </w:pPr>
      <w:r>
        <w:t>Audit approach</w:t>
      </w:r>
    </w:p>
    <w:p w14:paraId="24D10173" w14:textId="77777777" w:rsidR="00D61A6B" w:rsidRDefault="00D61A6B" w:rsidP="00D61A6B">
      <w:pPr>
        <w:pStyle w:val="Para0"/>
      </w:pPr>
      <w:r>
        <w:t xml:space="preserve">Prospective coupes for the audit were selected from a list of coupes included in VicForests’ current TRP. Selection was randomised, but (for harvest coupes) weighted towards coupes with higher risk features, including: waterway crossings, long lengths of in-coupe road, steep slopes, more erosive soils, presence of threatened flora and/or fauna and of Special Protection or Special Management Zones (SPZ and SMZ respectively). </w:t>
      </w:r>
    </w:p>
    <w:p w14:paraId="01316C2D" w14:textId="77777777" w:rsidR="00D61A6B" w:rsidRDefault="00D61A6B" w:rsidP="00D61A6B">
      <w:pPr>
        <w:pStyle w:val="Para0"/>
      </w:pPr>
      <w:r w:rsidRPr="006A4747">
        <w:rPr>
          <w:i/>
        </w:rPr>
        <w:t>As coupe selection was risk-based, rather than fully randomised, the findings of this audit cannot be taken as being statistically representative of VicForests’ operations overall</w:t>
      </w:r>
      <w:r>
        <w:t>.</w:t>
      </w:r>
    </w:p>
    <w:p w14:paraId="600FB431" w14:textId="77777777" w:rsidR="00D61A6B" w:rsidRDefault="00D61A6B" w:rsidP="00D61A6B">
      <w:pPr>
        <w:pStyle w:val="Para0"/>
      </w:pPr>
      <w:r>
        <w:lastRenderedPageBreak/>
        <w:t>Compliance criteria considered in the audit drew on mandatory requirements of Code, mostly as expressed in applicable clauses from the MSPs and associated Planning Standards (PS). Compliance criteria were grouped into five compliance themes, with several sub-themes, as follows:</w:t>
      </w:r>
    </w:p>
    <w:p w14:paraId="55809E55" w14:textId="77777777" w:rsidR="00D61A6B" w:rsidRDefault="00D61A6B" w:rsidP="00E74AFC">
      <w:pPr>
        <w:pStyle w:val="Para0bullet"/>
        <w:numPr>
          <w:ilvl w:val="0"/>
          <w:numId w:val="72"/>
        </w:numPr>
      </w:pPr>
      <w:r>
        <w:rPr>
          <w:i/>
        </w:rPr>
        <w:t xml:space="preserve">Environment: </w:t>
      </w:r>
      <w:r>
        <w:t>compliance criteria drew on Section 2.2 of the Code (</w:t>
      </w:r>
      <w:r w:rsidRPr="00640904">
        <w:rPr>
          <w:i/>
        </w:rPr>
        <w:t>Environmental values in State forests</w:t>
      </w:r>
      <w:r>
        <w:t xml:space="preserve">) and related compliance elements from the MSPs and PS. There were three environmental sub-themes: soil, water (incorporating flows, water quality and river health) and biodiversity. Some audit criteria related to more than one of these sub-themes. </w:t>
      </w:r>
    </w:p>
    <w:p w14:paraId="424702B6" w14:textId="77777777" w:rsidR="00D61A6B" w:rsidRDefault="00D61A6B" w:rsidP="00E74AFC">
      <w:pPr>
        <w:pStyle w:val="Para0bullet"/>
        <w:numPr>
          <w:ilvl w:val="0"/>
          <w:numId w:val="72"/>
        </w:numPr>
      </w:pPr>
      <w:r>
        <w:rPr>
          <w:i/>
        </w:rPr>
        <w:t xml:space="preserve">Roading: </w:t>
      </w:r>
      <w:r>
        <w:t>compliance criteria drew on Section 2.4 of the Code (</w:t>
      </w:r>
      <w:r>
        <w:rPr>
          <w:i/>
        </w:rPr>
        <w:t xml:space="preserve">Roading for timber harvesting </w:t>
      </w:r>
      <w:r w:rsidRPr="00640904">
        <w:rPr>
          <w:i/>
        </w:rPr>
        <w:t>operations</w:t>
      </w:r>
      <w:r>
        <w:t>) and related compliance elements from the MSPs. There were three roading sub-themes: design, construction and maintenance-closure. Some of these compliance elements are also relevant to the water and biodiversity sub-themes.</w:t>
      </w:r>
    </w:p>
    <w:p w14:paraId="393FE62C" w14:textId="77777777" w:rsidR="00D61A6B" w:rsidRDefault="00D61A6B" w:rsidP="00E74AFC">
      <w:pPr>
        <w:pStyle w:val="Para0bullet"/>
        <w:numPr>
          <w:ilvl w:val="0"/>
          <w:numId w:val="72"/>
        </w:numPr>
      </w:pPr>
      <w:r>
        <w:rPr>
          <w:i/>
        </w:rPr>
        <w:t>Coupe infrastructure:</w:t>
      </w:r>
      <w:r>
        <w:t xml:space="preserve"> compliance criteria drew on Section 2.5.2 of the Code (</w:t>
      </w:r>
      <w:r>
        <w:rPr>
          <w:i/>
        </w:rPr>
        <w:t>Coupe infrastructure</w:t>
      </w:r>
      <w:r>
        <w:t xml:space="preserve">) and related compliance elements from the MSPs relating to the rehabilitation of coupe infrastructure, including landings, snig tracks and boundary tracks. </w:t>
      </w:r>
    </w:p>
    <w:p w14:paraId="636DE898" w14:textId="77777777" w:rsidR="00D61A6B" w:rsidRPr="00781A41" w:rsidRDefault="00D61A6B" w:rsidP="00E74AFC">
      <w:pPr>
        <w:pStyle w:val="Para0bullet"/>
        <w:numPr>
          <w:ilvl w:val="0"/>
          <w:numId w:val="72"/>
        </w:numPr>
        <w:rPr>
          <w:i/>
        </w:rPr>
      </w:pPr>
      <w:r w:rsidRPr="0061155C">
        <w:rPr>
          <w:i/>
        </w:rPr>
        <w:t xml:space="preserve">Coupe </w:t>
      </w:r>
      <w:r>
        <w:rPr>
          <w:i/>
        </w:rPr>
        <w:t xml:space="preserve">planning: </w:t>
      </w:r>
      <w:r>
        <w:t>compliance criteria drew on parts of Section 2.5 of the Code (</w:t>
      </w:r>
      <w:r>
        <w:rPr>
          <w:i/>
        </w:rPr>
        <w:t>Timber Harvesting</w:t>
      </w:r>
      <w:r>
        <w:t>) relating to conformance of timber harvesting operations with coupe plans (developed as per Section 2.3 of the Code).</w:t>
      </w:r>
    </w:p>
    <w:p w14:paraId="0A80FB6B" w14:textId="77777777" w:rsidR="00D61A6B" w:rsidRPr="0061155C" w:rsidRDefault="00D61A6B" w:rsidP="00E74AFC">
      <w:pPr>
        <w:pStyle w:val="Para0bullet"/>
        <w:numPr>
          <w:ilvl w:val="0"/>
          <w:numId w:val="72"/>
        </w:numPr>
        <w:rPr>
          <w:i/>
        </w:rPr>
      </w:pPr>
      <w:r>
        <w:rPr>
          <w:i/>
        </w:rPr>
        <w:t xml:space="preserve">Forest regeneration: </w:t>
      </w:r>
      <w:r>
        <w:t>compliance criteria drew on Section 2.6 of the Code (</w:t>
      </w:r>
      <w:r>
        <w:rPr>
          <w:i/>
        </w:rPr>
        <w:t>Forest regeneration</w:t>
      </w:r>
      <w:r>
        <w:t>) and related compliance elements from the MSPs.</w:t>
      </w:r>
    </w:p>
    <w:p w14:paraId="1139F670" w14:textId="3AD5A381" w:rsidR="00D61A6B" w:rsidRDefault="00D61A6B" w:rsidP="00D61A6B">
      <w:pPr>
        <w:pStyle w:val="Para0"/>
      </w:pPr>
      <w:r>
        <w:t>Audits on individual harvest coupes considered up to 151 compliance criteria</w:t>
      </w:r>
      <w:r w:rsidR="007E0985">
        <w:rPr>
          <w:rFonts w:ascii="ZWAdobeF" w:hAnsi="ZWAdobeF" w:cs="ZWAdobeF"/>
          <w:sz w:val="2"/>
          <w:szCs w:val="2"/>
        </w:rPr>
        <w:t>0F</w:t>
      </w:r>
      <w:r>
        <w:rPr>
          <w:rStyle w:val="FootnoteReference"/>
        </w:rPr>
        <w:footnoteReference w:id="1"/>
      </w:r>
      <w:r>
        <w:t>. Those conducted in regeneration coupes considered up to 29 criteria. An audit workbook was completed for each coupe, based on observations by the audit team and their review of VicForests’ Forest Coupe Plan (FCP). Where instances of non-conformance with the regulatory framework were detected, their potential environmental impact was assessed using the FAP’s environmental impact assessment (EIA) tool. Field assessments for the audit were undertaken between April and June 2019.</w:t>
      </w:r>
    </w:p>
    <w:p w14:paraId="77AFF3DC" w14:textId="77777777" w:rsidR="00D61A6B" w:rsidRDefault="00D61A6B" w:rsidP="00D61A6B">
      <w:pPr>
        <w:pStyle w:val="Para0"/>
      </w:pPr>
      <w:r>
        <w:t>VicForests personnel accompanied the audit team on all coupe assessments. This enabled useful discussions about planning and management practices, applicable elements of the regulatory framework and of any non-conformances that were observed.</w:t>
      </w:r>
    </w:p>
    <w:p w14:paraId="342B4292" w14:textId="77777777" w:rsidR="00D61A6B" w:rsidRDefault="00D61A6B" w:rsidP="00D61A6B">
      <w:pPr>
        <w:pStyle w:val="SectionSubheading1"/>
      </w:pPr>
      <w:r>
        <w:t>Audit findings</w:t>
      </w:r>
    </w:p>
    <w:p w14:paraId="7AA5BA6B" w14:textId="77777777" w:rsidR="00D61A6B" w:rsidRPr="00612DDD" w:rsidRDefault="00D61A6B" w:rsidP="00D61A6B">
      <w:pPr>
        <w:pStyle w:val="SectionSubheading2"/>
      </w:pPr>
      <w:r>
        <w:t xml:space="preserve">Compliance with environmental and roading criteria for harvesting coupes </w:t>
      </w:r>
    </w:p>
    <w:p w14:paraId="42EDA3D7" w14:textId="68723E9D" w:rsidR="00D61A6B" w:rsidRDefault="00D61A6B" w:rsidP="00D61A6B">
      <w:pPr>
        <w:pStyle w:val="Para0"/>
      </w:pPr>
      <w:r>
        <w:t xml:space="preserve">On average, the audited coupes fully conformed with </w:t>
      </w:r>
      <w:r w:rsidR="008941BD">
        <w:t>8</w:t>
      </w:r>
      <w:r w:rsidR="000F6490">
        <w:t>4</w:t>
      </w:r>
      <w:r>
        <w:t xml:space="preserve">% of applicable criteria, with the level of full conformance for individual coupes ranging between </w:t>
      </w:r>
      <w:r w:rsidR="00EA731D">
        <w:t>61</w:t>
      </w:r>
      <w:r>
        <w:t>% and 9</w:t>
      </w:r>
      <w:r w:rsidR="00EA731D">
        <w:t>8</w:t>
      </w:r>
      <w:r>
        <w:t>%. The average level of full conformance</w:t>
      </w:r>
      <w:r w:rsidR="007E0985">
        <w:rPr>
          <w:rFonts w:ascii="ZWAdobeF" w:hAnsi="ZWAdobeF" w:cs="ZWAdobeF"/>
          <w:sz w:val="2"/>
          <w:szCs w:val="2"/>
        </w:rPr>
        <w:t>1F</w:t>
      </w:r>
      <w:r>
        <w:rPr>
          <w:rStyle w:val="FootnoteReference"/>
        </w:rPr>
        <w:footnoteReference w:id="2"/>
      </w:r>
      <w:r>
        <w:t xml:space="preserve"> varied across audit themes, as follows:</w:t>
      </w:r>
    </w:p>
    <w:tbl>
      <w:tblPr>
        <w:tblStyle w:val="Table1"/>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9"/>
      </w:tblGrid>
      <w:tr w:rsidR="00D61A6B" w:rsidRPr="00E21B87" w14:paraId="7C81C2B1" w14:textId="77777777" w:rsidTr="00D61A6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02" w:type="dxa"/>
            <w:shd w:val="clear" w:color="auto" w:fill="auto"/>
          </w:tcPr>
          <w:p w14:paraId="31B34A72" w14:textId="77777777" w:rsidR="00D61A6B" w:rsidRPr="00E21B87" w:rsidRDefault="00D61A6B" w:rsidP="00D61A6B">
            <w:pPr>
              <w:pStyle w:val="Tablebullet"/>
              <w:numPr>
                <w:ilvl w:val="0"/>
                <w:numId w:val="0"/>
              </w:numPr>
              <w:ind w:left="284" w:hanging="284"/>
              <w:rPr>
                <w:b w:val="0"/>
                <w:i/>
              </w:rPr>
            </w:pPr>
            <w:r w:rsidRPr="00E21B87">
              <w:rPr>
                <w:b w:val="0"/>
                <w:i/>
              </w:rPr>
              <w:t>Environmental compliance elements:</w:t>
            </w:r>
          </w:p>
        </w:tc>
        <w:tc>
          <w:tcPr>
            <w:tcW w:w="4901" w:type="dxa"/>
            <w:shd w:val="clear" w:color="auto" w:fill="auto"/>
          </w:tcPr>
          <w:p w14:paraId="463BBB00" w14:textId="77777777" w:rsidR="00D61A6B" w:rsidRPr="00E21B87" w:rsidRDefault="00D61A6B" w:rsidP="00D61A6B">
            <w:pPr>
              <w:pStyle w:val="Tabletext"/>
              <w:cnfStyle w:val="100000000000" w:firstRow="1" w:lastRow="0" w:firstColumn="0" w:lastColumn="0" w:oddVBand="0" w:evenVBand="0" w:oddHBand="0" w:evenHBand="0" w:firstRowFirstColumn="0" w:firstRowLastColumn="0" w:lastRowFirstColumn="0" w:lastRowLastColumn="0"/>
              <w:rPr>
                <w:b w:val="0"/>
                <w:i/>
              </w:rPr>
            </w:pPr>
            <w:r w:rsidRPr="00E21B87">
              <w:rPr>
                <w:b w:val="0"/>
                <w:i/>
              </w:rPr>
              <w:t>Roading compliance elements:</w:t>
            </w:r>
          </w:p>
        </w:tc>
      </w:tr>
      <w:tr w:rsidR="00D61A6B" w:rsidRPr="00612DDD" w14:paraId="6D0A9C58" w14:textId="77777777" w:rsidTr="00D61A6B">
        <w:trPr>
          <w:trHeight w:val="1210"/>
        </w:trPr>
        <w:tc>
          <w:tcPr>
            <w:cnfStyle w:val="001000000000" w:firstRow="0" w:lastRow="0" w:firstColumn="1" w:lastColumn="0" w:oddVBand="0" w:evenVBand="0" w:oddHBand="0" w:evenHBand="0" w:firstRowFirstColumn="0" w:firstRowLastColumn="0" w:lastRowFirstColumn="0" w:lastRowLastColumn="0"/>
            <w:tcW w:w="4902" w:type="dxa"/>
            <w:shd w:val="clear" w:color="auto" w:fill="auto"/>
          </w:tcPr>
          <w:p w14:paraId="1916FC62" w14:textId="67C4016D" w:rsidR="00D61A6B" w:rsidRPr="00612DDD" w:rsidRDefault="00D61A6B" w:rsidP="00E74AFC">
            <w:pPr>
              <w:pStyle w:val="Tablebullet"/>
              <w:numPr>
                <w:ilvl w:val="0"/>
                <w:numId w:val="73"/>
              </w:numPr>
            </w:pPr>
            <w:r>
              <w:t>Protection of forest soils: 7</w:t>
            </w:r>
            <w:r w:rsidR="008941BD">
              <w:t>4</w:t>
            </w:r>
            <w:r w:rsidRPr="00612DDD">
              <w:t>% (</w:t>
            </w:r>
            <w:r>
              <w:t>46</w:t>
            </w:r>
            <w:r w:rsidRPr="00612DDD">
              <w:t>-100%)</w:t>
            </w:r>
            <w:r>
              <w:t>;</w:t>
            </w:r>
          </w:p>
          <w:p w14:paraId="21DD0DA6" w14:textId="6E56560A" w:rsidR="00D61A6B" w:rsidRPr="00612DDD" w:rsidRDefault="00D61A6B" w:rsidP="00E74AFC">
            <w:pPr>
              <w:pStyle w:val="Tablebullet"/>
              <w:numPr>
                <w:ilvl w:val="0"/>
                <w:numId w:val="73"/>
              </w:numPr>
            </w:pPr>
            <w:r w:rsidRPr="00612DDD">
              <w:t xml:space="preserve">Protection of water flows, water quality and river health: </w:t>
            </w:r>
            <w:r w:rsidR="0045291D">
              <w:t>8</w:t>
            </w:r>
            <w:r w:rsidR="008941BD">
              <w:t>1</w:t>
            </w:r>
            <w:r>
              <w:t>% (36</w:t>
            </w:r>
            <w:r w:rsidRPr="00612DDD">
              <w:t>-100%)</w:t>
            </w:r>
            <w:r>
              <w:t>;</w:t>
            </w:r>
          </w:p>
          <w:p w14:paraId="38616F2C" w14:textId="3C29772D" w:rsidR="00D61A6B" w:rsidRPr="00612DDD" w:rsidRDefault="00D61A6B" w:rsidP="00E74AFC">
            <w:pPr>
              <w:pStyle w:val="Tablebullet"/>
              <w:numPr>
                <w:ilvl w:val="0"/>
                <w:numId w:val="73"/>
              </w:numPr>
            </w:pPr>
            <w:r w:rsidRPr="00612DDD">
              <w:t>Protection of biodiversity values</w:t>
            </w:r>
            <w:r>
              <w:t xml:space="preserve">: </w:t>
            </w:r>
            <w:r w:rsidR="0045291D">
              <w:t>8</w:t>
            </w:r>
            <w:r w:rsidR="006F0678">
              <w:t>4</w:t>
            </w:r>
            <w:r>
              <w:t>% (</w:t>
            </w:r>
            <w:r w:rsidR="0045291D">
              <w:t>5</w:t>
            </w:r>
            <w:r w:rsidR="006F0678">
              <w:t>5</w:t>
            </w:r>
            <w:r w:rsidR="0045291D">
              <w:t>-96</w:t>
            </w:r>
            <w:r>
              <w:t>%).</w:t>
            </w:r>
          </w:p>
        </w:tc>
        <w:tc>
          <w:tcPr>
            <w:tcW w:w="4901" w:type="dxa"/>
            <w:shd w:val="clear" w:color="auto" w:fill="auto"/>
          </w:tcPr>
          <w:p w14:paraId="0CF2CAF9" w14:textId="1DC91E53" w:rsidR="00D61A6B" w:rsidRPr="00612DDD" w:rsidRDefault="00D61A6B" w:rsidP="00E74AFC">
            <w:pPr>
              <w:pStyle w:val="Tablebullet"/>
              <w:numPr>
                <w:ilvl w:val="0"/>
                <w:numId w:val="73"/>
              </w:numPr>
              <w:cnfStyle w:val="000000000000" w:firstRow="0" w:lastRow="0" w:firstColumn="0" w:lastColumn="0" w:oddVBand="0" w:evenVBand="0" w:oddHBand="0" w:evenHBand="0" w:firstRowFirstColumn="0" w:firstRowLastColumn="0" w:lastRowFirstColumn="0" w:lastRowLastColumn="0"/>
            </w:pPr>
            <w:r>
              <w:t xml:space="preserve">Road design: </w:t>
            </w:r>
            <w:r w:rsidR="008941BD">
              <w:t>67</w:t>
            </w:r>
            <w:r>
              <w:t>% (20-100%);</w:t>
            </w:r>
          </w:p>
          <w:p w14:paraId="596159B8" w14:textId="72FF28D9" w:rsidR="00D61A6B" w:rsidRPr="00612DDD" w:rsidRDefault="00D61A6B" w:rsidP="00E74AFC">
            <w:pPr>
              <w:pStyle w:val="Tablebullet"/>
              <w:numPr>
                <w:ilvl w:val="0"/>
                <w:numId w:val="73"/>
              </w:numPr>
              <w:cnfStyle w:val="000000000000" w:firstRow="0" w:lastRow="0" w:firstColumn="0" w:lastColumn="0" w:oddVBand="0" w:evenVBand="0" w:oddHBand="0" w:evenHBand="0" w:firstRowFirstColumn="0" w:firstRowLastColumn="0" w:lastRowFirstColumn="0" w:lastRowLastColumn="0"/>
            </w:pPr>
            <w:r>
              <w:t xml:space="preserve">Road construction: </w:t>
            </w:r>
            <w:r w:rsidR="008941BD">
              <w:t>81</w:t>
            </w:r>
            <w:r>
              <w:t>% (</w:t>
            </w:r>
            <w:r w:rsidR="00FB2EBD">
              <w:t>5</w:t>
            </w:r>
            <w:r>
              <w:t>0-100%);</w:t>
            </w:r>
          </w:p>
          <w:p w14:paraId="06BBC894" w14:textId="411EB400" w:rsidR="00D61A6B" w:rsidRPr="00612DDD" w:rsidRDefault="00D61A6B" w:rsidP="00E74AFC">
            <w:pPr>
              <w:pStyle w:val="Tablebullet"/>
              <w:numPr>
                <w:ilvl w:val="0"/>
                <w:numId w:val="73"/>
              </w:numPr>
              <w:cnfStyle w:val="000000000000" w:firstRow="0" w:lastRow="0" w:firstColumn="0" w:lastColumn="0" w:oddVBand="0" w:evenVBand="0" w:oddHBand="0" w:evenHBand="0" w:firstRowFirstColumn="0" w:firstRowLastColumn="0" w:lastRowFirstColumn="0" w:lastRowLastColumn="0"/>
            </w:pPr>
            <w:r>
              <w:t xml:space="preserve">Road maintenance and closure: </w:t>
            </w:r>
            <w:r w:rsidR="00FB2EBD">
              <w:t>8</w:t>
            </w:r>
            <w:r w:rsidR="008941BD">
              <w:t>3</w:t>
            </w:r>
            <w:r>
              <w:t>% (</w:t>
            </w:r>
            <w:r w:rsidR="00FB2EBD">
              <w:t>33</w:t>
            </w:r>
            <w:r>
              <w:t>-100%).</w:t>
            </w:r>
          </w:p>
        </w:tc>
      </w:tr>
      <w:tr w:rsidR="00D61A6B" w:rsidRPr="00612DDD" w14:paraId="343380C0" w14:textId="77777777" w:rsidTr="00F42977">
        <w:tc>
          <w:tcPr>
            <w:cnfStyle w:val="001000000000" w:firstRow="0" w:lastRow="0" w:firstColumn="1" w:lastColumn="0" w:oddVBand="0" w:evenVBand="0" w:oddHBand="0" w:evenHBand="0" w:firstRowFirstColumn="0" w:firstRowLastColumn="0" w:lastRowFirstColumn="0" w:lastRowLastColumn="0"/>
            <w:tcW w:w="4902" w:type="dxa"/>
            <w:shd w:val="clear" w:color="auto" w:fill="auto"/>
          </w:tcPr>
          <w:p w14:paraId="4B1CE038" w14:textId="77777777" w:rsidR="00D61A6B" w:rsidRDefault="00D61A6B" w:rsidP="00D61A6B">
            <w:pPr>
              <w:pStyle w:val="Tabletext"/>
              <w:rPr>
                <w:i/>
              </w:rPr>
            </w:pPr>
            <w:r>
              <w:rPr>
                <w:i/>
              </w:rPr>
              <w:t>Infrastructure compliance elements</w:t>
            </w:r>
          </w:p>
          <w:p w14:paraId="2DD28EC0" w14:textId="6CFD6D50" w:rsidR="00D61A6B" w:rsidRPr="000524A8" w:rsidRDefault="00D61A6B" w:rsidP="00D61A6B">
            <w:pPr>
              <w:pStyle w:val="Tablebullet"/>
            </w:pPr>
            <w:r>
              <w:t>8</w:t>
            </w:r>
            <w:r w:rsidR="008941BD">
              <w:t>4</w:t>
            </w:r>
            <w:r>
              <w:t>% (56-100%)</w:t>
            </w:r>
          </w:p>
        </w:tc>
        <w:tc>
          <w:tcPr>
            <w:tcW w:w="4901" w:type="dxa"/>
            <w:shd w:val="clear" w:color="auto" w:fill="auto"/>
          </w:tcPr>
          <w:p w14:paraId="01BB1D64" w14:textId="77777777" w:rsidR="00D61A6B" w:rsidRDefault="00D61A6B" w:rsidP="00D61A6B">
            <w:pPr>
              <w:pStyle w:val="Tabletext"/>
              <w:cnfStyle w:val="000000000000" w:firstRow="0" w:lastRow="0" w:firstColumn="0" w:lastColumn="0" w:oddVBand="0" w:evenVBand="0" w:oddHBand="0" w:evenHBand="0" w:firstRowFirstColumn="0" w:firstRowLastColumn="0" w:lastRowFirstColumn="0" w:lastRowLastColumn="0"/>
              <w:rPr>
                <w:i/>
              </w:rPr>
            </w:pPr>
            <w:r>
              <w:rPr>
                <w:i/>
              </w:rPr>
              <w:t>Coupe planning compliance elements</w:t>
            </w:r>
          </w:p>
          <w:p w14:paraId="02633D4E" w14:textId="0C3A1A27" w:rsidR="00D61A6B" w:rsidRPr="000524A8" w:rsidRDefault="00D61A6B" w:rsidP="00D61A6B">
            <w:pPr>
              <w:pStyle w:val="Tablebullet"/>
              <w:cnfStyle w:val="000000000000" w:firstRow="0" w:lastRow="0" w:firstColumn="0" w:lastColumn="0" w:oddVBand="0" w:evenVBand="0" w:oddHBand="0" w:evenHBand="0" w:firstRowFirstColumn="0" w:firstRowLastColumn="0" w:lastRowFirstColumn="0" w:lastRowLastColumn="0"/>
            </w:pPr>
            <w:r>
              <w:t>9</w:t>
            </w:r>
            <w:r w:rsidR="0045291D">
              <w:t>2</w:t>
            </w:r>
            <w:r>
              <w:t>% (</w:t>
            </w:r>
            <w:r w:rsidR="00FB2EBD">
              <w:t>80</w:t>
            </w:r>
            <w:r>
              <w:t>-100%)</w:t>
            </w:r>
          </w:p>
        </w:tc>
      </w:tr>
      <w:tr w:rsidR="00D61A6B" w:rsidRPr="00612DDD" w14:paraId="4A8CB77C" w14:textId="77777777" w:rsidTr="00D61A6B">
        <w:tc>
          <w:tcPr>
            <w:cnfStyle w:val="001000000000" w:firstRow="0" w:lastRow="0" w:firstColumn="1" w:lastColumn="0" w:oddVBand="0" w:evenVBand="0" w:oddHBand="0" w:evenHBand="0" w:firstRowFirstColumn="0" w:firstRowLastColumn="0" w:lastRowFirstColumn="0" w:lastRowLastColumn="0"/>
            <w:tcW w:w="4902" w:type="dxa"/>
            <w:shd w:val="clear" w:color="auto" w:fill="auto"/>
          </w:tcPr>
          <w:p w14:paraId="36DF250E" w14:textId="77777777" w:rsidR="00D61A6B" w:rsidRDefault="00D61A6B" w:rsidP="00D61A6B">
            <w:pPr>
              <w:pStyle w:val="Tabletext"/>
              <w:rPr>
                <w:i/>
              </w:rPr>
            </w:pPr>
            <w:r>
              <w:rPr>
                <w:i/>
              </w:rPr>
              <w:lastRenderedPageBreak/>
              <w:t>Forest regeneration compliance elements:</w:t>
            </w:r>
          </w:p>
          <w:p w14:paraId="299D5E15" w14:textId="3617C43B" w:rsidR="00D61A6B" w:rsidRDefault="00AA5F24" w:rsidP="00D61A6B">
            <w:pPr>
              <w:pStyle w:val="Tablebullet"/>
            </w:pPr>
            <w:r>
              <w:t>90</w:t>
            </w:r>
            <w:r w:rsidR="00D61A6B">
              <w:t>% (</w:t>
            </w:r>
            <w:r w:rsidR="00E32540">
              <w:t>73</w:t>
            </w:r>
            <w:r w:rsidR="00D61A6B">
              <w:t>-100%)</w:t>
            </w:r>
          </w:p>
        </w:tc>
        <w:tc>
          <w:tcPr>
            <w:tcW w:w="4901" w:type="dxa"/>
            <w:shd w:val="clear" w:color="auto" w:fill="auto"/>
          </w:tcPr>
          <w:p w14:paraId="152F16DC" w14:textId="77777777" w:rsidR="00D61A6B" w:rsidRDefault="00D61A6B" w:rsidP="00D61A6B">
            <w:pPr>
              <w:pStyle w:val="Tabletext"/>
              <w:cnfStyle w:val="000000000000" w:firstRow="0" w:lastRow="0" w:firstColumn="0" w:lastColumn="0" w:oddVBand="0" w:evenVBand="0" w:oddHBand="0" w:evenHBand="0" w:firstRowFirstColumn="0" w:firstRowLastColumn="0" w:lastRowFirstColumn="0" w:lastRowLastColumn="0"/>
              <w:rPr>
                <w:i/>
              </w:rPr>
            </w:pPr>
          </w:p>
        </w:tc>
      </w:tr>
    </w:tbl>
    <w:p w14:paraId="1367E76B" w14:textId="22714C69" w:rsidR="00D61A6B" w:rsidRDefault="00D61A6B" w:rsidP="00D61A6B">
      <w:pPr>
        <w:pStyle w:val="Para0"/>
      </w:pPr>
      <w:r>
        <w:t>Some non-conformance incidents (e.g. inappropriately constructed waterway crossings, escaped regeneration burns) may be assessed against several criteria and result in multiple non-compliances. A total of 7</w:t>
      </w:r>
      <w:r w:rsidR="00E32540">
        <w:t>4</w:t>
      </w:r>
      <w:r>
        <w:t xml:space="preserve"> such incidents were observed in this audit, </w:t>
      </w:r>
      <w:r w:rsidR="00E32540">
        <w:t>69</w:t>
      </w:r>
      <w:r>
        <w:t xml:space="preserve"> in the audit of harvest coupes and 5 in the audit of regeneration coupes. These were detected in 30 of the 40 coupes included in </w:t>
      </w:r>
      <w:r w:rsidR="00F42977">
        <w:t>both</w:t>
      </w:r>
      <w:r>
        <w:t xml:space="preserve"> component</w:t>
      </w:r>
      <w:r w:rsidR="00F42977">
        <w:t>s</w:t>
      </w:r>
      <w:r>
        <w:t xml:space="preserve"> of the audit. As many as seven incidents and as few as zero were observed in a single coupe.</w:t>
      </w:r>
    </w:p>
    <w:p w14:paraId="14259F68" w14:textId="5BC021B5" w:rsidR="00D61A6B" w:rsidRDefault="00D61A6B" w:rsidP="00D61A6B">
      <w:pPr>
        <w:pStyle w:val="Para0"/>
      </w:pPr>
      <w:r>
        <w:t>The FAP’s EIA tool was used to assess the potential environmental impact associated with each non-conformance. EIA ratings ranged between negligible and major, with 3</w:t>
      </w:r>
      <w:r w:rsidR="00F42977">
        <w:t>3</w:t>
      </w:r>
      <w:r>
        <w:t xml:space="preserve"> non-conformances in </w:t>
      </w:r>
      <w:r w:rsidR="00E32540">
        <w:t>seven</w:t>
      </w:r>
      <w:r>
        <w:t xml:space="preserve"> coupes </w:t>
      </w:r>
      <w:r w:rsidR="00E32540">
        <w:t xml:space="preserve">(including one regeneration coupe) </w:t>
      </w:r>
      <w:r>
        <w:t>assessed to have major potential environmental impact. These resulted from several types of incident:</w:t>
      </w:r>
    </w:p>
    <w:p w14:paraId="026120B7" w14:textId="77777777" w:rsidR="00D61A6B" w:rsidRDefault="00D61A6B" w:rsidP="00D61A6B">
      <w:pPr>
        <w:pStyle w:val="Para0bullet"/>
      </w:pPr>
      <w:r>
        <w:t>Regeneration burns breaching planned boundaries and entering adjoining SPZs or other intended exclusion areas</w:t>
      </w:r>
    </w:p>
    <w:p w14:paraId="6330CE57" w14:textId="77777777" w:rsidR="00D61A6B" w:rsidRDefault="00D61A6B" w:rsidP="00D61A6B">
      <w:pPr>
        <w:pStyle w:val="Para0bullet"/>
      </w:pPr>
      <w:r>
        <w:t>In-coupe roads and waterway crossings being constructed with non-conforming drainage structures and spacings</w:t>
      </w:r>
    </w:p>
    <w:p w14:paraId="6268D2D9" w14:textId="77777777" w:rsidR="00D61A6B" w:rsidRDefault="00D61A6B" w:rsidP="00D61A6B">
      <w:pPr>
        <w:pStyle w:val="Para0bullet"/>
      </w:pPr>
      <w:r>
        <w:t>Machinery entry to and track construction in SPZs adjoining audit coupes.</w:t>
      </w:r>
    </w:p>
    <w:p w14:paraId="6A6DA73F" w14:textId="77777777" w:rsidR="00D61A6B" w:rsidRDefault="00D61A6B" w:rsidP="00D61A6B">
      <w:pPr>
        <w:pStyle w:val="Para0"/>
      </w:pPr>
      <w:r>
        <w:t>The EIA ratings given reflected the sensitivity of locations at which they occurred and are considered by the auditors to appropriately reflect the level of environmental risk.</w:t>
      </w:r>
    </w:p>
    <w:p w14:paraId="0BB6029E" w14:textId="77777777" w:rsidR="00D61A6B" w:rsidRDefault="00D61A6B" w:rsidP="00D61A6B">
      <w:pPr>
        <w:pStyle w:val="Para0"/>
      </w:pPr>
      <w:r>
        <w:t>Other kinds of non-compliance issues with potential environmental impact were:</w:t>
      </w:r>
    </w:p>
    <w:p w14:paraId="608F1BFF" w14:textId="77777777" w:rsidR="00D61A6B" w:rsidRDefault="00D61A6B" w:rsidP="00E74AFC">
      <w:pPr>
        <w:pStyle w:val="Para0bullet"/>
        <w:numPr>
          <w:ilvl w:val="0"/>
          <w:numId w:val="72"/>
        </w:numPr>
      </w:pPr>
      <w:r>
        <w:t>Drain spacings along snig and boundary tracks and in-coupe roads exceeding the specified value based on slope and soil erosion hazard</w:t>
      </w:r>
    </w:p>
    <w:p w14:paraId="6D31F31B" w14:textId="77777777" w:rsidR="00D61A6B" w:rsidRDefault="00D61A6B" w:rsidP="00E74AFC">
      <w:pPr>
        <w:pStyle w:val="Para0bullet"/>
        <w:numPr>
          <w:ilvl w:val="0"/>
          <w:numId w:val="72"/>
        </w:numPr>
      </w:pPr>
      <w:r>
        <w:t>In-coupe road and landing embankments not having engineered design, contributing to mass soil movement</w:t>
      </w:r>
    </w:p>
    <w:p w14:paraId="30483B1C" w14:textId="77777777" w:rsidR="00D61A6B" w:rsidRDefault="00D61A6B" w:rsidP="00E74AFC">
      <w:pPr>
        <w:pStyle w:val="Para0bullet"/>
        <w:numPr>
          <w:ilvl w:val="0"/>
          <w:numId w:val="72"/>
        </w:numPr>
      </w:pPr>
      <w:r>
        <w:t>Rehabilitation of coupe infrastructure contributing to soil erosion and mass soil movement</w:t>
      </w:r>
    </w:p>
    <w:p w14:paraId="5E107504" w14:textId="77777777" w:rsidR="00D61A6B" w:rsidRDefault="00D61A6B" w:rsidP="00E74AFC">
      <w:pPr>
        <w:pStyle w:val="Para0bullet"/>
        <w:numPr>
          <w:ilvl w:val="0"/>
          <w:numId w:val="72"/>
        </w:numPr>
      </w:pPr>
      <w:r>
        <w:t>Landings not being fully or successfully rehabilitated</w:t>
      </w:r>
    </w:p>
    <w:p w14:paraId="3865FE1C" w14:textId="77777777" w:rsidR="00D61A6B" w:rsidRDefault="00D61A6B" w:rsidP="00E74AFC">
      <w:pPr>
        <w:pStyle w:val="Para0bullet"/>
        <w:numPr>
          <w:ilvl w:val="0"/>
          <w:numId w:val="72"/>
        </w:numPr>
      </w:pPr>
      <w:r>
        <w:t>Snig tracks entering or crossing drainage line filters, where reasonably practicable alternatives existed</w:t>
      </w:r>
    </w:p>
    <w:p w14:paraId="0C39EA71" w14:textId="77777777" w:rsidR="00D61A6B" w:rsidRDefault="00D61A6B" w:rsidP="00E74AFC">
      <w:pPr>
        <w:pStyle w:val="Para0bullet"/>
        <w:numPr>
          <w:ilvl w:val="0"/>
          <w:numId w:val="72"/>
        </w:numPr>
      </w:pPr>
      <w:r>
        <w:t>Harvesting (of a single tree) outside the TRP coupe boundary</w:t>
      </w:r>
    </w:p>
    <w:p w14:paraId="24E3A3A1" w14:textId="77777777" w:rsidR="00D61A6B" w:rsidRDefault="00D61A6B" w:rsidP="00E74AFC">
      <w:pPr>
        <w:pStyle w:val="Para0bullet"/>
        <w:numPr>
          <w:ilvl w:val="0"/>
          <w:numId w:val="72"/>
        </w:numPr>
      </w:pPr>
      <w:r>
        <w:t>Soil from in-coupe road, waterway or landing embankments covering the base of retained, live trees</w:t>
      </w:r>
    </w:p>
    <w:p w14:paraId="4C092244" w14:textId="77777777" w:rsidR="00D61A6B" w:rsidRDefault="00D61A6B" w:rsidP="00E74AFC">
      <w:pPr>
        <w:pStyle w:val="Para0bullet"/>
        <w:numPr>
          <w:ilvl w:val="0"/>
          <w:numId w:val="72"/>
        </w:numPr>
      </w:pPr>
      <w:r>
        <w:t>Machinery disturbing and pushing soil into a riparian filter area.</w:t>
      </w:r>
    </w:p>
    <w:p w14:paraId="15746F2F" w14:textId="77777777" w:rsidR="00D61A6B" w:rsidRDefault="00D61A6B" w:rsidP="00D61A6B">
      <w:pPr>
        <w:pStyle w:val="Para0"/>
      </w:pPr>
      <w:r>
        <w:t>Most of these issues have been observed in recent FAP audits, although the frequency of regeneration burns affecting areas that were not intended to be directly disturbed by harvesting or regeneration activities, was significantly greater in this than in previous FAP audits.</w:t>
      </w:r>
    </w:p>
    <w:p w14:paraId="2EDA27CE" w14:textId="77777777" w:rsidR="00D61A6B" w:rsidRDefault="00D61A6B" w:rsidP="00D61A6B">
      <w:pPr>
        <w:pStyle w:val="SectionSubheading1"/>
      </w:pPr>
      <w:r>
        <w:t>Recommendations</w:t>
      </w:r>
    </w:p>
    <w:p w14:paraId="0235D97D" w14:textId="77777777" w:rsidR="00D61A6B" w:rsidRDefault="00D61A6B" w:rsidP="00D61A6B">
      <w:pPr>
        <w:pStyle w:val="Para0"/>
      </w:pPr>
      <w:r>
        <w:t>Findings of this audit have led to a series of recommendations from the auditor to VicForests and DELWP (Table ES.1). Recommendations to VicForests address potential improvements in the management of timber harvesting and related roading activities and those to DELWP address potential improvements to the regulatory framework, including the FAP.</w:t>
      </w:r>
    </w:p>
    <w:p w14:paraId="66E5471B" w14:textId="77777777" w:rsidR="00D61A6B" w:rsidRDefault="00D61A6B" w:rsidP="00D61A6B">
      <w:pPr>
        <w:pStyle w:val="Para0"/>
      </w:pPr>
      <w:r>
        <w:t>The priority given to recommendations reflects either the potential environmental impact associated with the aspect of harvesting practice or the importance of the recommendation to the effectiveness of the regulatory framework.</w:t>
      </w:r>
    </w:p>
    <w:p w14:paraId="04E5C795" w14:textId="77777777" w:rsidR="00D61A6B" w:rsidRDefault="00D61A6B" w:rsidP="00D61A6B">
      <w:pPr>
        <w:pStyle w:val="Caption"/>
      </w:pPr>
      <w:r>
        <w:lastRenderedPageBreak/>
        <w:t>Table ES.1 Recommendations of the 2018-19 Forest Audit Program</w:t>
      </w:r>
    </w:p>
    <w:tbl>
      <w:tblPr>
        <w:tblStyle w:val="TableGrid"/>
        <w:tblW w:w="491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4639"/>
        <w:gridCol w:w="4810"/>
      </w:tblGrid>
      <w:tr w:rsidR="00D61A6B" w:rsidRPr="0057552E" w14:paraId="71263978" w14:textId="77777777" w:rsidTr="00D61A6B">
        <w:trPr>
          <w:tblHeader/>
        </w:trPr>
        <w:tc>
          <w:tcPr>
            <w:tcW w:w="2455" w:type="pct"/>
            <w:tcBorders>
              <w:right w:val="single" w:sz="4" w:space="0" w:color="FFFFFF" w:themeColor="background1"/>
            </w:tcBorders>
            <w:shd w:val="clear" w:color="auto" w:fill="E5E5E5" w:themeFill="background2"/>
          </w:tcPr>
          <w:p w14:paraId="7E265167" w14:textId="77777777" w:rsidR="00D61A6B" w:rsidRPr="0057552E" w:rsidRDefault="00D61A6B" w:rsidP="00D61A6B">
            <w:pPr>
              <w:pStyle w:val="Tablesmalltext"/>
              <w:keepNext/>
              <w:rPr>
                <w:b/>
              </w:rPr>
            </w:pPr>
            <w:r>
              <w:rPr>
                <w:b/>
              </w:rPr>
              <w:t>Recommendations for VicForests</w:t>
            </w:r>
          </w:p>
        </w:tc>
        <w:tc>
          <w:tcPr>
            <w:tcW w:w="2545" w:type="pct"/>
            <w:tcBorders>
              <w:left w:val="single" w:sz="4" w:space="0" w:color="FFFFFF" w:themeColor="background1"/>
            </w:tcBorders>
            <w:shd w:val="clear" w:color="auto" w:fill="E5E5E5" w:themeFill="background2"/>
          </w:tcPr>
          <w:p w14:paraId="1F0DD80D" w14:textId="77777777" w:rsidR="00D61A6B" w:rsidRPr="0057552E" w:rsidRDefault="00D61A6B" w:rsidP="00D61A6B">
            <w:pPr>
              <w:pStyle w:val="Tablesmalltext"/>
              <w:rPr>
                <w:b/>
              </w:rPr>
            </w:pPr>
            <w:r>
              <w:rPr>
                <w:b/>
              </w:rPr>
              <w:t>Recommendations for DELWP</w:t>
            </w:r>
          </w:p>
        </w:tc>
      </w:tr>
      <w:tr w:rsidR="00D61A6B" w14:paraId="24397A45" w14:textId="77777777" w:rsidTr="00D61A6B">
        <w:tc>
          <w:tcPr>
            <w:tcW w:w="5000" w:type="pct"/>
            <w:gridSpan w:val="2"/>
            <w:shd w:val="clear" w:color="auto" w:fill="F7D4DB" w:themeFill="accent3" w:themeFillTint="33"/>
          </w:tcPr>
          <w:p w14:paraId="6277AD1F" w14:textId="77777777" w:rsidR="00D61A6B" w:rsidRPr="0057552E" w:rsidRDefault="00D61A6B" w:rsidP="00D61A6B">
            <w:pPr>
              <w:pStyle w:val="Tablesmalltext"/>
              <w:rPr>
                <w:b/>
              </w:rPr>
            </w:pPr>
            <w:r>
              <w:rPr>
                <w:b/>
              </w:rPr>
              <w:t xml:space="preserve">High priority: </w:t>
            </w:r>
          </w:p>
        </w:tc>
      </w:tr>
      <w:tr w:rsidR="00D61A6B" w14:paraId="6FC0728C" w14:textId="77777777" w:rsidTr="00D61A6B">
        <w:tc>
          <w:tcPr>
            <w:tcW w:w="2455" w:type="pct"/>
          </w:tcPr>
          <w:p w14:paraId="76652A94" w14:textId="2D25F806" w:rsidR="00A113E1" w:rsidRDefault="00A113E1" w:rsidP="00A113E1">
            <w:pPr>
              <w:pStyle w:val="Tablesmalltext"/>
            </w:pPr>
            <w:r>
              <w:rPr>
                <w:b/>
              </w:rPr>
              <w:t>V-0</w:t>
            </w:r>
            <w:r w:rsidR="006F0678">
              <w:rPr>
                <w:b/>
              </w:rPr>
              <w:t>3</w:t>
            </w:r>
            <w:r>
              <w:rPr>
                <w:b/>
              </w:rPr>
              <w:t xml:space="preserve">: </w:t>
            </w:r>
            <w:r w:rsidRPr="00855032">
              <w:t>That VicForests work with its contractors to minimise disturbances of riparian buffers and filters by snig tracks. Where it is reasonably practicable to do so, snig track crossings of drainage lines and temporary streams should be avoided. Where crossings are necessary, appropriate drainage should be constructed and crossings should be appropriately rehabilitated once the snig track is no longer required.</w:t>
            </w:r>
          </w:p>
          <w:p w14:paraId="4C147425" w14:textId="20810970" w:rsidR="00D61A6B" w:rsidRPr="008E0C4B" w:rsidRDefault="00D61A6B" w:rsidP="00D61A6B">
            <w:pPr>
              <w:pStyle w:val="Tablesmalltext"/>
              <w:rPr>
                <w:b/>
              </w:rPr>
            </w:pPr>
            <w:r w:rsidRPr="008E0C4B">
              <w:rPr>
                <w:b/>
              </w:rPr>
              <w:t>V-0</w:t>
            </w:r>
            <w:r w:rsidR="006F0678">
              <w:rPr>
                <w:b/>
              </w:rPr>
              <w:t>4</w:t>
            </w:r>
            <w:r w:rsidRPr="008E0C4B">
              <w:rPr>
                <w:b/>
              </w:rPr>
              <w:t xml:space="preserve">: </w:t>
            </w:r>
            <w:r w:rsidRPr="008E0C4B">
              <w:t>That VicForests amend its couple planning and monitoring recording processes to ensure those planning and supervising harvesting operations appropriately assess and manage biosecurity risks associated with machinery movement, the import of gravel for in-coupe roads, Myrtle Wilt and the entry and spread of new weeds</w:t>
            </w:r>
            <w:r>
              <w:t>.</w:t>
            </w:r>
          </w:p>
        </w:tc>
        <w:tc>
          <w:tcPr>
            <w:tcW w:w="2545" w:type="pct"/>
          </w:tcPr>
          <w:p w14:paraId="47B8896E" w14:textId="71A505CF" w:rsidR="00D61A6B" w:rsidRDefault="00D61A6B" w:rsidP="00D61A6B">
            <w:pPr>
              <w:pStyle w:val="Tablesmalltext"/>
            </w:pPr>
            <w:r>
              <w:rPr>
                <w:b/>
              </w:rPr>
              <w:t xml:space="preserve">D-01: </w:t>
            </w:r>
            <w:r w:rsidR="008901E2" w:rsidRPr="008901E2">
              <w:t>That DELWP engage with VicForests to monitor and evaluate implementation of new in-coupe road planning, design and construction procedures to ensure they lead to improved regulatory compliance and environmental performance.</w:t>
            </w:r>
          </w:p>
          <w:p w14:paraId="14575230" w14:textId="66E5DE9C" w:rsidR="00D61A6B" w:rsidRDefault="00D61A6B" w:rsidP="00D61A6B">
            <w:pPr>
              <w:pStyle w:val="Tablesmalltext"/>
            </w:pPr>
            <w:r>
              <w:rPr>
                <w:b/>
              </w:rPr>
              <w:t>D-0</w:t>
            </w:r>
            <w:r w:rsidR="0028330A">
              <w:rPr>
                <w:b/>
              </w:rPr>
              <w:t>2</w:t>
            </w:r>
            <w:r>
              <w:rPr>
                <w:b/>
              </w:rPr>
              <w:t xml:space="preserve">: </w:t>
            </w:r>
            <w:r w:rsidRPr="00A32EA0">
              <w:t xml:space="preserve">DELWP should </w:t>
            </w:r>
            <w:r>
              <w:t>revise</w:t>
            </w:r>
            <w:r w:rsidRPr="002524C9">
              <w:t xml:space="preserve"> </w:t>
            </w:r>
            <w:r w:rsidRPr="00A32EA0">
              <w:t>Code and MSP prescriptions in relation to pests, weeds and diseases to provide improved rigour and transparency in biosecurity risk management practices. Consideration should be given to mandatory washdown of harvesting and road construction machinery being moved onto a coupe, assessment of quarry disease and weed status and reporting of these in FCPs.</w:t>
            </w:r>
          </w:p>
          <w:p w14:paraId="077A0939" w14:textId="5DC12D3C" w:rsidR="00D61A6B" w:rsidRPr="008E0C4B" w:rsidRDefault="00D61A6B" w:rsidP="00D61A6B">
            <w:pPr>
              <w:pStyle w:val="Tablesmalltext"/>
            </w:pPr>
            <w:r>
              <w:rPr>
                <w:b/>
              </w:rPr>
              <w:t>D-0</w:t>
            </w:r>
            <w:r w:rsidR="0028330A">
              <w:rPr>
                <w:b/>
              </w:rPr>
              <w:t>3</w:t>
            </w:r>
            <w:r>
              <w:rPr>
                <w:b/>
              </w:rPr>
              <w:t xml:space="preserve">: </w:t>
            </w:r>
            <w:r w:rsidRPr="00A32EA0">
              <w:t xml:space="preserve">In its next </w:t>
            </w:r>
            <w:r>
              <w:t>revision</w:t>
            </w:r>
            <w:r w:rsidRPr="00A32EA0">
              <w:t xml:space="preserve"> of the MSPs, DELWP should develop and include a table that specifies appropriate maximum drainage structure spacings for snig and boundary tracks.</w:t>
            </w:r>
          </w:p>
        </w:tc>
      </w:tr>
      <w:tr w:rsidR="00D61A6B" w14:paraId="5ED66C0C" w14:textId="77777777" w:rsidTr="00D61A6B">
        <w:tc>
          <w:tcPr>
            <w:tcW w:w="5000" w:type="pct"/>
            <w:gridSpan w:val="2"/>
            <w:shd w:val="clear" w:color="auto" w:fill="FFEBD0" w:themeFill="accent4" w:themeFillTint="33"/>
          </w:tcPr>
          <w:p w14:paraId="44F75075" w14:textId="77777777" w:rsidR="00D61A6B" w:rsidRPr="0057552E" w:rsidRDefault="00D61A6B" w:rsidP="00D61A6B">
            <w:pPr>
              <w:pStyle w:val="Tablesmalltext"/>
              <w:rPr>
                <w:b/>
              </w:rPr>
            </w:pPr>
            <w:r>
              <w:rPr>
                <w:b/>
              </w:rPr>
              <w:t xml:space="preserve">Moderate priority: </w:t>
            </w:r>
          </w:p>
        </w:tc>
      </w:tr>
      <w:tr w:rsidR="00D61A6B" w14:paraId="7F7BC379" w14:textId="77777777" w:rsidTr="00D61A6B">
        <w:tc>
          <w:tcPr>
            <w:tcW w:w="2455" w:type="pct"/>
          </w:tcPr>
          <w:p w14:paraId="62FBF681" w14:textId="77777777" w:rsidR="00D61A6B" w:rsidRDefault="00D61A6B" w:rsidP="00D61A6B">
            <w:pPr>
              <w:pStyle w:val="Tablesmalltext"/>
            </w:pPr>
            <w:r>
              <w:rPr>
                <w:b/>
              </w:rPr>
              <w:t xml:space="preserve">V-01: </w:t>
            </w:r>
            <w:r w:rsidRPr="00176C79">
              <w:t>That VicForests adopt a consistent practice of marking maps of in-coupe waterways with the waterway classification as well as whether a buffer, filter or buffer and filter have been applied.</w:t>
            </w:r>
          </w:p>
          <w:p w14:paraId="741E7C55" w14:textId="3BB81C2C" w:rsidR="00D61A6B" w:rsidRDefault="00D61A6B" w:rsidP="00D61A6B">
            <w:pPr>
              <w:pStyle w:val="Tablesmalltext"/>
            </w:pPr>
            <w:r>
              <w:rPr>
                <w:b/>
              </w:rPr>
              <w:t>V-0</w:t>
            </w:r>
            <w:r w:rsidR="006F0678">
              <w:rPr>
                <w:b/>
              </w:rPr>
              <w:t>2</w:t>
            </w:r>
            <w:r>
              <w:rPr>
                <w:b/>
              </w:rPr>
              <w:t xml:space="preserve">: </w:t>
            </w:r>
            <w:r w:rsidRPr="005F724E">
              <w:t>That VicForests continue to work with its contractors to ensure that appropriately-spaced drainage structures are constructed on all snig tracks. This means not exceeding the spacings specified in the UPs and not having structures that are unnecessarily close and/or disproportionately large.</w:t>
            </w:r>
          </w:p>
          <w:p w14:paraId="751E7161" w14:textId="3A296953" w:rsidR="00D61A6B" w:rsidRDefault="00D61A6B" w:rsidP="00D61A6B">
            <w:pPr>
              <w:pStyle w:val="Tablesmalltext"/>
            </w:pPr>
            <w:r>
              <w:rPr>
                <w:b/>
              </w:rPr>
              <w:t>V0</w:t>
            </w:r>
            <w:r w:rsidR="006F0678">
              <w:rPr>
                <w:b/>
              </w:rPr>
              <w:t>5</w:t>
            </w:r>
            <w:r>
              <w:rPr>
                <w:b/>
              </w:rPr>
              <w:t xml:space="preserve">: </w:t>
            </w:r>
            <w:r w:rsidR="006F0678" w:rsidRPr="006F0678">
              <w:t>That VicForests review, and as necessary, revise its UPs to ensure that it instructs contractors to rehabilitate any snig track, landing or other area where machinery has compacted the soil as required by MSP 7.2.2.6 and not just snig tracks and landings.</w:t>
            </w:r>
          </w:p>
          <w:p w14:paraId="2BF08330" w14:textId="4F48A739" w:rsidR="00D61A6B" w:rsidRDefault="00D61A6B" w:rsidP="00D61A6B">
            <w:pPr>
              <w:pStyle w:val="Tablesmalltext"/>
            </w:pPr>
            <w:r w:rsidRPr="008E0C4B">
              <w:rPr>
                <w:b/>
              </w:rPr>
              <w:t>V-0</w:t>
            </w:r>
            <w:r w:rsidR="006F0678">
              <w:rPr>
                <w:b/>
              </w:rPr>
              <w:t>6</w:t>
            </w:r>
            <w:r w:rsidRPr="008E0C4B">
              <w:rPr>
                <w:b/>
              </w:rPr>
              <w:t>:</w:t>
            </w:r>
            <w:r>
              <w:rPr>
                <w:b/>
              </w:rPr>
              <w:t xml:space="preserve"> </w:t>
            </w:r>
            <w:r w:rsidRPr="008E0C4B">
              <w:t>That VicForests develop procedures to track the status of drainage along boundary (or other) tracks that have been constructed or made trafficable for regeneration burning to ensure that drainage is constructed or reinstated once the coupe is burnt or otherwise regenerated, in conformance with MSP 7.2.3.4.</w:t>
            </w:r>
          </w:p>
          <w:p w14:paraId="44E5801C" w14:textId="7927D444" w:rsidR="00D61A6B" w:rsidRPr="008E0C4B" w:rsidRDefault="00D61A6B" w:rsidP="00D61A6B">
            <w:pPr>
              <w:pStyle w:val="Tablesmalltext"/>
              <w:rPr>
                <w:b/>
              </w:rPr>
            </w:pPr>
            <w:r w:rsidRPr="008E0C4B">
              <w:rPr>
                <w:b/>
              </w:rPr>
              <w:t>V-</w:t>
            </w:r>
            <w:r w:rsidR="00EB26C1">
              <w:rPr>
                <w:b/>
              </w:rPr>
              <w:t>0</w:t>
            </w:r>
            <w:r w:rsidR="006F0678">
              <w:rPr>
                <w:b/>
              </w:rPr>
              <w:t>7</w:t>
            </w:r>
            <w:r>
              <w:rPr>
                <w:b/>
              </w:rPr>
              <w:t xml:space="preserve">: </w:t>
            </w:r>
            <w:r w:rsidRPr="006B3165">
              <w:t>That VicForests develop specific forms (or sections of forms) for its coupe monitoring records that require explicit assessment of in-coupe road and waterway crossing conformance with applicable Code and MSP prescriptions.</w:t>
            </w:r>
          </w:p>
        </w:tc>
        <w:tc>
          <w:tcPr>
            <w:tcW w:w="2545" w:type="pct"/>
          </w:tcPr>
          <w:p w14:paraId="33708A70" w14:textId="77777777" w:rsidR="00D61A6B" w:rsidRDefault="00D61A6B" w:rsidP="00D61A6B">
            <w:pPr>
              <w:pStyle w:val="Tablesmalltext"/>
            </w:pPr>
          </w:p>
        </w:tc>
      </w:tr>
    </w:tbl>
    <w:p w14:paraId="20064AC0" w14:textId="77777777" w:rsidR="00032E15" w:rsidRPr="00032E15" w:rsidRDefault="00032E15" w:rsidP="00D61A6B">
      <w:pPr>
        <w:sectPr w:rsidR="00032E15" w:rsidRPr="00032E15" w:rsidSect="0036050D">
          <w:headerReference w:type="default" r:id="rId25"/>
          <w:footerReference w:type="default" r:id="rId26"/>
          <w:footerReference w:type="first" r:id="rId27"/>
          <w:pgSz w:w="11906" w:h="16838" w:code="9"/>
          <w:pgMar w:top="567" w:right="851" w:bottom="851" w:left="1440" w:header="567" w:footer="370" w:gutter="0"/>
          <w:pgNumType w:fmt="lowerRoman" w:start="1"/>
          <w:cols w:space="0"/>
          <w:formProt w:val="0"/>
          <w:docGrid w:linePitch="360"/>
        </w:sectPr>
      </w:pPr>
    </w:p>
    <w:p w14:paraId="2C6E614C" w14:textId="77777777" w:rsidR="00D61A6B" w:rsidRDefault="00D61A6B" w:rsidP="00D61A6B">
      <w:pPr>
        <w:pStyle w:val="Summary"/>
      </w:pPr>
      <w:bookmarkStart w:id="3" w:name="_Toc1036585"/>
      <w:bookmarkStart w:id="4" w:name="_Toc21354768"/>
      <w:bookmarkStart w:id="5" w:name="_Toc33202261"/>
      <w:bookmarkStart w:id="6" w:name="_Toc369528047"/>
      <w:r>
        <w:lastRenderedPageBreak/>
        <w:t>Glossary</w:t>
      </w:r>
      <w:bookmarkEnd w:id="3"/>
      <w:bookmarkEnd w:id="4"/>
      <w:bookmarkEnd w:id="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09"/>
        <w:gridCol w:w="7306"/>
      </w:tblGrid>
      <w:tr w:rsidR="00D61A6B" w14:paraId="5F8DB428" w14:textId="77777777" w:rsidTr="00D61A6B">
        <w:tc>
          <w:tcPr>
            <w:tcW w:w="2357" w:type="dxa"/>
          </w:tcPr>
          <w:p w14:paraId="21976745" w14:textId="77777777" w:rsidR="00D61A6B" w:rsidRDefault="00D61A6B" w:rsidP="00D61A6B">
            <w:pPr>
              <w:pStyle w:val="Tablesmalltext"/>
            </w:pPr>
            <w:r>
              <w:t>Audit criteria</w:t>
            </w:r>
          </w:p>
        </w:tc>
        <w:tc>
          <w:tcPr>
            <w:tcW w:w="7559" w:type="dxa"/>
          </w:tcPr>
          <w:p w14:paraId="4861808E" w14:textId="77777777" w:rsidR="00D61A6B" w:rsidRDefault="00D61A6B" w:rsidP="00D61A6B">
            <w:pPr>
              <w:pStyle w:val="Tablesmalltext"/>
            </w:pPr>
            <w:r>
              <w:t xml:space="preserve">Criteria used to assess whether timber harvesting and related activities are consistent with mandatory requirements of the Code and MSP. </w:t>
            </w:r>
          </w:p>
        </w:tc>
      </w:tr>
      <w:tr w:rsidR="00D61A6B" w14:paraId="3B6BDD6C" w14:textId="77777777" w:rsidTr="00D61A6B">
        <w:tc>
          <w:tcPr>
            <w:tcW w:w="2357" w:type="dxa"/>
          </w:tcPr>
          <w:p w14:paraId="5A4543F0" w14:textId="77777777" w:rsidR="00D61A6B" w:rsidRDefault="00D61A6B" w:rsidP="00D61A6B">
            <w:pPr>
              <w:pStyle w:val="Tablesmalltext"/>
            </w:pPr>
            <w:r>
              <w:t>Code</w:t>
            </w:r>
          </w:p>
        </w:tc>
        <w:tc>
          <w:tcPr>
            <w:tcW w:w="7559" w:type="dxa"/>
          </w:tcPr>
          <w:p w14:paraId="2E4C2D20" w14:textId="77777777" w:rsidR="00D61A6B" w:rsidRDefault="00D61A6B" w:rsidP="00D61A6B">
            <w:pPr>
              <w:pStyle w:val="Tablesmalltext"/>
            </w:pPr>
            <w:r>
              <w:t xml:space="preserve">The </w:t>
            </w:r>
            <w:r w:rsidRPr="00D65143">
              <w:rPr>
                <w:i/>
              </w:rPr>
              <w:t>Code of Practice for Timber Production</w:t>
            </w:r>
            <w:r>
              <w:t xml:space="preserve"> 2014, which lists mandatory actions for timber harvesting activities in native forests and plantations in Victoria.</w:t>
            </w:r>
          </w:p>
        </w:tc>
      </w:tr>
      <w:tr w:rsidR="00D61A6B" w14:paraId="7FB50280" w14:textId="77777777" w:rsidTr="00D61A6B">
        <w:tc>
          <w:tcPr>
            <w:tcW w:w="2357" w:type="dxa"/>
          </w:tcPr>
          <w:p w14:paraId="341A45F0" w14:textId="7ED3531B" w:rsidR="00D61A6B" w:rsidRDefault="00B07279" w:rsidP="00D61A6B">
            <w:pPr>
              <w:pStyle w:val="Tablesmalltext"/>
            </w:pPr>
            <w:r>
              <w:t>Conformance</w:t>
            </w:r>
            <w:r w:rsidR="00D61A6B">
              <w:t xml:space="preserve"> </w:t>
            </w:r>
          </w:p>
        </w:tc>
        <w:tc>
          <w:tcPr>
            <w:tcW w:w="7559" w:type="dxa"/>
          </w:tcPr>
          <w:p w14:paraId="6EF9C986" w14:textId="4CD00EF9" w:rsidR="00D61A6B" w:rsidRDefault="00B07279" w:rsidP="00D61A6B">
            <w:pPr>
              <w:pStyle w:val="Tablesmalltext"/>
            </w:pPr>
            <w:r>
              <w:t>Conformance</w:t>
            </w:r>
            <w:r w:rsidR="00D61A6B">
              <w:t xml:space="preserve"> with audit criteria. Activities were assessed to </w:t>
            </w:r>
            <w:r>
              <w:t>conform</w:t>
            </w:r>
            <w:r w:rsidR="00D61A6B">
              <w:t xml:space="preserve"> (or fully </w:t>
            </w:r>
            <w:r>
              <w:t xml:space="preserve">conform </w:t>
            </w:r>
            <w:r w:rsidR="00D61A6B">
              <w:t xml:space="preserve">comply), not </w:t>
            </w:r>
            <w:r>
              <w:t>conform</w:t>
            </w:r>
            <w:r w:rsidR="00D61A6B">
              <w:t xml:space="preserve"> or partly </w:t>
            </w:r>
            <w:r>
              <w:t>conform</w:t>
            </w:r>
            <w:r w:rsidR="00D61A6B">
              <w:t xml:space="preserve"> with audit criteria. Part </w:t>
            </w:r>
            <w:r>
              <w:t>conformance</w:t>
            </w:r>
            <w:r w:rsidR="00D61A6B">
              <w:t xml:space="preserve"> was determined where the actions did not fully </w:t>
            </w:r>
            <w:r>
              <w:t>conform</w:t>
            </w:r>
            <w:r w:rsidR="00D61A6B">
              <w:t xml:space="preserve"> with the compliance element, but no environmental impact assessment was required or applicable. Environmental Impact Assessment (EIA) ratings were applicable to instances of non-</w:t>
            </w:r>
            <w:r>
              <w:t>conformance</w:t>
            </w:r>
            <w:r w:rsidR="00D61A6B">
              <w:t>.</w:t>
            </w:r>
          </w:p>
        </w:tc>
      </w:tr>
      <w:tr w:rsidR="00D61A6B" w14:paraId="277CD784" w14:textId="77777777" w:rsidTr="00D61A6B">
        <w:tc>
          <w:tcPr>
            <w:tcW w:w="2357" w:type="dxa"/>
          </w:tcPr>
          <w:p w14:paraId="5E2DED32" w14:textId="77777777" w:rsidR="00D61A6B" w:rsidRDefault="00D61A6B" w:rsidP="00D61A6B">
            <w:pPr>
              <w:pStyle w:val="Tablesmalltext"/>
            </w:pPr>
            <w:r>
              <w:t>Coupe</w:t>
            </w:r>
          </w:p>
        </w:tc>
        <w:tc>
          <w:tcPr>
            <w:tcW w:w="7559" w:type="dxa"/>
          </w:tcPr>
          <w:p w14:paraId="22F18B61" w14:textId="77777777" w:rsidR="00D61A6B" w:rsidRDefault="00D61A6B" w:rsidP="00D61A6B">
            <w:pPr>
              <w:pStyle w:val="Tablesmalltext"/>
            </w:pPr>
            <w:r>
              <w:t xml:space="preserve">An individual management unit within forests and plantations where timber harvesting or thinning activities are planned and conducted. Under the </w:t>
            </w:r>
            <w:r>
              <w:rPr>
                <w:i/>
              </w:rPr>
              <w:t xml:space="preserve">Sustainable Forests (Timber) Act </w:t>
            </w:r>
            <w:r>
              <w:t>2004, a coupe is a specific area of State forest identified for the purposes of timber harvesting and regeneration in a Timber Release Plan.</w:t>
            </w:r>
          </w:p>
        </w:tc>
      </w:tr>
      <w:tr w:rsidR="00D61A6B" w14:paraId="21B11967" w14:textId="77777777" w:rsidTr="00D61A6B">
        <w:tc>
          <w:tcPr>
            <w:tcW w:w="2357" w:type="dxa"/>
          </w:tcPr>
          <w:p w14:paraId="7B649D2B" w14:textId="77777777" w:rsidR="00D61A6B" w:rsidRDefault="00D61A6B" w:rsidP="00D61A6B">
            <w:pPr>
              <w:pStyle w:val="Tablesmalltext"/>
            </w:pPr>
            <w:r>
              <w:t>DELWP</w:t>
            </w:r>
          </w:p>
        </w:tc>
        <w:tc>
          <w:tcPr>
            <w:tcW w:w="7559" w:type="dxa"/>
          </w:tcPr>
          <w:p w14:paraId="5DEE7FFE" w14:textId="77777777" w:rsidR="00D61A6B" w:rsidRDefault="00D61A6B" w:rsidP="00D61A6B">
            <w:pPr>
              <w:pStyle w:val="Tablesmalltext"/>
            </w:pPr>
            <w:r w:rsidRPr="00D742A3">
              <w:t>Department of Environment</w:t>
            </w:r>
            <w:r>
              <w:t>, Land, Water and Planning</w:t>
            </w:r>
            <w:r w:rsidRPr="00D742A3">
              <w:t xml:space="preserve">: </w:t>
            </w:r>
            <w:r>
              <w:t xml:space="preserve">DELWP </w:t>
            </w:r>
            <w:r w:rsidRPr="00D742A3">
              <w:t>has responsibility for environmental regulation of timber production activities in State forest</w:t>
            </w:r>
            <w:r>
              <w:t>s</w:t>
            </w:r>
            <w:r w:rsidRPr="00D742A3">
              <w:t>.</w:t>
            </w:r>
            <w:r>
              <w:t xml:space="preserve"> DELWP were formerly known as the Department of Environment and Primary Industries (DEPI) and the Department of Sustainability and Environment (DSE).</w:t>
            </w:r>
            <w:r w:rsidRPr="00D742A3">
              <w:t xml:space="preserve"> </w:t>
            </w:r>
          </w:p>
        </w:tc>
      </w:tr>
      <w:tr w:rsidR="00D61A6B" w14:paraId="18AB866C" w14:textId="77777777" w:rsidTr="00D61A6B">
        <w:tc>
          <w:tcPr>
            <w:tcW w:w="2357" w:type="dxa"/>
          </w:tcPr>
          <w:p w14:paraId="22284E00" w14:textId="77777777" w:rsidR="00D61A6B" w:rsidRDefault="00D61A6B" w:rsidP="00D61A6B">
            <w:pPr>
              <w:pStyle w:val="Tablesmalltext"/>
            </w:pPr>
            <w:r>
              <w:t>EI</w:t>
            </w:r>
          </w:p>
        </w:tc>
        <w:tc>
          <w:tcPr>
            <w:tcW w:w="7559" w:type="dxa"/>
          </w:tcPr>
          <w:p w14:paraId="7F4517B5" w14:textId="18144C94" w:rsidR="00D61A6B" w:rsidRDefault="00D61A6B" w:rsidP="00D61A6B">
            <w:pPr>
              <w:pStyle w:val="Tablesmalltext"/>
            </w:pPr>
            <w:r>
              <w:t>Environmental impact, as assessed using the EIA rating tool (</w:t>
            </w:r>
            <w:r>
              <w:fldChar w:fldCharType="begin" w:fldLock="1"/>
            </w:r>
            <w:r>
              <w:instrText xml:space="preserve"> REF _Ref13845696 \r \h </w:instrText>
            </w:r>
            <w:r>
              <w:fldChar w:fldCharType="separate"/>
            </w:r>
            <w:r w:rsidR="005544E2">
              <w:t>Appendix B</w:t>
            </w:r>
            <w:r>
              <w:fldChar w:fldCharType="end"/>
            </w:r>
            <w:r>
              <w:t>).</w:t>
            </w:r>
          </w:p>
        </w:tc>
      </w:tr>
      <w:tr w:rsidR="00D61A6B" w14:paraId="1620F969" w14:textId="77777777" w:rsidTr="00D61A6B">
        <w:tc>
          <w:tcPr>
            <w:tcW w:w="2357" w:type="dxa"/>
          </w:tcPr>
          <w:p w14:paraId="0750A6E5" w14:textId="77777777" w:rsidR="00D61A6B" w:rsidRDefault="00D61A6B" w:rsidP="00D61A6B">
            <w:pPr>
              <w:pStyle w:val="Tablesmalltext"/>
            </w:pPr>
            <w:r>
              <w:t>EIA rating tool</w:t>
            </w:r>
          </w:p>
        </w:tc>
        <w:tc>
          <w:tcPr>
            <w:tcW w:w="7559" w:type="dxa"/>
          </w:tcPr>
          <w:p w14:paraId="3C1F4182" w14:textId="3D13BB1C" w:rsidR="00D61A6B" w:rsidRDefault="00D61A6B" w:rsidP="00D61A6B">
            <w:pPr>
              <w:pStyle w:val="Tablesmalltext"/>
            </w:pPr>
            <w:r>
              <w:t xml:space="preserve">A tool developed for the FAP (see </w:t>
            </w:r>
            <w:r w:rsidR="0088261C">
              <w:fldChar w:fldCharType="begin" w:fldLock="1"/>
            </w:r>
            <w:r w:rsidR="0088261C">
              <w:instrText xml:space="preserve"> REF _Ref13845696 \r \h </w:instrText>
            </w:r>
            <w:r w:rsidR="0088261C">
              <w:fldChar w:fldCharType="separate"/>
            </w:r>
            <w:r w:rsidR="005544E2">
              <w:t>Appendix B</w:t>
            </w:r>
            <w:r w:rsidR="0088261C">
              <w:fldChar w:fldCharType="end"/>
            </w:r>
            <w:r>
              <w:t>) to provide a consistent basis for assessing the potential environmental implications of non-compliance with audit criteria.</w:t>
            </w:r>
          </w:p>
        </w:tc>
      </w:tr>
      <w:tr w:rsidR="00D61A6B" w14:paraId="1528F1CE" w14:textId="77777777" w:rsidTr="00D61A6B">
        <w:tc>
          <w:tcPr>
            <w:tcW w:w="2357" w:type="dxa"/>
          </w:tcPr>
          <w:p w14:paraId="0A0CFB2D" w14:textId="77777777" w:rsidR="00D61A6B" w:rsidRDefault="00D61A6B" w:rsidP="00D61A6B">
            <w:pPr>
              <w:pStyle w:val="Tablesmalltext"/>
            </w:pPr>
            <w:r>
              <w:t>FAP</w:t>
            </w:r>
          </w:p>
        </w:tc>
        <w:tc>
          <w:tcPr>
            <w:tcW w:w="7559" w:type="dxa"/>
          </w:tcPr>
          <w:p w14:paraId="2F0CB282" w14:textId="77777777" w:rsidR="00D61A6B" w:rsidRDefault="00D61A6B" w:rsidP="00D61A6B">
            <w:pPr>
              <w:pStyle w:val="Tablesmalltext"/>
            </w:pPr>
            <w:r>
              <w:t>Forest Audit Program – an annual program of environmental audits coordinated by DELWP to ensure that timber production operations in State forests provide for sustainable forest management.</w:t>
            </w:r>
          </w:p>
        </w:tc>
      </w:tr>
      <w:tr w:rsidR="00D61A6B" w14:paraId="067F0B0C" w14:textId="77777777" w:rsidTr="00D61A6B">
        <w:tc>
          <w:tcPr>
            <w:tcW w:w="2357" w:type="dxa"/>
          </w:tcPr>
          <w:p w14:paraId="5ED137BD" w14:textId="77777777" w:rsidR="00D61A6B" w:rsidRDefault="00D61A6B" w:rsidP="00D61A6B">
            <w:pPr>
              <w:pStyle w:val="Tablesmalltext"/>
            </w:pPr>
            <w:r w:rsidRPr="00432516">
              <w:t>Filter strip</w:t>
            </w:r>
          </w:p>
        </w:tc>
        <w:tc>
          <w:tcPr>
            <w:tcW w:w="7559" w:type="dxa"/>
          </w:tcPr>
          <w:p w14:paraId="1B542794" w14:textId="77777777" w:rsidR="00D61A6B" w:rsidRDefault="00D61A6B" w:rsidP="00D61A6B">
            <w:pPr>
              <w:pStyle w:val="Tablesmalltext"/>
            </w:pPr>
            <w:r>
              <w:t>A protective boundary around a drainage line, temporary stream or buffer strip. Trees may be harvested from within the filter strip, although they may not generally be entered by harvesting machines.</w:t>
            </w:r>
          </w:p>
        </w:tc>
      </w:tr>
      <w:tr w:rsidR="00D61A6B" w14:paraId="028DE592" w14:textId="77777777" w:rsidTr="00D61A6B">
        <w:tc>
          <w:tcPr>
            <w:tcW w:w="2357" w:type="dxa"/>
          </w:tcPr>
          <w:p w14:paraId="52D77A43" w14:textId="77777777" w:rsidR="00D61A6B" w:rsidRDefault="00D61A6B" w:rsidP="00D61A6B">
            <w:pPr>
              <w:pStyle w:val="Tablesmalltext"/>
            </w:pPr>
            <w:r>
              <w:t>Forest coupe plan (FCP)</w:t>
            </w:r>
          </w:p>
        </w:tc>
        <w:tc>
          <w:tcPr>
            <w:tcW w:w="7559" w:type="dxa"/>
          </w:tcPr>
          <w:p w14:paraId="2F7A514E" w14:textId="5FC2A034" w:rsidR="00D61A6B" w:rsidRDefault="00D61A6B" w:rsidP="00D61A6B">
            <w:pPr>
              <w:pStyle w:val="Tablesmalltext"/>
            </w:pPr>
            <w:r>
              <w:t xml:space="preserve">A plan that is prepared for each coupe that describes the biophysical character of the coupe and the nature of planned harvesting operations. The minimum </w:t>
            </w:r>
            <w:r w:rsidR="00931AF4">
              <w:t xml:space="preserve">FCP </w:t>
            </w:r>
            <w:r>
              <w:t>content requirements are specified in the Code. The FCP is contained within a coupe file that includes other information, including coupe monitoring records, traffic management provisions and silvicultural operations. The coupe file may also refer to information about the coupe and its operations that is held within a VicForests or DSE information management system.</w:t>
            </w:r>
          </w:p>
        </w:tc>
      </w:tr>
      <w:tr w:rsidR="00D61A6B" w14:paraId="1B17AED6" w14:textId="77777777" w:rsidTr="00D61A6B">
        <w:tc>
          <w:tcPr>
            <w:tcW w:w="2357" w:type="dxa"/>
          </w:tcPr>
          <w:p w14:paraId="18ACC96A" w14:textId="77777777" w:rsidR="00D61A6B" w:rsidRDefault="00D61A6B" w:rsidP="00D61A6B">
            <w:pPr>
              <w:pStyle w:val="Tablesmalltext"/>
            </w:pPr>
            <w:r>
              <w:t>Forest Management Area (FMA)</w:t>
            </w:r>
          </w:p>
        </w:tc>
        <w:tc>
          <w:tcPr>
            <w:tcW w:w="7559" w:type="dxa"/>
          </w:tcPr>
          <w:p w14:paraId="37B7A3E7" w14:textId="77777777" w:rsidR="00D61A6B" w:rsidRDefault="00D61A6B" w:rsidP="00D61A6B">
            <w:pPr>
              <w:pStyle w:val="Tablesmalltext"/>
            </w:pPr>
            <w:r>
              <w:t>The basic regional unit for forest planning used for public land in Victoria. These forest planning units are not administrative units.</w:t>
            </w:r>
          </w:p>
        </w:tc>
      </w:tr>
      <w:tr w:rsidR="00D61A6B" w14:paraId="739819BF" w14:textId="77777777" w:rsidTr="00D61A6B">
        <w:tc>
          <w:tcPr>
            <w:tcW w:w="2357" w:type="dxa"/>
          </w:tcPr>
          <w:p w14:paraId="35E0A031" w14:textId="77777777" w:rsidR="00D61A6B" w:rsidRDefault="00D61A6B" w:rsidP="00D61A6B">
            <w:pPr>
              <w:pStyle w:val="Tablesmalltext"/>
            </w:pPr>
            <w:r>
              <w:t>Incident</w:t>
            </w:r>
          </w:p>
        </w:tc>
        <w:tc>
          <w:tcPr>
            <w:tcW w:w="7559" w:type="dxa"/>
          </w:tcPr>
          <w:p w14:paraId="056E4D4C" w14:textId="77777777" w:rsidR="00D61A6B" w:rsidRDefault="00D61A6B" w:rsidP="00D61A6B">
            <w:pPr>
              <w:pStyle w:val="Tablesmalltext"/>
            </w:pPr>
            <w:r>
              <w:t>An event, action or lack of action on a coupe that gives rise to an assessment of non or partial compliance with an audit criterion. The nature of the audit criteria and various prescriptions mean that a single incident may result in multiple non-compliances.</w:t>
            </w:r>
          </w:p>
        </w:tc>
      </w:tr>
      <w:tr w:rsidR="00D61A6B" w14:paraId="5850060E" w14:textId="77777777" w:rsidTr="00D61A6B">
        <w:tc>
          <w:tcPr>
            <w:tcW w:w="2357" w:type="dxa"/>
          </w:tcPr>
          <w:p w14:paraId="2D20BCFC" w14:textId="77777777" w:rsidR="00D61A6B" w:rsidRDefault="00D61A6B" w:rsidP="00D61A6B">
            <w:pPr>
              <w:pStyle w:val="Tablesmalltext"/>
            </w:pPr>
            <w:r>
              <w:t>In-coupe road</w:t>
            </w:r>
          </w:p>
        </w:tc>
        <w:tc>
          <w:tcPr>
            <w:tcW w:w="7559" w:type="dxa"/>
          </w:tcPr>
          <w:p w14:paraId="5BFEC81E" w14:textId="77777777" w:rsidR="00D61A6B" w:rsidRDefault="00D61A6B" w:rsidP="00D61A6B">
            <w:pPr>
              <w:pStyle w:val="Tablesmalltext"/>
            </w:pPr>
            <w:r>
              <w:t>A temporary road constructed to provide access to landings and/or allow haulage of timber from the coupe.</w:t>
            </w:r>
          </w:p>
        </w:tc>
      </w:tr>
      <w:tr w:rsidR="00D61A6B" w14:paraId="724225AF" w14:textId="77777777" w:rsidTr="00D61A6B">
        <w:tc>
          <w:tcPr>
            <w:tcW w:w="2357" w:type="dxa"/>
          </w:tcPr>
          <w:p w14:paraId="11053B27" w14:textId="77777777" w:rsidR="00D61A6B" w:rsidRPr="00432516" w:rsidRDefault="00D61A6B" w:rsidP="00D61A6B">
            <w:pPr>
              <w:pStyle w:val="Tablesmalltext"/>
            </w:pPr>
            <w:r w:rsidRPr="00432516">
              <w:t>Landing</w:t>
            </w:r>
          </w:p>
        </w:tc>
        <w:tc>
          <w:tcPr>
            <w:tcW w:w="7559" w:type="dxa"/>
          </w:tcPr>
          <w:p w14:paraId="10BB0882" w14:textId="77777777" w:rsidR="00D61A6B" w:rsidRDefault="00D61A6B" w:rsidP="00D61A6B">
            <w:pPr>
              <w:pStyle w:val="Tablesmalltext"/>
            </w:pPr>
            <w:r>
              <w:t>An area within the coupe that is specifically developed to sort, process and/or load trees or parts of trees for transport from the forest. Top soil is removed before landings are developed. Landings must be rehabilitated at coupe closure (including by re-spreading top soil) unless they are to be used for an adjacent coupe.</w:t>
            </w:r>
          </w:p>
        </w:tc>
      </w:tr>
      <w:tr w:rsidR="00D61A6B" w14:paraId="6D34B57C" w14:textId="77777777" w:rsidTr="00D61A6B">
        <w:tc>
          <w:tcPr>
            <w:tcW w:w="2357" w:type="dxa"/>
          </w:tcPr>
          <w:p w14:paraId="6EACAF32" w14:textId="77777777" w:rsidR="00D61A6B" w:rsidRDefault="00D61A6B" w:rsidP="00D61A6B">
            <w:pPr>
              <w:pStyle w:val="Tablesmalltext"/>
            </w:pPr>
            <w:r>
              <w:t>MSP</w:t>
            </w:r>
          </w:p>
        </w:tc>
        <w:tc>
          <w:tcPr>
            <w:tcW w:w="7559" w:type="dxa"/>
          </w:tcPr>
          <w:p w14:paraId="71C9FE7B" w14:textId="77777777" w:rsidR="00D61A6B" w:rsidRDefault="00D61A6B" w:rsidP="00D61A6B">
            <w:pPr>
              <w:pStyle w:val="Tablesmalltext"/>
            </w:pPr>
            <w:r w:rsidRPr="00D742A3">
              <w:rPr>
                <w:i/>
              </w:rPr>
              <w:t>Management standards and procedures for timber harvesting operations in Victoria’s State forests 2014</w:t>
            </w:r>
            <w:r>
              <w:rPr>
                <w:i/>
              </w:rPr>
              <w:t>.</w:t>
            </w:r>
            <w:r w:rsidRPr="00D742A3">
              <w:rPr>
                <w:i/>
              </w:rPr>
              <w:t xml:space="preserve"> </w:t>
            </w:r>
            <w:r>
              <w:rPr>
                <w:szCs w:val="20"/>
              </w:rPr>
              <w:t xml:space="preserve">They are designed to </w:t>
            </w:r>
            <w:r w:rsidRPr="001447ED">
              <w:rPr>
                <w:szCs w:val="20"/>
              </w:rPr>
              <w:t xml:space="preserve">help interpret the Code for timber harvesting </w:t>
            </w:r>
            <w:r>
              <w:rPr>
                <w:szCs w:val="20"/>
              </w:rPr>
              <w:t xml:space="preserve">and related </w:t>
            </w:r>
            <w:r w:rsidRPr="001447ED">
              <w:rPr>
                <w:szCs w:val="20"/>
              </w:rPr>
              <w:t>activities in State forest</w:t>
            </w:r>
            <w:r>
              <w:rPr>
                <w:szCs w:val="20"/>
              </w:rPr>
              <w:t>s</w:t>
            </w:r>
            <w:r w:rsidRPr="001447ED">
              <w:rPr>
                <w:szCs w:val="20"/>
              </w:rPr>
              <w:t xml:space="preserve">. They are a secondary source of mandatory prescriptions for forest management. </w:t>
            </w:r>
          </w:p>
        </w:tc>
      </w:tr>
      <w:tr w:rsidR="00D61A6B" w14:paraId="694AE76A" w14:textId="77777777" w:rsidTr="00D61A6B">
        <w:tc>
          <w:tcPr>
            <w:tcW w:w="2357" w:type="dxa"/>
          </w:tcPr>
          <w:p w14:paraId="1A23392E" w14:textId="77777777" w:rsidR="00D61A6B" w:rsidRDefault="00D61A6B" w:rsidP="00D61A6B">
            <w:pPr>
              <w:pStyle w:val="Tablesmalltext"/>
            </w:pPr>
            <w:r>
              <w:t>PS</w:t>
            </w:r>
          </w:p>
        </w:tc>
        <w:tc>
          <w:tcPr>
            <w:tcW w:w="7559" w:type="dxa"/>
          </w:tcPr>
          <w:p w14:paraId="5455592D" w14:textId="77777777" w:rsidR="00D61A6B" w:rsidRPr="00D742A3" w:rsidRDefault="00D61A6B" w:rsidP="00D61A6B">
            <w:pPr>
              <w:pStyle w:val="Tablesmalltext"/>
              <w:rPr>
                <w:i/>
              </w:rPr>
            </w:pPr>
            <w:r>
              <w:rPr>
                <w:i/>
              </w:rPr>
              <w:t xml:space="preserve">Planning standards for timber harvesting operations in Victoria’s State forests </w:t>
            </w:r>
            <w:r w:rsidRPr="00E10E7B">
              <w:rPr>
                <w:i/>
              </w:rPr>
              <w:t>2014</w:t>
            </w:r>
            <w:r>
              <w:rPr>
                <w:i/>
              </w:rPr>
              <w:t xml:space="preserve">. </w:t>
            </w:r>
            <w:r w:rsidRPr="00E10E7B">
              <w:t>Append</w:t>
            </w:r>
            <w:r>
              <w:t>ix 5 to the MSPs.</w:t>
            </w:r>
          </w:p>
        </w:tc>
      </w:tr>
      <w:tr w:rsidR="00D61A6B" w14:paraId="2E8D3DED" w14:textId="77777777" w:rsidTr="00D61A6B">
        <w:tc>
          <w:tcPr>
            <w:tcW w:w="2357" w:type="dxa"/>
          </w:tcPr>
          <w:p w14:paraId="799CC610" w14:textId="77777777" w:rsidR="00D61A6B" w:rsidRDefault="00D61A6B" w:rsidP="00D61A6B">
            <w:pPr>
              <w:pStyle w:val="Tablesmalltext"/>
            </w:pPr>
            <w:r>
              <w:lastRenderedPageBreak/>
              <w:t>Rainforest stand</w:t>
            </w:r>
          </w:p>
        </w:tc>
        <w:tc>
          <w:tcPr>
            <w:tcW w:w="7559" w:type="dxa"/>
          </w:tcPr>
          <w:p w14:paraId="0E675DFC" w14:textId="77777777" w:rsidR="00D61A6B" w:rsidRPr="001D6B3F" w:rsidRDefault="00D61A6B" w:rsidP="00D61A6B">
            <w:pPr>
              <w:pStyle w:val="Tablesmalltext"/>
            </w:pPr>
            <w:r>
              <w:t>Patch of rainforest vegetation that meets the minimum species composition, size and projected foliage cover requirements of MSP 4.4.7 and 4.4.8 for recognition as a rainforest stand.</w:t>
            </w:r>
          </w:p>
        </w:tc>
      </w:tr>
      <w:tr w:rsidR="00D61A6B" w14:paraId="498D661D" w14:textId="77777777" w:rsidTr="00D61A6B">
        <w:tc>
          <w:tcPr>
            <w:tcW w:w="2357" w:type="dxa"/>
          </w:tcPr>
          <w:p w14:paraId="7B8D7B78" w14:textId="77777777" w:rsidR="00D61A6B" w:rsidRDefault="00D61A6B" w:rsidP="00D61A6B">
            <w:pPr>
              <w:pStyle w:val="Tablesmalltext"/>
            </w:pPr>
            <w:r>
              <w:t>Rainforest vegetation</w:t>
            </w:r>
          </w:p>
        </w:tc>
        <w:tc>
          <w:tcPr>
            <w:tcW w:w="7559" w:type="dxa"/>
          </w:tcPr>
          <w:p w14:paraId="7DC6AAA5" w14:textId="77777777" w:rsidR="00D61A6B" w:rsidRPr="00A43BE8" w:rsidRDefault="00D61A6B" w:rsidP="00D61A6B">
            <w:pPr>
              <w:pStyle w:val="Tablesmalltext"/>
            </w:pPr>
            <w:r>
              <w:t xml:space="preserve">A patch of vegetation comprised of recognised rainforest canopy species, as per MSP 4.4.7. </w:t>
            </w:r>
          </w:p>
        </w:tc>
      </w:tr>
      <w:tr w:rsidR="00D61A6B" w14:paraId="020EDE9B" w14:textId="77777777" w:rsidTr="00D61A6B">
        <w:tc>
          <w:tcPr>
            <w:tcW w:w="2357" w:type="dxa"/>
          </w:tcPr>
          <w:p w14:paraId="50934F36" w14:textId="77777777" w:rsidR="00D61A6B" w:rsidRDefault="00D61A6B" w:rsidP="00D61A6B">
            <w:pPr>
              <w:pStyle w:val="Tablesmalltext"/>
            </w:pPr>
            <w:r w:rsidRPr="008C3294">
              <w:t>Rough heaping</w:t>
            </w:r>
          </w:p>
        </w:tc>
        <w:tc>
          <w:tcPr>
            <w:tcW w:w="7559" w:type="dxa"/>
          </w:tcPr>
          <w:p w14:paraId="3E529AF1" w14:textId="14CA15BE" w:rsidR="00D61A6B" w:rsidRDefault="00D61A6B" w:rsidP="00D61A6B">
            <w:pPr>
              <w:pStyle w:val="Tablesmalltext"/>
            </w:pPr>
            <w:r>
              <w:t xml:space="preserve">A method of preparing coupes for regeneration, generally following failure of initial attempts. Remaining woody material is pushed into heaps and burnt. Soils, </w:t>
            </w:r>
            <w:r w:rsidR="00F42977">
              <w:t>understorey</w:t>
            </w:r>
            <w:r>
              <w:t xml:space="preserve"> and coupe infrastructure are disturbed by machinery to create a receptive seed bed.</w:t>
            </w:r>
          </w:p>
        </w:tc>
      </w:tr>
      <w:tr w:rsidR="00D61A6B" w:rsidRPr="004D1628" w14:paraId="394CE45C" w14:textId="77777777" w:rsidTr="00D61A6B">
        <w:tc>
          <w:tcPr>
            <w:tcW w:w="2357" w:type="dxa"/>
          </w:tcPr>
          <w:p w14:paraId="0F7E85A0" w14:textId="77777777" w:rsidR="00D61A6B" w:rsidRDefault="00D61A6B" w:rsidP="00D61A6B">
            <w:pPr>
              <w:pStyle w:val="Tablesmalltext"/>
            </w:pPr>
            <w:r w:rsidRPr="008C3294">
              <w:t>Snig track</w:t>
            </w:r>
          </w:p>
        </w:tc>
        <w:tc>
          <w:tcPr>
            <w:tcW w:w="7559" w:type="dxa"/>
          </w:tcPr>
          <w:p w14:paraId="03D91024" w14:textId="77777777" w:rsidR="00D61A6B" w:rsidRPr="004D1628" w:rsidRDefault="00D61A6B" w:rsidP="00D61A6B">
            <w:pPr>
              <w:pStyle w:val="Tablesmalltext"/>
            </w:pPr>
            <w:r>
              <w:t>A track through a harvested coupe along which harvested logs are towed or winched, normally towards a landing.</w:t>
            </w:r>
          </w:p>
        </w:tc>
      </w:tr>
      <w:tr w:rsidR="00D61A6B" w:rsidRPr="004D1628" w14:paraId="26B52B05" w14:textId="77777777" w:rsidTr="00D61A6B">
        <w:tc>
          <w:tcPr>
            <w:tcW w:w="2357" w:type="dxa"/>
          </w:tcPr>
          <w:p w14:paraId="55E16880" w14:textId="77777777" w:rsidR="00D61A6B" w:rsidRPr="008C3294" w:rsidRDefault="00D61A6B" w:rsidP="00D61A6B">
            <w:pPr>
              <w:pStyle w:val="Tablesmalltext"/>
            </w:pPr>
            <w:r>
              <w:t>Soil erosion hazard</w:t>
            </w:r>
          </w:p>
        </w:tc>
        <w:tc>
          <w:tcPr>
            <w:tcW w:w="7559" w:type="dxa"/>
          </w:tcPr>
          <w:p w14:paraId="4372D07D" w14:textId="77777777" w:rsidR="00D61A6B" w:rsidRDefault="00D61A6B" w:rsidP="00D61A6B">
            <w:pPr>
              <w:pStyle w:val="Tablesmalltext"/>
            </w:pPr>
            <w:r>
              <w:t>Soil erosion hazard (or SEH) is a composite index of the potential for soil erosion to occur within a forest coupe. SEH is based on field assessments of soil texture, aggregate stability, structure, colour, organic content, mottling and stoniness. It also takes account of the erosivity of rainfall at the location, average slope, slope length, tree size and revegetation capacity. The method of calculation is described in the MSP (DEPI, 2014b). SEH is assessed for each coupe during harvest planning.</w:t>
            </w:r>
          </w:p>
        </w:tc>
      </w:tr>
      <w:tr w:rsidR="00D61A6B" w14:paraId="4E851576" w14:textId="77777777" w:rsidTr="00D61A6B">
        <w:tc>
          <w:tcPr>
            <w:tcW w:w="2357" w:type="dxa"/>
          </w:tcPr>
          <w:p w14:paraId="0F402FF8" w14:textId="77777777" w:rsidR="00D61A6B" w:rsidRDefault="00D61A6B" w:rsidP="00D61A6B">
            <w:pPr>
              <w:pStyle w:val="Tablesmalltext"/>
            </w:pPr>
            <w:r>
              <w:t>State forest</w:t>
            </w:r>
          </w:p>
        </w:tc>
        <w:tc>
          <w:tcPr>
            <w:tcW w:w="7559" w:type="dxa"/>
          </w:tcPr>
          <w:p w14:paraId="2C7CE5B5" w14:textId="77777777" w:rsidR="00D61A6B" w:rsidRDefault="00D61A6B" w:rsidP="00D61A6B">
            <w:pPr>
              <w:pStyle w:val="Tablesmalltext"/>
            </w:pPr>
            <w:r>
              <w:t>Publicly-owned and managed forest estate. Victoria has 3.4 millio</w:t>
            </w:r>
            <w:r w:rsidRPr="008C3294">
              <w:t xml:space="preserve">n ha of State forest. State forest is managed for </w:t>
            </w:r>
            <w:r>
              <w:t>multiple</w:t>
            </w:r>
            <w:r w:rsidRPr="008C3294">
              <w:t xml:space="preserve"> beneficial uses</w:t>
            </w:r>
            <w:r>
              <w:t>,</w:t>
            </w:r>
            <w:r w:rsidRPr="008C3294">
              <w:t xml:space="preserve"> including conserving flora and fauna, protecting water catchments and water supply, providing timber for sustainable forestry, protecting landscape, archaeological and historic values, and providing recreational and educational opportunities</w:t>
            </w:r>
            <w:r>
              <w:t xml:space="preserve">. </w:t>
            </w:r>
          </w:p>
        </w:tc>
      </w:tr>
      <w:tr w:rsidR="00D61A6B" w14:paraId="6101FEBC" w14:textId="77777777" w:rsidTr="00D61A6B">
        <w:tc>
          <w:tcPr>
            <w:tcW w:w="2357" w:type="dxa"/>
          </w:tcPr>
          <w:p w14:paraId="62953F5C" w14:textId="77777777" w:rsidR="00D61A6B" w:rsidRDefault="00D61A6B" w:rsidP="00D61A6B">
            <w:pPr>
              <w:pStyle w:val="Tablesmalltext"/>
            </w:pPr>
            <w:r>
              <w:t>Timber Release Plan (TRP)</w:t>
            </w:r>
          </w:p>
        </w:tc>
        <w:tc>
          <w:tcPr>
            <w:tcW w:w="7559" w:type="dxa"/>
          </w:tcPr>
          <w:p w14:paraId="12AC910E" w14:textId="77777777" w:rsidR="00D61A6B" w:rsidRDefault="00D61A6B" w:rsidP="00D61A6B">
            <w:pPr>
              <w:pStyle w:val="Tablesmalltext"/>
            </w:pPr>
            <w:r>
              <w:t>Timber resources in State forests in eastern Victoria are allocated to VicForests for the purposes of harvesting and/or selling through the Allocation to VicForests Order 2004 (as amended). The Allocation Order specifies the extent and location of the forest stands to which VicForests has access under this Order. VicForests must prepare a Timber Release Plan for allocated areas.</w:t>
            </w:r>
          </w:p>
          <w:p w14:paraId="01457765" w14:textId="77777777" w:rsidR="00D61A6B" w:rsidRDefault="00D61A6B" w:rsidP="00D61A6B">
            <w:pPr>
              <w:pStyle w:val="Tablesmalltext"/>
            </w:pPr>
            <w:r>
              <w:t xml:space="preserve">Timber Release Plans (TRPs) are publicly available documents that must include: a schedule of coupes selected for timber harvesting and associated access road requirements; details of the location and approximate timing of timber harvesting in the proposed coupes; and details of the location of any associated access roads. They are prepared by VicForests in accordance with Part 5 of the </w:t>
            </w:r>
            <w:r w:rsidRPr="008C3294">
              <w:rPr>
                <w:i/>
              </w:rPr>
              <w:t>Sustainable Forests (Timber) Act</w:t>
            </w:r>
            <w:r>
              <w:t xml:space="preserve"> 2004 and may be reviewed and changed in accordance with Section 43.</w:t>
            </w:r>
          </w:p>
        </w:tc>
      </w:tr>
      <w:tr w:rsidR="00D61A6B" w14:paraId="5974E3C5" w14:textId="77777777" w:rsidTr="00D61A6B">
        <w:tc>
          <w:tcPr>
            <w:tcW w:w="2357" w:type="dxa"/>
          </w:tcPr>
          <w:p w14:paraId="2496501C" w14:textId="77777777" w:rsidR="00D61A6B" w:rsidRDefault="00D61A6B" w:rsidP="00D61A6B">
            <w:pPr>
              <w:pStyle w:val="Tablesmalltext"/>
            </w:pPr>
            <w:r>
              <w:t>UP</w:t>
            </w:r>
          </w:p>
        </w:tc>
        <w:tc>
          <w:tcPr>
            <w:tcW w:w="7559" w:type="dxa"/>
          </w:tcPr>
          <w:p w14:paraId="358C10FF" w14:textId="66657313" w:rsidR="00D61A6B" w:rsidRDefault="00D61A6B" w:rsidP="00D61A6B">
            <w:pPr>
              <w:pStyle w:val="Tablesmalltext"/>
            </w:pPr>
            <w:r>
              <w:t>VicForests</w:t>
            </w:r>
            <w:r w:rsidR="0088261C">
              <w:t>’</w:t>
            </w:r>
            <w:r>
              <w:t xml:space="preserve"> Utilisation Procedures. Operational procedures used by VicForests and its contractors in their management of harvesting and in-coupe roading operations. The UPs typically apply Code and MSP requirements.</w:t>
            </w:r>
          </w:p>
        </w:tc>
      </w:tr>
    </w:tbl>
    <w:p w14:paraId="7452F44D" w14:textId="77777777" w:rsidR="00D61A6B" w:rsidRPr="007A0544" w:rsidRDefault="00D61A6B" w:rsidP="00D61A6B">
      <w:pPr>
        <w:pStyle w:val="Para0"/>
      </w:pPr>
    </w:p>
    <w:p w14:paraId="2D7311DB" w14:textId="77777777" w:rsidR="00032E15" w:rsidRPr="00032E15" w:rsidRDefault="00032E15" w:rsidP="00032E15">
      <w:pPr>
        <w:pStyle w:val="Heading1"/>
      </w:pPr>
      <w:bookmarkStart w:id="7" w:name="_Toc33202262"/>
      <w:r w:rsidRPr="00032E15">
        <w:lastRenderedPageBreak/>
        <w:t>Introduction</w:t>
      </w:r>
      <w:bookmarkEnd w:id="6"/>
      <w:bookmarkEnd w:id="7"/>
    </w:p>
    <w:p w14:paraId="3280B6FB" w14:textId="77777777" w:rsidR="0036050D" w:rsidRDefault="0036050D" w:rsidP="0036050D">
      <w:pPr>
        <w:pStyle w:val="Heading2"/>
      </w:pPr>
      <w:bookmarkStart w:id="8" w:name="_Toc1036587"/>
      <w:bookmarkStart w:id="9" w:name="_Toc21354770"/>
      <w:bookmarkStart w:id="10" w:name="_Toc33202263"/>
      <w:r>
        <w:t>Sustainable Forest Management in Victoria</w:t>
      </w:r>
      <w:bookmarkEnd w:id="8"/>
      <w:bookmarkEnd w:id="9"/>
      <w:bookmarkEnd w:id="10"/>
    </w:p>
    <w:p w14:paraId="0EF88C69" w14:textId="77777777" w:rsidR="0036050D" w:rsidRDefault="0036050D" w:rsidP="0036050D">
      <w:pPr>
        <w:pStyle w:val="Para0"/>
      </w:pPr>
      <w:r>
        <w:t xml:space="preserve">The legislative framework for the harvesting and management of timber resources in Victoria’s State forests is provided by the </w:t>
      </w:r>
      <w:r>
        <w:rPr>
          <w:i/>
        </w:rPr>
        <w:t xml:space="preserve">Forests Act </w:t>
      </w:r>
      <w:r w:rsidRPr="00672328">
        <w:rPr>
          <w:i/>
        </w:rPr>
        <w:t>1958</w:t>
      </w:r>
      <w:r>
        <w:rPr>
          <w:i/>
        </w:rPr>
        <w:t xml:space="preserve">, </w:t>
      </w:r>
      <w:r>
        <w:t xml:space="preserve">the </w:t>
      </w:r>
      <w:r>
        <w:rPr>
          <w:i/>
        </w:rPr>
        <w:t xml:space="preserve">Conservation, Forests and Lands Act 1987 </w:t>
      </w:r>
      <w:r w:rsidRPr="00084EF5">
        <w:t>(the CFL Act)</w:t>
      </w:r>
      <w:r>
        <w:rPr>
          <w:i/>
        </w:rPr>
        <w:t xml:space="preserve"> </w:t>
      </w:r>
      <w:r>
        <w:t xml:space="preserve">and the </w:t>
      </w:r>
      <w:r w:rsidRPr="003B4EF0">
        <w:rPr>
          <w:i/>
        </w:rPr>
        <w:t>Sustainable Forests (Timber) Act</w:t>
      </w:r>
      <w:r>
        <w:t xml:space="preserve"> </w:t>
      </w:r>
      <w:r w:rsidRPr="008D2727">
        <w:rPr>
          <w:i/>
        </w:rPr>
        <w:t>2004</w:t>
      </w:r>
      <w:r>
        <w:t xml:space="preserve"> (the SFT Act). The latter establishes the current regulatory framework for the sustainable management of Victoria’s State forests.</w:t>
      </w:r>
    </w:p>
    <w:p w14:paraId="702F47B9" w14:textId="77777777" w:rsidR="0036050D" w:rsidRDefault="0036050D" w:rsidP="0036050D">
      <w:pPr>
        <w:pStyle w:val="Para0"/>
      </w:pPr>
      <w:r>
        <w:t>Under the SFT Act, harvesting of timber from public land by VicForests is to be conducted in a manner which has regard to the principles of ecologically sustainable development. The Act provides for the development of a Sustainability Charter, which sets out the State’s objectives for sustainable forest management. These objectives (DSE, 2006) are to:</w:t>
      </w:r>
    </w:p>
    <w:p w14:paraId="60DF6B28" w14:textId="77777777" w:rsidR="0036050D" w:rsidRDefault="0036050D" w:rsidP="00E74AFC">
      <w:pPr>
        <w:pStyle w:val="Para0bullet"/>
        <w:numPr>
          <w:ilvl w:val="0"/>
          <w:numId w:val="72"/>
        </w:numPr>
      </w:pPr>
      <w:r>
        <w:t>Maintain and conserve biodiversity in State forests;</w:t>
      </w:r>
    </w:p>
    <w:p w14:paraId="761ECD8C" w14:textId="77777777" w:rsidR="0036050D" w:rsidRDefault="0036050D" w:rsidP="00E74AFC">
      <w:pPr>
        <w:pStyle w:val="Para0bullet"/>
        <w:numPr>
          <w:ilvl w:val="0"/>
          <w:numId w:val="72"/>
        </w:numPr>
      </w:pPr>
      <w:r>
        <w:t>Maintain and improve the capacity of forest ecosystems to produce wood and non-wood products;</w:t>
      </w:r>
    </w:p>
    <w:p w14:paraId="16C062E8" w14:textId="77777777" w:rsidR="0036050D" w:rsidRDefault="0036050D" w:rsidP="00E74AFC">
      <w:pPr>
        <w:pStyle w:val="Para0bullet"/>
        <w:numPr>
          <w:ilvl w:val="0"/>
          <w:numId w:val="72"/>
        </w:numPr>
      </w:pPr>
      <w:r>
        <w:t>Promote healthy forests by actively managing disturbance;</w:t>
      </w:r>
    </w:p>
    <w:p w14:paraId="6D9F193F" w14:textId="77777777" w:rsidR="0036050D" w:rsidRDefault="0036050D" w:rsidP="00E74AFC">
      <w:pPr>
        <w:pStyle w:val="Para0bullet"/>
        <w:numPr>
          <w:ilvl w:val="0"/>
          <w:numId w:val="72"/>
        </w:numPr>
      </w:pPr>
      <w:r>
        <w:t>Maintain and conserve the soil and water resources of State forests;</w:t>
      </w:r>
    </w:p>
    <w:p w14:paraId="0B988438" w14:textId="77777777" w:rsidR="0036050D" w:rsidRDefault="0036050D" w:rsidP="00E74AFC">
      <w:pPr>
        <w:pStyle w:val="Para0bullet"/>
        <w:numPr>
          <w:ilvl w:val="0"/>
          <w:numId w:val="72"/>
        </w:numPr>
      </w:pPr>
      <w:r>
        <w:t>Maintain and better understand the role of Victoria’s State forests in global carbon cycles;</w:t>
      </w:r>
    </w:p>
    <w:p w14:paraId="75151568" w14:textId="77777777" w:rsidR="0036050D" w:rsidRDefault="0036050D" w:rsidP="00E74AFC">
      <w:pPr>
        <w:pStyle w:val="Para0bullet"/>
        <w:numPr>
          <w:ilvl w:val="0"/>
          <w:numId w:val="72"/>
        </w:numPr>
      </w:pPr>
      <w:r>
        <w:t>Maintain and enhance the socio-economic bene</w:t>
      </w:r>
      <w:r>
        <w:rPr>
          <w:rFonts w:cs="Arial"/>
        </w:rPr>
        <w:t xml:space="preserve">fits </w:t>
      </w:r>
      <w:r>
        <w:t>of State forests to Victorian communities;</w:t>
      </w:r>
    </w:p>
    <w:p w14:paraId="44E33868" w14:textId="77777777" w:rsidR="0036050D" w:rsidRDefault="0036050D" w:rsidP="00E74AFC">
      <w:pPr>
        <w:pStyle w:val="Para0bullet"/>
        <w:numPr>
          <w:ilvl w:val="0"/>
          <w:numId w:val="72"/>
        </w:numPr>
      </w:pPr>
      <w:r>
        <w:t>Ensure Victoria’s legal, institutional and economic frameworks effectively support the sustainable management of State forests.</w:t>
      </w:r>
    </w:p>
    <w:p w14:paraId="5BF7D0E9" w14:textId="77777777" w:rsidR="0036050D" w:rsidRDefault="0036050D" w:rsidP="0036050D">
      <w:pPr>
        <w:pStyle w:val="Para0"/>
      </w:pPr>
      <w:r>
        <w:t xml:space="preserve">The SFT Act requires VicForests and its contractors to comply with relevant Codes of Practice. Under the CFL Act, the Minister may make such Codes of Practice, including for sustainable forest management, to specify management standards and procedures. </w:t>
      </w:r>
    </w:p>
    <w:p w14:paraId="4D166066" w14:textId="77777777" w:rsidR="0036050D" w:rsidRDefault="0036050D" w:rsidP="0036050D">
      <w:pPr>
        <w:pStyle w:val="Para0"/>
      </w:pPr>
      <w:r>
        <w:t xml:space="preserve">The regulatory framework for sustainable forest management requires organisations and individuals undertaking commercial timber harvesting on public land to comply with two Codes of Practice, the </w:t>
      </w:r>
      <w:r w:rsidRPr="000A404F">
        <w:rPr>
          <w:i/>
        </w:rPr>
        <w:t>Code of Practice for Timber Production</w:t>
      </w:r>
      <w:r>
        <w:t xml:space="preserve"> </w:t>
      </w:r>
      <w:r w:rsidRPr="00FF40B3">
        <w:rPr>
          <w:i/>
        </w:rPr>
        <w:t>2014</w:t>
      </w:r>
      <w:r>
        <w:t xml:space="preserve"> (the Code; DEPI, 2014a) and the </w:t>
      </w:r>
      <w:r w:rsidRPr="000A404F">
        <w:rPr>
          <w:i/>
        </w:rPr>
        <w:t>Code of Practice for Bushfire Management on Public Land</w:t>
      </w:r>
      <w:r>
        <w:rPr>
          <w:i/>
        </w:rPr>
        <w:t xml:space="preserve"> 2012</w:t>
      </w:r>
      <w:r>
        <w:t xml:space="preserve">, as well as various management prescriptions and guidelines. These Codes of Practice are administered by the Department of Environment, Land, Water and Planning (DELWP) on behalf of the Minister. </w:t>
      </w:r>
    </w:p>
    <w:p w14:paraId="6E7CF627" w14:textId="77777777" w:rsidR="0036050D" w:rsidRDefault="0036050D" w:rsidP="0036050D">
      <w:pPr>
        <w:pStyle w:val="Para0"/>
      </w:pPr>
      <w:r>
        <w:t>The SFT Act provides for the Minister to seek an audit of VicForests’ compliance with relevant Codes of Practice. If such an audit includes any adverse findings against VicForests, the Minister must make those adverse findings available to VicForests and VicForests must prepare a written response to those findings, including details of measures VicForests intends to undertake or has undertaken to improve compliance with the relevant Code of Practice. Any adverse findings of an audit and VicForests response(s) to these are to be made available to the public.</w:t>
      </w:r>
    </w:p>
    <w:p w14:paraId="4AFC32D9" w14:textId="77777777" w:rsidR="0036050D" w:rsidRDefault="0036050D" w:rsidP="0036050D">
      <w:pPr>
        <w:pStyle w:val="Para0"/>
      </w:pPr>
      <w:r>
        <w:t>In reviewing VicForests’ Allocation Order, the SFT Act requires that the Minister will also have regard to VicForests’ compliance with such Codes of Practice.</w:t>
      </w:r>
    </w:p>
    <w:p w14:paraId="48379243" w14:textId="77777777" w:rsidR="0036050D" w:rsidRDefault="0036050D" w:rsidP="0036050D">
      <w:pPr>
        <w:pStyle w:val="Heading2"/>
      </w:pPr>
      <w:bookmarkStart w:id="11" w:name="_Toc1036588"/>
      <w:bookmarkStart w:id="12" w:name="_Toc21354771"/>
      <w:bookmarkStart w:id="13" w:name="_Toc33202264"/>
      <w:r>
        <w:t>Forest Audit Program</w:t>
      </w:r>
      <w:bookmarkEnd w:id="11"/>
      <w:bookmarkEnd w:id="12"/>
      <w:bookmarkEnd w:id="13"/>
    </w:p>
    <w:p w14:paraId="16F2EF9B" w14:textId="5EB751B9" w:rsidR="0036050D" w:rsidRDefault="0036050D" w:rsidP="0036050D">
      <w:pPr>
        <w:pStyle w:val="Para0"/>
      </w:pPr>
      <w:r>
        <w:t xml:space="preserve">Since 2002, environmental auditors appointed under the </w:t>
      </w:r>
      <w:r>
        <w:rPr>
          <w:i/>
        </w:rPr>
        <w:t xml:space="preserve">Environment Protection </w:t>
      </w:r>
      <w:r w:rsidRPr="003B4EF0">
        <w:rPr>
          <w:i/>
        </w:rPr>
        <w:t>Act</w:t>
      </w:r>
      <w:r>
        <w:t xml:space="preserve"> </w:t>
      </w:r>
      <w:r w:rsidRPr="008D2727">
        <w:rPr>
          <w:i/>
        </w:rPr>
        <w:t>1970</w:t>
      </w:r>
      <w:r>
        <w:t xml:space="preserve"> </w:t>
      </w:r>
      <w:r w:rsidRPr="003B4EF0">
        <w:t>have</w:t>
      </w:r>
      <w:r>
        <w:t xml:space="preserve"> been engaged to undertake audits of timber harvesting operations in Victoria’s State forests. These audits have </w:t>
      </w:r>
      <w:r>
        <w:lastRenderedPageBreak/>
        <w:t>assessed compliance with the Code and related standards and management procedures. This program of audits has been delivered by DELWP</w:t>
      </w:r>
      <w:r w:rsidR="007E0985">
        <w:rPr>
          <w:rFonts w:ascii="ZWAdobeF" w:hAnsi="ZWAdobeF" w:cs="ZWAdobeF"/>
          <w:sz w:val="2"/>
          <w:szCs w:val="2"/>
        </w:rPr>
        <w:t>2F</w:t>
      </w:r>
      <w:r>
        <w:rPr>
          <w:rStyle w:val="FootnoteReference"/>
        </w:rPr>
        <w:footnoteReference w:id="3"/>
      </w:r>
      <w:r>
        <w:t xml:space="preserve">, under its Forest Audit Program (FAP) since 2010. </w:t>
      </w:r>
    </w:p>
    <w:p w14:paraId="00DEC9EE" w14:textId="77777777" w:rsidR="0036050D" w:rsidRDefault="0036050D" w:rsidP="0036050D">
      <w:pPr>
        <w:pStyle w:val="Heading1"/>
      </w:pPr>
      <w:bookmarkStart w:id="14" w:name="_Toc1036589"/>
      <w:bookmarkStart w:id="15" w:name="_Toc21354772"/>
      <w:bookmarkStart w:id="16" w:name="_Toc33202265"/>
      <w:r>
        <w:lastRenderedPageBreak/>
        <w:t>Audit scope</w:t>
      </w:r>
      <w:bookmarkEnd w:id="14"/>
      <w:bookmarkEnd w:id="15"/>
      <w:bookmarkEnd w:id="16"/>
    </w:p>
    <w:p w14:paraId="7DF560E9" w14:textId="77777777" w:rsidR="0036050D" w:rsidRDefault="0036050D" w:rsidP="0036050D">
      <w:pPr>
        <w:pStyle w:val="Heading2"/>
      </w:pPr>
      <w:bookmarkStart w:id="17" w:name="_Ref956352"/>
      <w:bookmarkStart w:id="18" w:name="_Toc1036590"/>
      <w:bookmarkStart w:id="19" w:name="_Toc21354773"/>
      <w:bookmarkStart w:id="20" w:name="_Toc33202266"/>
      <w:r>
        <w:t>Audit objectives</w:t>
      </w:r>
      <w:bookmarkEnd w:id="17"/>
      <w:bookmarkEnd w:id="18"/>
      <w:bookmarkEnd w:id="19"/>
      <w:bookmarkEnd w:id="20"/>
    </w:p>
    <w:p w14:paraId="4993C65A" w14:textId="77777777" w:rsidR="0036050D" w:rsidRDefault="0036050D" w:rsidP="0036050D">
      <w:pPr>
        <w:pStyle w:val="Para0"/>
      </w:pPr>
      <w:r>
        <w:t>The FAP enables DELWP to commission an environmental auditor to provide an objective and independent assessment of:</w:t>
      </w:r>
    </w:p>
    <w:p w14:paraId="452D4BE1" w14:textId="77777777" w:rsidR="0036050D" w:rsidRDefault="0036050D" w:rsidP="00E74AFC">
      <w:pPr>
        <w:pStyle w:val="Para0bullet"/>
        <w:numPr>
          <w:ilvl w:val="0"/>
          <w:numId w:val="72"/>
        </w:numPr>
      </w:pPr>
      <w:r>
        <w:t>Compliance by VicForests and their contractors with prescriptions for timber harvesting and related forestry operations outlined in the regulatory framework; and</w:t>
      </w:r>
    </w:p>
    <w:p w14:paraId="75C4C0C4" w14:textId="77777777" w:rsidR="0036050D" w:rsidRDefault="0036050D" w:rsidP="00E74AFC">
      <w:pPr>
        <w:pStyle w:val="Para0bullet"/>
        <w:numPr>
          <w:ilvl w:val="0"/>
          <w:numId w:val="72"/>
        </w:numPr>
      </w:pPr>
      <w:r>
        <w:t>Environmental performance of timber harvesting operations in Victoria’s State forests, and any associated risks of harm to the environment.</w:t>
      </w:r>
    </w:p>
    <w:p w14:paraId="18240ABA" w14:textId="77777777" w:rsidR="0036050D" w:rsidRDefault="0036050D" w:rsidP="0036050D">
      <w:pPr>
        <w:pStyle w:val="Para0"/>
      </w:pPr>
      <w:r>
        <w:t>The FAP is a key contributor to continual improvement to systems of sustainable management for Victoria’s State forests.</w:t>
      </w:r>
    </w:p>
    <w:p w14:paraId="39BC4E39" w14:textId="77777777" w:rsidR="0036050D" w:rsidRDefault="0036050D" w:rsidP="0036050D">
      <w:pPr>
        <w:pStyle w:val="Heading2"/>
      </w:pPr>
      <w:bookmarkStart w:id="21" w:name="_Toc1036591"/>
      <w:bookmarkStart w:id="22" w:name="_Toc21354774"/>
      <w:bookmarkStart w:id="23" w:name="_Toc33202267"/>
      <w:r>
        <w:t>Audit scope</w:t>
      </w:r>
      <w:bookmarkEnd w:id="21"/>
      <w:bookmarkEnd w:id="22"/>
      <w:bookmarkEnd w:id="23"/>
      <w:r>
        <w:t xml:space="preserve"> </w:t>
      </w:r>
    </w:p>
    <w:p w14:paraId="0811B395" w14:textId="3C7C9C6C" w:rsidR="0036050D" w:rsidRDefault="0036050D" w:rsidP="0036050D">
      <w:pPr>
        <w:pStyle w:val="Para0"/>
      </w:pPr>
      <w:r>
        <w:t xml:space="preserve">The audit addresses mandatory compliance elements drawn from both the Code and </w:t>
      </w:r>
      <w:r w:rsidRPr="006E5DF2">
        <w:rPr>
          <w:i/>
        </w:rPr>
        <w:t xml:space="preserve">Management </w:t>
      </w:r>
      <w:r>
        <w:rPr>
          <w:i/>
        </w:rPr>
        <w:t>S</w:t>
      </w:r>
      <w:r w:rsidRPr="006E5DF2">
        <w:rPr>
          <w:i/>
        </w:rPr>
        <w:t xml:space="preserve">tandards and </w:t>
      </w:r>
      <w:r>
        <w:rPr>
          <w:i/>
        </w:rPr>
        <w:t>P</w:t>
      </w:r>
      <w:r w:rsidRPr="006E5DF2">
        <w:rPr>
          <w:i/>
        </w:rPr>
        <w:t xml:space="preserve">rocedures for </w:t>
      </w:r>
      <w:r>
        <w:rPr>
          <w:i/>
        </w:rPr>
        <w:t>T</w:t>
      </w:r>
      <w:r w:rsidRPr="006E5DF2">
        <w:rPr>
          <w:i/>
        </w:rPr>
        <w:t xml:space="preserve">imber </w:t>
      </w:r>
      <w:r>
        <w:rPr>
          <w:i/>
        </w:rPr>
        <w:t>H</w:t>
      </w:r>
      <w:r w:rsidRPr="006E5DF2">
        <w:rPr>
          <w:i/>
        </w:rPr>
        <w:t xml:space="preserve">arvesting </w:t>
      </w:r>
      <w:r>
        <w:rPr>
          <w:i/>
        </w:rPr>
        <w:t>O</w:t>
      </w:r>
      <w:r w:rsidRPr="006E5DF2">
        <w:rPr>
          <w:i/>
        </w:rPr>
        <w:t xml:space="preserve">perations in Victoria’s </w:t>
      </w:r>
      <w:r>
        <w:rPr>
          <w:i/>
        </w:rPr>
        <w:t>State forest</w:t>
      </w:r>
      <w:r w:rsidRPr="006E5DF2">
        <w:rPr>
          <w:i/>
        </w:rPr>
        <w:t>s</w:t>
      </w:r>
      <w:r>
        <w:rPr>
          <w:i/>
        </w:rPr>
        <w:t xml:space="preserve"> 2014</w:t>
      </w:r>
      <w:r>
        <w:t xml:space="preserve"> (MSPs</w:t>
      </w:r>
      <w:r w:rsidR="007E0985">
        <w:rPr>
          <w:rFonts w:ascii="ZWAdobeF" w:hAnsi="ZWAdobeF" w:cs="ZWAdobeF"/>
          <w:sz w:val="2"/>
          <w:szCs w:val="2"/>
        </w:rPr>
        <w:t>3F</w:t>
      </w:r>
      <w:r>
        <w:rPr>
          <w:rStyle w:val="FootnoteReference"/>
        </w:rPr>
        <w:footnoteReference w:id="4"/>
      </w:r>
      <w:r>
        <w:t>; DEPI, 2014b). Code compliance elements for this audit were selected by DELWP prior to commissioning of the audit and address:</w:t>
      </w:r>
    </w:p>
    <w:p w14:paraId="2A230A8F" w14:textId="77777777" w:rsidR="0036050D" w:rsidRDefault="0036050D" w:rsidP="00E74AFC">
      <w:pPr>
        <w:pStyle w:val="Para0bullet"/>
        <w:numPr>
          <w:ilvl w:val="0"/>
          <w:numId w:val="72"/>
        </w:numPr>
      </w:pPr>
      <w:r>
        <w:t>Protection of soil, water and biodiversity values</w:t>
      </w:r>
    </w:p>
    <w:p w14:paraId="1D58E8F7" w14:textId="77777777" w:rsidR="0036050D" w:rsidRDefault="0036050D" w:rsidP="00E74AFC">
      <w:pPr>
        <w:pStyle w:val="Para0bullet"/>
        <w:numPr>
          <w:ilvl w:val="0"/>
          <w:numId w:val="72"/>
        </w:numPr>
      </w:pPr>
      <w:r>
        <w:t xml:space="preserve">Execution of in-coupe road design and construction </w:t>
      </w:r>
    </w:p>
    <w:p w14:paraId="76EE1D79" w14:textId="77777777" w:rsidR="0036050D" w:rsidRDefault="0036050D" w:rsidP="00E74AFC">
      <w:pPr>
        <w:pStyle w:val="Para0bullet"/>
        <w:numPr>
          <w:ilvl w:val="0"/>
          <w:numId w:val="72"/>
        </w:numPr>
      </w:pPr>
      <w:r>
        <w:t>Rehabilitation of coupe infrastructure</w:t>
      </w:r>
    </w:p>
    <w:p w14:paraId="27EDB1AE" w14:textId="77777777" w:rsidR="0036050D" w:rsidRDefault="0036050D" w:rsidP="00E74AFC">
      <w:pPr>
        <w:pStyle w:val="Para0bullet"/>
        <w:numPr>
          <w:ilvl w:val="0"/>
          <w:numId w:val="72"/>
        </w:numPr>
      </w:pPr>
      <w:r>
        <w:t>Implementation of forest coupe planning</w:t>
      </w:r>
    </w:p>
    <w:p w14:paraId="64C62A77" w14:textId="77777777" w:rsidR="0036050D" w:rsidRDefault="0036050D" w:rsidP="00E74AFC">
      <w:pPr>
        <w:pStyle w:val="Para0bullet"/>
        <w:numPr>
          <w:ilvl w:val="0"/>
          <w:numId w:val="72"/>
        </w:numPr>
      </w:pPr>
      <w:r>
        <w:t xml:space="preserve">Coupe regeneration. </w:t>
      </w:r>
    </w:p>
    <w:p w14:paraId="2157F14C" w14:textId="00548DA2" w:rsidR="0036050D" w:rsidRDefault="0036050D" w:rsidP="0036050D">
      <w:pPr>
        <w:pStyle w:val="Para0"/>
      </w:pPr>
      <w:r>
        <w:t xml:space="preserve">Compliance elements for the audit (see </w:t>
      </w:r>
      <w:r>
        <w:fldChar w:fldCharType="begin" w:fldLock="1"/>
      </w:r>
      <w:r>
        <w:instrText xml:space="preserve"> REF _Ref13827801 \r \h </w:instrText>
      </w:r>
      <w:r>
        <w:fldChar w:fldCharType="separate"/>
      </w:r>
      <w:r w:rsidR="005544E2">
        <w:t>Appendix A</w:t>
      </w:r>
      <w:r>
        <w:fldChar w:fldCharType="end"/>
      </w:r>
      <w:r>
        <w:t xml:space="preserve">) also included mandatory requirements of the MSPs and their Planning Standards (PS; </w:t>
      </w:r>
      <w:r w:rsidRPr="00904FA7">
        <w:rPr>
          <w:i/>
        </w:rPr>
        <w:t>Planning Standards for timber harvesting operations in Victoria’s State forests 2014</w:t>
      </w:r>
      <w:r>
        <w:t xml:space="preserve">; DEPI, 2014c). These were selected by the auditors and agreed with DELWP’s Timber Harvesting Compliance Unit (THCU) prior to commencement of the audit. </w:t>
      </w:r>
    </w:p>
    <w:p w14:paraId="45D0B0D3" w14:textId="77777777" w:rsidR="0036050D" w:rsidRDefault="0036050D" w:rsidP="0036050D">
      <w:pPr>
        <w:pStyle w:val="Para0"/>
      </w:pPr>
      <w:r>
        <w:t xml:space="preserve">Collectively, the suite of compliance elements seeks to ensure that harvesting, associated forest roading activities and coupe regeneration are conducted so that the range, quantity and quality of environmental goods and services provided by State forests are maintained. </w:t>
      </w:r>
    </w:p>
    <w:p w14:paraId="721C5BAD" w14:textId="62DF3227" w:rsidR="0036050D" w:rsidRDefault="0036050D" w:rsidP="0036050D">
      <w:pPr>
        <w:pStyle w:val="Para0"/>
      </w:pPr>
      <w:r>
        <w:t xml:space="preserve">The audit included 40 coupes that were listed in VicForests’ current </w:t>
      </w:r>
      <w:r>
        <w:rPr>
          <w:i/>
        </w:rPr>
        <w:t xml:space="preserve">Timber Release Plan </w:t>
      </w:r>
      <w:r>
        <w:t>(TRP). Compliance elements relating to coupe planning, forest harvesting and in-coupe roading were assessed for 30 coupes located in State forests in the Central Highlands, East Gippsland, Gippsland and North East FMA regions (</w:t>
      </w:r>
      <w:r>
        <w:fldChar w:fldCharType="begin" w:fldLock="1"/>
      </w:r>
      <w:r>
        <w:instrText xml:space="preserve"> REF _Ref496347366 \h </w:instrText>
      </w:r>
      <w:r>
        <w:fldChar w:fldCharType="separate"/>
      </w:r>
      <w:r w:rsidR="005544E2">
        <w:t xml:space="preserve">Figure </w:t>
      </w:r>
      <w:r w:rsidR="005544E2">
        <w:rPr>
          <w:noProof/>
        </w:rPr>
        <w:t>2</w:t>
      </w:r>
      <w:r w:rsidR="005544E2">
        <w:t>.</w:t>
      </w:r>
      <w:r w:rsidR="005544E2">
        <w:rPr>
          <w:noProof/>
        </w:rPr>
        <w:t>1</w:t>
      </w:r>
      <w:r>
        <w:fldChar w:fldCharType="end"/>
      </w:r>
      <w:r>
        <w:t>). Compliance elements related to forest regeneration were assessed for 10 coupes distributed across this area.</w:t>
      </w:r>
    </w:p>
    <w:p w14:paraId="44F5F18F" w14:textId="025E37BF" w:rsidR="0036050D" w:rsidRDefault="000E5F1E" w:rsidP="0036050D">
      <w:pPr>
        <w:pStyle w:val="Para0"/>
      </w:pPr>
      <w:r>
        <w:rPr>
          <w:noProof/>
        </w:rPr>
        <w:lastRenderedPageBreak/>
        <w:drawing>
          <wp:inline distT="0" distB="0" distL="0" distR="0" wp14:anchorId="5B622670" wp14:editId="38BACBDD">
            <wp:extent cx="6488534" cy="4467225"/>
            <wp:effectExtent l="0" t="0" r="762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94186" cy="4471116"/>
                    </a:xfrm>
                    <a:prstGeom prst="rect">
                      <a:avLst/>
                    </a:prstGeom>
                    <a:noFill/>
                  </pic:spPr>
                </pic:pic>
              </a:graphicData>
            </a:graphic>
          </wp:inline>
        </w:drawing>
      </w:r>
    </w:p>
    <w:p w14:paraId="2A40E294" w14:textId="310C6A47" w:rsidR="0036050D" w:rsidRDefault="0036050D" w:rsidP="0036050D">
      <w:pPr>
        <w:pStyle w:val="Caption"/>
        <w:keepNext w:val="0"/>
        <w:spacing w:before="0"/>
      </w:pPr>
      <w:bookmarkStart w:id="24" w:name="_Ref496347366"/>
      <w:r>
        <w:t xml:space="preserve">Figure </w:t>
      </w:r>
      <w:r w:rsidR="0013561C">
        <w:fldChar w:fldCharType="begin" w:fldLock="1"/>
      </w:r>
      <w:r w:rsidR="0013561C">
        <w:instrText xml:space="preserve"> STYLEREF 1 \s </w:instrText>
      </w:r>
      <w:r w:rsidR="0013561C">
        <w:fldChar w:fldCharType="separate"/>
      </w:r>
      <w:r w:rsidR="005544E2">
        <w:rPr>
          <w:noProof/>
        </w:rPr>
        <w:t>2</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1</w:t>
      </w:r>
      <w:r w:rsidR="0013561C">
        <w:rPr>
          <w:noProof/>
        </w:rPr>
        <w:fldChar w:fldCharType="end"/>
      </w:r>
      <w:bookmarkEnd w:id="24"/>
      <w:r>
        <w:t xml:space="preserve"> Locations of harvest (red) and regeneration (black) coupes included in 2018-19 Forest Audit Program</w:t>
      </w:r>
    </w:p>
    <w:p w14:paraId="16410343" w14:textId="77777777" w:rsidR="0036050D" w:rsidRDefault="0036050D" w:rsidP="0036050D">
      <w:pPr>
        <w:pStyle w:val="Heading2"/>
      </w:pPr>
      <w:bookmarkStart w:id="25" w:name="_Toc1036592"/>
      <w:bookmarkStart w:id="26" w:name="_Toc21354775"/>
      <w:bookmarkStart w:id="27" w:name="_Toc33202268"/>
      <w:r>
        <w:t>Audit timing</w:t>
      </w:r>
      <w:bookmarkEnd w:id="25"/>
      <w:bookmarkEnd w:id="26"/>
      <w:bookmarkEnd w:id="27"/>
    </w:p>
    <w:p w14:paraId="5726DD5B" w14:textId="156489D0" w:rsidR="0036050D" w:rsidRDefault="0036050D" w:rsidP="0036050D">
      <w:pPr>
        <w:pStyle w:val="Para0"/>
      </w:pPr>
      <w:r>
        <w:t xml:space="preserve">Field assessments of the coupes included in this audit were undertaken between April and June 2019. Audit reporting was carried out in two stages, with an initial summary report on the results of the audit submitted to DELWP in June 2019. The summary report (Jacobs, 2019) provided preliminary information on compliance assessments and the potential environmental impact of any non-conformances but did not draw out any overall findings or conclusions. </w:t>
      </w:r>
    </w:p>
    <w:p w14:paraId="0906D8DC" w14:textId="77777777" w:rsidR="0036050D" w:rsidRDefault="0036050D" w:rsidP="0036050D">
      <w:pPr>
        <w:pStyle w:val="Heading2"/>
      </w:pPr>
      <w:bookmarkStart w:id="28" w:name="_Toc1036593"/>
      <w:bookmarkStart w:id="29" w:name="_Toc21354776"/>
      <w:bookmarkStart w:id="30" w:name="_Toc33202269"/>
      <w:r>
        <w:t>Audit team</w:t>
      </w:r>
      <w:bookmarkEnd w:id="28"/>
      <w:bookmarkEnd w:id="29"/>
      <w:bookmarkEnd w:id="30"/>
    </w:p>
    <w:p w14:paraId="66BA1981" w14:textId="77777777" w:rsidR="0036050D" w:rsidRDefault="0036050D" w:rsidP="0036050D">
      <w:pPr>
        <w:pStyle w:val="Para0"/>
      </w:pPr>
      <w:r>
        <w:t xml:space="preserve">The audit team were all employed by Jacobs Group (Australia) Pty Ltd (Jacobs). The team included: </w:t>
      </w:r>
    </w:p>
    <w:p w14:paraId="0C7162CD" w14:textId="77777777" w:rsidR="0036050D" w:rsidRDefault="0036050D" w:rsidP="00E74AFC">
      <w:pPr>
        <w:pStyle w:val="Para0bullet"/>
        <w:numPr>
          <w:ilvl w:val="0"/>
          <w:numId w:val="72"/>
        </w:numPr>
      </w:pPr>
      <w:r w:rsidRPr="003A2E9E">
        <w:rPr>
          <w:i/>
        </w:rPr>
        <w:t>Craig Clifton (Project Manager and</w:t>
      </w:r>
      <w:r w:rsidRPr="00C20F95">
        <w:rPr>
          <w:i/>
        </w:rPr>
        <w:t xml:space="preserve"> </w:t>
      </w:r>
      <w:r w:rsidRPr="003A2E9E">
        <w:rPr>
          <w:i/>
        </w:rPr>
        <w:t>lead auditor</w:t>
      </w:r>
      <w:r>
        <w:t xml:space="preserve">): Craig is an EPA-appointed natural resources environmental auditor. He developed the audit methodology, led the field assessments and their analysis and is lead author of this audit report. Craig is an experienced environmental auditor and has led audit teams undertaking six previous audit projects as part of the FAP. </w:t>
      </w:r>
    </w:p>
    <w:p w14:paraId="74E80C64" w14:textId="77777777" w:rsidR="0036050D" w:rsidRDefault="0036050D" w:rsidP="00E74AFC">
      <w:pPr>
        <w:pStyle w:val="Para0bullet"/>
        <w:numPr>
          <w:ilvl w:val="0"/>
          <w:numId w:val="72"/>
        </w:numPr>
      </w:pPr>
      <w:r w:rsidRPr="003A2E9E">
        <w:rPr>
          <w:i/>
        </w:rPr>
        <w:t>David Endersby (Project Director):</w:t>
      </w:r>
      <w:r>
        <w:t xml:space="preserve"> David is a principal consultant with extensive experience in ecological survey. He has participated in several previous FAP audits as a field team member, project director and technical reviewer. David is the internal technical reviewer for this report and Jacobs’ project director. He was also lead ecologist in some of the field audits.</w:t>
      </w:r>
    </w:p>
    <w:p w14:paraId="053041D5" w14:textId="77777777" w:rsidR="0036050D" w:rsidRPr="007729DF" w:rsidRDefault="0036050D" w:rsidP="00E74AFC">
      <w:pPr>
        <w:pStyle w:val="Para0bullet"/>
        <w:numPr>
          <w:ilvl w:val="0"/>
          <w:numId w:val="72"/>
        </w:numPr>
        <w:rPr>
          <w:i/>
        </w:rPr>
      </w:pPr>
      <w:r w:rsidRPr="003A2E9E">
        <w:rPr>
          <w:i/>
        </w:rPr>
        <w:lastRenderedPageBreak/>
        <w:t>Dr Drew King (Audit team member)</w:t>
      </w:r>
      <w:r>
        <w:rPr>
          <w:i/>
        </w:rPr>
        <w:t xml:space="preserve">: </w:t>
      </w:r>
      <w:r>
        <w:t xml:space="preserve"> Drew is a senior ecologist with extensive ecological survey experience and has been involved in previous timber harvesting compliance investigations and FAP audits for DELWP. Drew was lead ecologist for field audits in coupes located in East Gippsland, Gippsland and North East FMA regions.</w:t>
      </w:r>
    </w:p>
    <w:p w14:paraId="275A3244" w14:textId="77777777" w:rsidR="0036050D" w:rsidRDefault="0036050D" w:rsidP="00E74AFC">
      <w:pPr>
        <w:pStyle w:val="Para0bullet"/>
        <w:numPr>
          <w:ilvl w:val="0"/>
          <w:numId w:val="72"/>
        </w:numPr>
        <w:rPr>
          <w:i/>
        </w:rPr>
      </w:pPr>
      <w:r>
        <w:rPr>
          <w:i/>
        </w:rPr>
        <w:t xml:space="preserve">Rebecca Sutherland </w:t>
      </w:r>
      <w:r w:rsidRPr="003A2E9E">
        <w:rPr>
          <w:i/>
        </w:rPr>
        <w:t>(Audit team member)</w:t>
      </w:r>
      <w:r>
        <w:rPr>
          <w:i/>
        </w:rPr>
        <w:t xml:space="preserve">: </w:t>
      </w:r>
      <w:r>
        <w:t>Rebecca is an experienced ecologist and was lead ecological on field audits in coupes located in Benalla-Mansfield FMA and the Central Highlands FMA region.</w:t>
      </w:r>
    </w:p>
    <w:p w14:paraId="4A4722C9" w14:textId="77777777" w:rsidR="0036050D" w:rsidRDefault="0036050D" w:rsidP="00E74AFC">
      <w:pPr>
        <w:pStyle w:val="Para0bullet"/>
        <w:numPr>
          <w:ilvl w:val="0"/>
          <w:numId w:val="72"/>
        </w:numPr>
      </w:pPr>
      <w:r>
        <w:rPr>
          <w:i/>
        </w:rPr>
        <w:t>Briony Mitchell (Audit team member):</w:t>
      </w:r>
      <w:r>
        <w:t xml:space="preserve"> Briony is a senior consultant with extensive ecological survey and assessment experience. She was lead ecologist for field audits in the Gippsland FMA region.</w:t>
      </w:r>
    </w:p>
    <w:p w14:paraId="260E48D2" w14:textId="77777777" w:rsidR="0036050D" w:rsidRDefault="0036050D" w:rsidP="00E74AFC">
      <w:pPr>
        <w:pStyle w:val="Para0bullet"/>
        <w:numPr>
          <w:ilvl w:val="0"/>
          <w:numId w:val="72"/>
        </w:numPr>
      </w:pPr>
      <w:r>
        <w:rPr>
          <w:i/>
        </w:rPr>
        <w:t xml:space="preserve">Kait Goudge (Audit team member): </w:t>
      </w:r>
      <w:r>
        <w:t>Kait is a graduate ecological consultant with experience in ecological surveys. She assisted with field audits in East Gippsland FMA.</w:t>
      </w:r>
    </w:p>
    <w:p w14:paraId="0D0C64ED" w14:textId="77777777" w:rsidR="0036050D" w:rsidRPr="000C6703" w:rsidRDefault="0036050D" w:rsidP="00E74AFC">
      <w:pPr>
        <w:pStyle w:val="Para0bullet"/>
        <w:numPr>
          <w:ilvl w:val="0"/>
          <w:numId w:val="72"/>
        </w:numPr>
        <w:rPr>
          <w:i/>
        </w:rPr>
      </w:pPr>
      <w:r w:rsidRPr="000C6703">
        <w:rPr>
          <w:i/>
        </w:rPr>
        <w:t>Laura Parker:</w:t>
      </w:r>
      <w:r>
        <w:rPr>
          <w:i/>
        </w:rPr>
        <w:t xml:space="preserve"> Goudge (Audit team member): </w:t>
      </w:r>
      <w:r>
        <w:t>Laura is a graduate ecological consultant with experience in ecological surveys. She also assisted with field audits in East Gippsland FMA.</w:t>
      </w:r>
    </w:p>
    <w:p w14:paraId="2F889A43" w14:textId="77777777" w:rsidR="0036050D" w:rsidRDefault="0036050D" w:rsidP="0036050D">
      <w:pPr>
        <w:pStyle w:val="Heading1"/>
      </w:pPr>
      <w:bookmarkStart w:id="31" w:name="_Toc33202270"/>
      <w:bookmarkStart w:id="32" w:name="_Ref523216505"/>
      <w:bookmarkStart w:id="33" w:name="_Toc1036595"/>
      <w:bookmarkStart w:id="34" w:name="_Toc21354778"/>
      <w:r>
        <w:lastRenderedPageBreak/>
        <w:t>Audit approach</w:t>
      </w:r>
      <w:bookmarkEnd w:id="31"/>
    </w:p>
    <w:p w14:paraId="2692BEBA" w14:textId="77777777" w:rsidR="0036050D" w:rsidRDefault="0036050D" w:rsidP="0036050D">
      <w:pPr>
        <w:pStyle w:val="Heading2"/>
      </w:pPr>
      <w:bookmarkStart w:id="35" w:name="_Toc33202271"/>
      <w:r>
        <w:t>Coupe selection</w:t>
      </w:r>
      <w:bookmarkEnd w:id="32"/>
      <w:bookmarkEnd w:id="33"/>
      <w:bookmarkEnd w:id="34"/>
      <w:bookmarkEnd w:id="35"/>
    </w:p>
    <w:p w14:paraId="66ABBCDC" w14:textId="66ADE08F" w:rsidR="0036050D" w:rsidRDefault="0036050D" w:rsidP="0036050D">
      <w:pPr>
        <w:pStyle w:val="Para0"/>
      </w:pPr>
      <w:bookmarkStart w:id="36" w:name="_Ref424902081"/>
      <w:bookmarkStart w:id="37" w:name="_Ref514184853"/>
      <w:r>
        <w:t xml:space="preserve">Target coupes for the audit were selected from the set of VicForests’ TRP coupes which were operational or under regeneration during the 2017-18 financial year. As per DELWP’s terms of reference for this audit, 30 harvest coupes and 10 regeneration coupes were selected, distributed between Forest Management Areas (FMAs) as listed in </w:t>
      </w:r>
      <w:r>
        <w:fldChar w:fldCharType="begin" w:fldLock="1"/>
      </w:r>
      <w:r>
        <w:instrText xml:space="preserve"> REF _Ref14447289 \h </w:instrText>
      </w:r>
      <w:r>
        <w:fldChar w:fldCharType="separate"/>
      </w:r>
      <w:r w:rsidR="005544E2">
        <w:t xml:space="preserve">Table </w:t>
      </w:r>
      <w:r w:rsidR="005544E2">
        <w:rPr>
          <w:noProof/>
        </w:rPr>
        <w:t>3</w:t>
      </w:r>
      <w:r w:rsidR="005544E2">
        <w:t>.</w:t>
      </w:r>
      <w:r w:rsidR="005544E2">
        <w:rPr>
          <w:noProof/>
        </w:rPr>
        <w:t>1</w:t>
      </w:r>
      <w:r>
        <w:fldChar w:fldCharType="end"/>
      </w:r>
      <w:r>
        <w:t>. Reserve coupes were also selected in each FMA region in case the initial target coupes were inaccessible at the time of the field audit.</w:t>
      </w:r>
    </w:p>
    <w:p w14:paraId="65793536" w14:textId="77777777" w:rsidR="0036050D" w:rsidRDefault="0036050D" w:rsidP="0036050D">
      <w:pPr>
        <w:pStyle w:val="Para0"/>
      </w:pPr>
      <w:r>
        <w:t>A risk-based selection process was used to identify the target and reserve harvest coupes. The process was based on the characterisation of the coupes in information provided to DELWP by VicForests. The factors influencing selection included:</w:t>
      </w:r>
    </w:p>
    <w:p w14:paraId="75FB4B08" w14:textId="77777777" w:rsidR="0036050D" w:rsidRDefault="0036050D" w:rsidP="00E74AFC">
      <w:pPr>
        <w:pStyle w:val="Para0bullet"/>
        <w:numPr>
          <w:ilvl w:val="0"/>
          <w:numId w:val="72"/>
        </w:numPr>
      </w:pPr>
      <w:r>
        <w:t>Waterway crossing was planned and/or constructed to access the coupe. While these crossings were generally for in-coupe roads, in some cases the target coupes were accessed via snig track crossings</w:t>
      </w:r>
    </w:p>
    <w:p w14:paraId="447A59C2" w14:textId="6FB781F1" w:rsidR="0036050D" w:rsidRDefault="0036050D" w:rsidP="00E74AFC">
      <w:pPr>
        <w:pStyle w:val="Para0bullet"/>
        <w:numPr>
          <w:ilvl w:val="0"/>
          <w:numId w:val="72"/>
        </w:numPr>
      </w:pPr>
      <w:r>
        <w:t>Rainforest vegetation</w:t>
      </w:r>
      <w:r w:rsidR="007E0985">
        <w:rPr>
          <w:rFonts w:ascii="ZWAdobeF" w:hAnsi="ZWAdobeF" w:cs="ZWAdobeF"/>
          <w:sz w:val="2"/>
          <w:szCs w:val="2"/>
        </w:rPr>
        <w:t>4F</w:t>
      </w:r>
      <w:r>
        <w:rPr>
          <w:rStyle w:val="FootnoteReference"/>
        </w:rPr>
        <w:footnoteReference w:id="5"/>
      </w:r>
      <w:r>
        <w:t xml:space="preserve"> was identified as being present within the gross coupe boundary</w:t>
      </w:r>
    </w:p>
    <w:p w14:paraId="24D23807" w14:textId="77777777" w:rsidR="0036050D" w:rsidRDefault="0036050D" w:rsidP="00E74AFC">
      <w:pPr>
        <w:pStyle w:val="Para0bullet"/>
        <w:numPr>
          <w:ilvl w:val="0"/>
          <w:numId w:val="72"/>
        </w:numPr>
      </w:pPr>
      <w:r>
        <w:t>Length of in-coupe road required to access the landing(s) or constructed through the coupe to access other coupes</w:t>
      </w:r>
    </w:p>
    <w:p w14:paraId="2FBC2223" w14:textId="77777777" w:rsidR="0036050D" w:rsidRDefault="0036050D" w:rsidP="00E74AFC">
      <w:pPr>
        <w:pStyle w:val="Para0bullet"/>
        <w:numPr>
          <w:ilvl w:val="0"/>
          <w:numId w:val="72"/>
        </w:numPr>
      </w:pPr>
      <w:r>
        <w:t>Higher soil erosion hazard in the A, B or C horizon</w:t>
      </w:r>
    </w:p>
    <w:p w14:paraId="5F765807" w14:textId="77777777" w:rsidR="0036050D" w:rsidRDefault="0036050D" w:rsidP="00E74AFC">
      <w:pPr>
        <w:pStyle w:val="Para0bullet"/>
        <w:numPr>
          <w:ilvl w:val="0"/>
          <w:numId w:val="72"/>
        </w:numPr>
      </w:pPr>
      <w:r>
        <w:t>Higher average coupe slope</w:t>
      </w:r>
    </w:p>
    <w:p w14:paraId="5A1BF10A" w14:textId="77777777" w:rsidR="0036050D" w:rsidRDefault="0036050D" w:rsidP="00E74AFC">
      <w:pPr>
        <w:pStyle w:val="Para0bullet"/>
        <w:numPr>
          <w:ilvl w:val="0"/>
          <w:numId w:val="72"/>
        </w:numPr>
      </w:pPr>
      <w:r>
        <w:t>Presence of State forest zoned as Special Protection and/or Special Management Zone (SPZ/SMZ, respectively) within or adjacent to the coupe</w:t>
      </w:r>
    </w:p>
    <w:p w14:paraId="7CFAE711" w14:textId="77777777" w:rsidR="0036050D" w:rsidRDefault="0036050D" w:rsidP="00E74AFC">
      <w:pPr>
        <w:pStyle w:val="Para0bullet"/>
        <w:numPr>
          <w:ilvl w:val="0"/>
          <w:numId w:val="72"/>
        </w:numPr>
      </w:pPr>
      <w:r>
        <w:t>Presence of Victorian Biodiversity Atlas (VBA) records of threatened native flora and/or fauna species within the coupe.</w:t>
      </w:r>
    </w:p>
    <w:p w14:paraId="407F8098" w14:textId="0E7BBB23" w:rsidR="0036050D" w:rsidRDefault="0036050D" w:rsidP="0036050D">
      <w:pPr>
        <w:pStyle w:val="Caption"/>
      </w:pPr>
      <w:bookmarkStart w:id="38" w:name="_Ref14447289"/>
      <w:r>
        <w:t xml:space="preserve">Table </w:t>
      </w:r>
      <w:r w:rsidR="0013561C">
        <w:fldChar w:fldCharType="begin" w:fldLock="1"/>
      </w:r>
      <w:r w:rsidR="0013561C">
        <w:instrText xml:space="preserve"> STYLEREF 1 \s </w:instrText>
      </w:r>
      <w:r w:rsidR="0013561C">
        <w:fldChar w:fldCharType="separate"/>
      </w:r>
      <w:r w:rsidR="005544E2">
        <w:rPr>
          <w:noProof/>
        </w:rPr>
        <w:t>3</w:t>
      </w:r>
      <w:r w:rsidR="0013561C">
        <w:rPr>
          <w:noProof/>
        </w:rPr>
        <w:fldChar w:fldCharType="end"/>
      </w:r>
      <w:r>
        <w:t>.</w:t>
      </w:r>
      <w:r w:rsidR="0013561C">
        <w:fldChar w:fldCharType="begin"/>
      </w:r>
      <w:r w:rsidR="0013561C">
        <w:instrText xml:space="preserve"> SEQ Table \* ARABIC \s 1 </w:instrText>
      </w:r>
      <w:r w:rsidR="0013561C">
        <w:fldChar w:fldCharType="separate"/>
      </w:r>
      <w:r w:rsidR="007E0985">
        <w:rPr>
          <w:noProof/>
        </w:rPr>
        <w:t>1</w:t>
      </w:r>
      <w:r w:rsidR="0013561C">
        <w:rPr>
          <w:noProof/>
        </w:rPr>
        <w:fldChar w:fldCharType="end"/>
      </w:r>
      <w:bookmarkEnd w:id="38"/>
      <w:r>
        <w:t xml:space="preserve"> Summary of audit targets by Forest Management Area</w:t>
      </w:r>
    </w:p>
    <w:tbl>
      <w:tblPr>
        <w:tblStyle w:val="TableGrid"/>
        <w:tblW w:w="3961"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3780"/>
        <w:gridCol w:w="1915"/>
        <w:gridCol w:w="1914"/>
      </w:tblGrid>
      <w:tr w:rsidR="0036050D" w:rsidRPr="002F4F1A" w14:paraId="7BF2A66B" w14:textId="77777777" w:rsidTr="0036050D">
        <w:trPr>
          <w:cantSplit/>
          <w:tblHeader/>
        </w:trPr>
        <w:tc>
          <w:tcPr>
            <w:tcW w:w="2483" w:type="pct"/>
            <w:tcBorders>
              <w:right w:val="single" w:sz="4" w:space="0" w:color="808080"/>
            </w:tcBorders>
            <w:shd w:val="clear" w:color="auto" w:fill="E5E5E5" w:themeFill="background2"/>
          </w:tcPr>
          <w:p w14:paraId="76752626" w14:textId="77777777" w:rsidR="0036050D" w:rsidRPr="002F4F1A" w:rsidRDefault="0036050D" w:rsidP="0036050D">
            <w:pPr>
              <w:pStyle w:val="Tablesmalltext"/>
              <w:rPr>
                <w:b/>
              </w:rPr>
            </w:pPr>
            <w:r w:rsidRPr="002F4F1A">
              <w:rPr>
                <w:b/>
              </w:rPr>
              <w:t>FMA</w:t>
            </w:r>
            <w:r>
              <w:rPr>
                <w:b/>
              </w:rPr>
              <w:t xml:space="preserve"> region</w:t>
            </w:r>
          </w:p>
        </w:tc>
        <w:tc>
          <w:tcPr>
            <w:tcW w:w="1258" w:type="pct"/>
            <w:tcBorders>
              <w:left w:val="single" w:sz="4" w:space="0" w:color="808080"/>
              <w:right w:val="single" w:sz="4" w:space="0" w:color="808080"/>
            </w:tcBorders>
            <w:shd w:val="clear" w:color="auto" w:fill="E5E5E5" w:themeFill="background2"/>
          </w:tcPr>
          <w:p w14:paraId="07458555" w14:textId="77777777" w:rsidR="0036050D" w:rsidRPr="002F4F1A" w:rsidRDefault="0036050D" w:rsidP="0036050D">
            <w:pPr>
              <w:pStyle w:val="Tablesmalltext"/>
              <w:jc w:val="center"/>
              <w:rPr>
                <w:b/>
              </w:rPr>
            </w:pPr>
            <w:r>
              <w:rPr>
                <w:b/>
              </w:rPr>
              <w:t># Harvest coupes</w:t>
            </w:r>
          </w:p>
        </w:tc>
        <w:tc>
          <w:tcPr>
            <w:tcW w:w="1258" w:type="pct"/>
            <w:tcBorders>
              <w:left w:val="single" w:sz="4" w:space="0" w:color="808080"/>
            </w:tcBorders>
            <w:shd w:val="clear" w:color="auto" w:fill="E5E5E5" w:themeFill="background2"/>
          </w:tcPr>
          <w:p w14:paraId="1118B55F" w14:textId="77777777" w:rsidR="0036050D" w:rsidRPr="002F4F1A" w:rsidRDefault="0036050D" w:rsidP="0036050D">
            <w:pPr>
              <w:pStyle w:val="Tablesmalltext"/>
              <w:jc w:val="center"/>
              <w:rPr>
                <w:b/>
              </w:rPr>
            </w:pPr>
            <w:r>
              <w:rPr>
                <w:b/>
              </w:rPr>
              <w:t># Regeneration coupes</w:t>
            </w:r>
          </w:p>
        </w:tc>
      </w:tr>
      <w:tr w:rsidR="0036050D" w14:paraId="147C631D" w14:textId="77777777" w:rsidTr="0036050D">
        <w:trPr>
          <w:cantSplit/>
        </w:trPr>
        <w:tc>
          <w:tcPr>
            <w:tcW w:w="2483" w:type="pct"/>
          </w:tcPr>
          <w:p w14:paraId="26E75DD2" w14:textId="77777777" w:rsidR="0036050D" w:rsidRDefault="0036050D" w:rsidP="0036050D">
            <w:pPr>
              <w:pStyle w:val="Tablesmalltext"/>
            </w:pPr>
            <w:r>
              <w:t>Gippsland FMAs – Central Gippsland, Tambo</w:t>
            </w:r>
          </w:p>
        </w:tc>
        <w:tc>
          <w:tcPr>
            <w:tcW w:w="1258" w:type="pct"/>
          </w:tcPr>
          <w:p w14:paraId="1506FA03" w14:textId="77777777" w:rsidR="0036050D" w:rsidRDefault="0036050D" w:rsidP="0036050D">
            <w:pPr>
              <w:pStyle w:val="Tablesmalltext"/>
              <w:jc w:val="center"/>
            </w:pPr>
            <w:r>
              <w:t>5</w:t>
            </w:r>
          </w:p>
        </w:tc>
        <w:tc>
          <w:tcPr>
            <w:tcW w:w="1258" w:type="pct"/>
          </w:tcPr>
          <w:p w14:paraId="47B20BD2" w14:textId="77777777" w:rsidR="0036050D" w:rsidRDefault="0036050D" w:rsidP="0036050D">
            <w:pPr>
              <w:pStyle w:val="Tablesmalltext"/>
              <w:jc w:val="center"/>
            </w:pPr>
            <w:r>
              <w:t>2</w:t>
            </w:r>
          </w:p>
        </w:tc>
      </w:tr>
      <w:tr w:rsidR="0036050D" w14:paraId="61E0D133" w14:textId="77777777" w:rsidTr="0036050D">
        <w:trPr>
          <w:cantSplit/>
        </w:trPr>
        <w:tc>
          <w:tcPr>
            <w:tcW w:w="2483" w:type="pct"/>
          </w:tcPr>
          <w:p w14:paraId="02F311A0" w14:textId="77777777" w:rsidR="0036050D" w:rsidRDefault="0036050D" w:rsidP="0036050D">
            <w:pPr>
              <w:pStyle w:val="Tablesmalltext"/>
            </w:pPr>
            <w:r>
              <w:t>East Gippsland</w:t>
            </w:r>
          </w:p>
        </w:tc>
        <w:tc>
          <w:tcPr>
            <w:tcW w:w="1258" w:type="pct"/>
          </w:tcPr>
          <w:p w14:paraId="41F7E28B" w14:textId="77777777" w:rsidR="0036050D" w:rsidRDefault="0036050D" w:rsidP="0036050D">
            <w:pPr>
              <w:pStyle w:val="Tablesmalltext"/>
              <w:jc w:val="center"/>
            </w:pPr>
            <w:r>
              <w:t>10</w:t>
            </w:r>
          </w:p>
        </w:tc>
        <w:tc>
          <w:tcPr>
            <w:tcW w:w="1258" w:type="pct"/>
          </w:tcPr>
          <w:p w14:paraId="5DBAC9E9" w14:textId="77777777" w:rsidR="0036050D" w:rsidRDefault="0036050D" w:rsidP="0036050D">
            <w:pPr>
              <w:pStyle w:val="Tablesmalltext"/>
              <w:jc w:val="center"/>
            </w:pPr>
            <w:r>
              <w:t>3</w:t>
            </w:r>
          </w:p>
        </w:tc>
      </w:tr>
      <w:tr w:rsidR="0036050D" w14:paraId="322057F1" w14:textId="77777777" w:rsidTr="0036050D">
        <w:trPr>
          <w:cantSplit/>
        </w:trPr>
        <w:tc>
          <w:tcPr>
            <w:tcW w:w="2483" w:type="pct"/>
          </w:tcPr>
          <w:p w14:paraId="08C67E67" w14:textId="77777777" w:rsidR="0036050D" w:rsidRDefault="0036050D" w:rsidP="0036050D">
            <w:pPr>
              <w:pStyle w:val="Tablesmalltext"/>
            </w:pPr>
            <w:r>
              <w:t>Central Highlands FMAs – Central, Dandenong</w:t>
            </w:r>
          </w:p>
        </w:tc>
        <w:tc>
          <w:tcPr>
            <w:tcW w:w="1258" w:type="pct"/>
          </w:tcPr>
          <w:p w14:paraId="41EBE5F9" w14:textId="77777777" w:rsidR="0036050D" w:rsidRDefault="0036050D" w:rsidP="0036050D">
            <w:pPr>
              <w:pStyle w:val="Tablesmalltext"/>
              <w:jc w:val="center"/>
            </w:pPr>
            <w:r>
              <w:t>10</w:t>
            </w:r>
          </w:p>
        </w:tc>
        <w:tc>
          <w:tcPr>
            <w:tcW w:w="1258" w:type="pct"/>
          </w:tcPr>
          <w:p w14:paraId="11E24FE9" w14:textId="77777777" w:rsidR="0036050D" w:rsidRDefault="0036050D" w:rsidP="0036050D">
            <w:pPr>
              <w:pStyle w:val="Tablesmalltext"/>
              <w:jc w:val="center"/>
            </w:pPr>
            <w:r>
              <w:t>3</w:t>
            </w:r>
          </w:p>
        </w:tc>
      </w:tr>
      <w:tr w:rsidR="0036050D" w14:paraId="03E69097" w14:textId="77777777" w:rsidTr="0036050D">
        <w:trPr>
          <w:cantSplit/>
        </w:trPr>
        <w:tc>
          <w:tcPr>
            <w:tcW w:w="2483" w:type="pct"/>
          </w:tcPr>
          <w:p w14:paraId="1DDA782B" w14:textId="77777777" w:rsidR="0036050D" w:rsidRDefault="0036050D" w:rsidP="0036050D">
            <w:pPr>
              <w:pStyle w:val="Tablesmalltext"/>
            </w:pPr>
            <w:r>
              <w:t>North-East FMAs – Benalla-Mansfield, North-East</w:t>
            </w:r>
          </w:p>
        </w:tc>
        <w:tc>
          <w:tcPr>
            <w:tcW w:w="1258" w:type="pct"/>
          </w:tcPr>
          <w:p w14:paraId="6140C543" w14:textId="77777777" w:rsidR="0036050D" w:rsidRDefault="0036050D" w:rsidP="0036050D">
            <w:pPr>
              <w:pStyle w:val="Tablesmalltext"/>
              <w:jc w:val="center"/>
            </w:pPr>
            <w:r>
              <w:t>5</w:t>
            </w:r>
          </w:p>
        </w:tc>
        <w:tc>
          <w:tcPr>
            <w:tcW w:w="1258" w:type="pct"/>
          </w:tcPr>
          <w:p w14:paraId="0CDC8BA9" w14:textId="77777777" w:rsidR="0036050D" w:rsidRDefault="0036050D" w:rsidP="0036050D">
            <w:pPr>
              <w:pStyle w:val="Tablesmalltext"/>
              <w:jc w:val="center"/>
            </w:pPr>
            <w:r>
              <w:t>2</w:t>
            </w:r>
          </w:p>
        </w:tc>
      </w:tr>
    </w:tbl>
    <w:p w14:paraId="3F459B31" w14:textId="13A784E2" w:rsidR="0036050D" w:rsidRDefault="0036050D" w:rsidP="0036050D">
      <w:pPr>
        <w:pStyle w:val="Para0"/>
      </w:pPr>
      <w:r>
        <w:t>Coupes were preferentially selected where multiple risk factors were present. None of the harvest coupes had previously been included in FAP audits. Harvesting operations were still in progress at several coupes, however, at the time of audit, harvesting and regeneration had generally been completed. Three of the selected harvest coupes (461-510-0005 Fairway, 464-501-0031 Phasinator and 469-501-0005 Lady Lavery) were located in Melbourne Water catchment areas. The list of harvest coupes included in the audit is given in</w:t>
      </w:r>
      <w:r w:rsidR="000E5F1E">
        <w:t xml:space="preserve"> </w:t>
      </w:r>
      <w:r w:rsidR="000E5F1E">
        <w:fldChar w:fldCharType="begin" w:fldLock="1"/>
      </w:r>
      <w:r w:rsidR="000E5F1E">
        <w:instrText xml:space="preserve"> REF _Ref13838256 \h </w:instrText>
      </w:r>
      <w:r w:rsidR="000E5F1E">
        <w:fldChar w:fldCharType="separate"/>
      </w:r>
      <w:r w:rsidR="005544E2">
        <w:t xml:space="preserve">Table </w:t>
      </w:r>
      <w:r w:rsidR="005544E2">
        <w:rPr>
          <w:noProof/>
        </w:rPr>
        <w:t>3</w:t>
      </w:r>
      <w:r w:rsidR="005544E2">
        <w:t>.</w:t>
      </w:r>
      <w:r w:rsidR="005544E2">
        <w:rPr>
          <w:noProof/>
        </w:rPr>
        <w:t>2</w:t>
      </w:r>
      <w:r w:rsidR="000E5F1E">
        <w:fldChar w:fldCharType="end"/>
      </w:r>
      <w:r>
        <w:t xml:space="preserve">, with the location of each coupe shown in </w:t>
      </w:r>
      <w:r>
        <w:fldChar w:fldCharType="begin" w:fldLock="1"/>
      </w:r>
      <w:r>
        <w:instrText xml:space="preserve"> REF _Ref496347366 \h </w:instrText>
      </w:r>
      <w:r>
        <w:fldChar w:fldCharType="separate"/>
      </w:r>
      <w:r w:rsidR="005544E2">
        <w:t xml:space="preserve">Figure </w:t>
      </w:r>
      <w:r w:rsidR="005544E2">
        <w:rPr>
          <w:noProof/>
        </w:rPr>
        <w:t>2</w:t>
      </w:r>
      <w:r w:rsidR="005544E2">
        <w:t>.</w:t>
      </w:r>
      <w:r w:rsidR="005544E2">
        <w:rPr>
          <w:noProof/>
        </w:rPr>
        <w:t>1</w:t>
      </w:r>
      <w:r>
        <w:fldChar w:fldCharType="end"/>
      </w:r>
      <w:r>
        <w:t>.</w:t>
      </w:r>
    </w:p>
    <w:p w14:paraId="6C5F7253" w14:textId="11B400BB" w:rsidR="0036050D" w:rsidRDefault="0036050D" w:rsidP="0036050D">
      <w:pPr>
        <w:pStyle w:val="Para0"/>
      </w:pPr>
      <w:r>
        <w:t xml:space="preserve">Selection of regeneration coupes was influenced by logistical factors (mainly proximity to selected harvest coupes) and the presence of longer lengths of in-coupe road and waterway crossings. Some regeneration coupes had been included in previous FAP audits (although not for regeneration). Selection of the coupes did </w:t>
      </w:r>
      <w:r>
        <w:lastRenderedPageBreak/>
        <w:t xml:space="preserve">not consider whether they were had been assessed by VicForests as being fully rehabilitated and regenerated. The list of harvest coupes included in the audit is given in </w:t>
      </w:r>
      <w:r w:rsidR="000E5F1E">
        <w:fldChar w:fldCharType="begin" w:fldLock="1"/>
      </w:r>
      <w:r w:rsidR="000E5F1E">
        <w:instrText xml:space="preserve"> REF _Ref13842356 \h </w:instrText>
      </w:r>
      <w:r w:rsidR="000E5F1E">
        <w:fldChar w:fldCharType="separate"/>
      </w:r>
      <w:r w:rsidR="005544E2">
        <w:t xml:space="preserve">Table </w:t>
      </w:r>
      <w:r w:rsidR="005544E2">
        <w:rPr>
          <w:noProof/>
        </w:rPr>
        <w:t>3</w:t>
      </w:r>
      <w:r w:rsidR="005544E2">
        <w:t>.</w:t>
      </w:r>
      <w:r w:rsidR="005544E2">
        <w:rPr>
          <w:noProof/>
        </w:rPr>
        <w:t>3</w:t>
      </w:r>
      <w:r w:rsidR="000E5F1E">
        <w:fldChar w:fldCharType="end"/>
      </w:r>
      <w:r>
        <w:t xml:space="preserve">, with the location of each coupe shown in </w:t>
      </w:r>
      <w:r>
        <w:fldChar w:fldCharType="begin" w:fldLock="1"/>
      </w:r>
      <w:r>
        <w:instrText xml:space="preserve"> REF _Ref496347366 \h </w:instrText>
      </w:r>
      <w:r>
        <w:fldChar w:fldCharType="separate"/>
      </w:r>
      <w:r w:rsidR="005544E2">
        <w:t xml:space="preserve">Figure </w:t>
      </w:r>
      <w:r w:rsidR="005544E2">
        <w:rPr>
          <w:noProof/>
        </w:rPr>
        <w:t>2</w:t>
      </w:r>
      <w:r w:rsidR="005544E2">
        <w:t>.</w:t>
      </w:r>
      <w:r w:rsidR="005544E2">
        <w:rPr>
          <w:noProof/>
        </w:rPr>
        <w:t>1</w:t>
      </w:r>
      <w:r>
        <w:fldChar w:fldCharType="end"/>
      </w:r>
      <w:r>
        <w:t>.</w:t>
      </w:r>
    </w:p>
    <w:p w14:paraId="24B1DDF4" w14:textId="190C0F81" w:rsidR="009B4F8F" w:rsidRDefault="009B4F8F" w:rsidP="009B4F8F">
      <w:pPr>
        <w:pStyle w:val="Para0"/>
      </w:pPr>
      <w:r>
        <w:t>The gross coupe area for the target coupes ranged between 7.3 ha and 71.4</w:t>
      </w:r>
      <w:r w:rsidR="007E0985">
        <w:rPr>
          <w:rFonts w:ascii="ZWAdobeF" w:hAnsi="ZWAdobeF" w:cs="ZWAdobeF"/>
          <w:sz w:val="2"/>
          <w:szCs w:val="2"/>
        </w:rPr>
        <w:t>5F</w:t>
      </w:r>
      <w:r>
        <w:rPr>
          <w:rStyle w:val="FootnoteReference"/>
        </w:rPr>
        <w:footnoteReference w:id="6"/>
      </w:r>
      <w:r>
        <w:t xml:space="preserve"> ha, with the average being 39.4 ha. The average harvest area in 2017-18 was 11.6 ha, although some coupes were harvested over several years. </w:t>
      </w:r>
    </w:p>
    <w:p w14:paraId="569CA099" w14:textId="3E93630E" w:rsidR="009B4F8F" w:rsidRDefault="009B4F8F" w:rsidP="009B4F8F">
      <w:pPr>
        <w:pStyle w:val="Para0"/>
      </w:pPr>
      <w:r>
        <w:t>Twenty-five of the coupes were planned to have in-coupe roads, with the average planned length approximately 340 m. However, as operations were conducted, the actual length of new in-coupe road constructed</w:t>
      </w:r>
      <w:r w:rsidR="00931AF4">
        <w:t>,</w:t>
      </w:r>
      <w:r>
        <w:t xml:space="preserve"> or existing tracks upgraded</w:t>
      </w:r>
      <w:r w:rsidR="00931AF4">
        <w:t>,</w:t>
      </w:r>
      <w:r>
        <w:t xml:space="preserve"> was less than planned for eight coupes. The length of in-coupe road constructed or upgraded exceeded the planned length in a further five coupes.  </w:t>
      </w:r>
    </w:p>
    <w:p w14:paraId="51C9E7F2" w14:textId="77777777" w:rsidR="009B4F8F" w:rsidRDefault="009B4F8F" w:rsidP="009B4F8F">
      <w:pPr>
        <w:pStyle w:val="Para0"/>
      </w:pPr>
      <w:r>
        <w:t>Waterway crossings were planned for 10 of the coupes included in the audit but were only actually constructed to access eight of the coupes. One of these crossings was not recorded in the operations planning for the coupe. Seventeen of the coupes were located in designated water supply catchments.</w:t>
      </w:r>
    </w:p>
    <w:p w14:paraId="49D40B00" w14:textId="77777777" w:rsidR="009B4F8F" w:rsidRDefault="009B4F8F" w:rsidP="009B4F8F">
      <w:pPr>
        <w:pStyle w:val="Para0"/>
      </w:pPr>
      <w:r>
        <w:t>Soils in the harvest audit coupes were generally relatively stable, with only six of the 30 coupes recording soil erosion hazard (SEH) values of high or greater. Coupes were not generally located in steep terrain. The average slope was estimated to be 15</w:t>
      </w:r>
      <w:r>
        <w:rPr>
          <w:rFonts w:cs="Arial"/>
        </w:rPr>
        <w:t>°</w:t>
      </w:r>
      <w:r>
        <w:t xml:space="preserve"> or more in eight of the 30 coupes.</w:t>
      </w:r>
    </w:p>
    <w:p w14:paraId="66B6E1E7" w14:textId="77777777" w:rsidR="009B4F8F" w:rsidRDefault="009B4F8F" w:rsidP="009B4F8F">
      <w:pPr>
        <w:pStyle w:val="Para0"/>
      </w:pPr>
      <w:r>
        <w:t>The average gross size of regeneration coupes included in the audit was 42.3 ha. All had in-coupe roads and four of the ten had waterway crossings.</w:t>
      </w:r>
    </w:p>
    <w:p w14:paraId="11055222" w14:textId="77777777" w:rsidR="009B4F8F" w:rsidRDefault="009B4F8F" w:rsidP="009B4F8F">
      <w:pPr>
        <w:pStyle w:val="Heading2"/>
      </w:pPr>
      <w:bookmarkStart w:id="39" w:name="_Ref435173931"/>
      <w:bookmarkStart w:id="40" w:name="_Ref497855790"/>
      <w:bookmarkStart w:id="41" w:name="_Toc1036596"/>
      <w:bookmarkStart w:id="42" w:name="_Toc21354779"/>
      <w:bookmarkStart w:id="43" w:name="_Toc33202272"/>
      <w:r>
        <w:t>Audit criteria and workbook</w:t>
      </w:r>
      <w:bookmarkEnd w:id="39"/>
      <w:bookmarkEnd w:id="40"/>
      <w:bookmarkEnd w:id="41"/>
      <w:bookmarkEnd w:id="42"/>
      <w:bookmarkEnd w:id="43"/>
    </w:p>
    <w:p w14:paraId="142C9575" w14:textId="77777777" w:rsidR="009B4F8F" w:rsidRDefault="009B4F8F" w:rsidP="009B4F8F">
      <w:pPr>
        <w:pStyle w:val="Para0"/>
      </w:pPr>
      <w:r>
        <w:t>Audit criteria were based on mandatory requirements of the Code selected by DELWP’s THCU. Most commonly, these referenced compliance elements from the MSPs and its PS, as these provide more detailed interpretations of Code requirements. Compliance criteria were grouped into several themes, as follows:</w:t>
      </w:r>
    </w:p>
    <w:p w14:paraId="0D6E5856" w14:textId="77777777" w:rsidR="009B4F8F" w:rsidRDefault="009B4F8F" w:rsidP="00E74AFC">
      <w:pPr>
        <w:pStyle w:val="Para0bullet"/>
        <w:numPr>
          <w:ilvl w:val="0"/>
          <w:numId w:val="72"/>
        </w:numPr>
      </w:pPr>
      <w:r>
        <w:rPr>
          <w:i/>
        </w:rPr>
        <w:t xml:space="preserve">Environment: </w:t>
      </w:r>
      <w:r>
        <w:t>compliance criteria developed for the audit drew on Section 2.2 of the Code (</w:t>
      </w:r>
      <w:r w:rsidRPr="00640904">
        <w:rPr>
          <w:i/>
        </w:rPr>
        <w:t>Environmental values in State forests</w:t>
      </w:r>
      <w:r>
        <w:t xml:space="preserve">) and related compliance elements from the MSPs and PS. There were three environmental sub-themes: soil, water (incorporating flows, water quality and river health) and biodiversity. Some audit criteria related to more than one of these sub-themes. </w:t>
      </w:r>
    </w:p>
    <w:p w14:paraId="5D3FA2DF" w14:textId="77777777" w:rsidR="009B4F8F" w:rsidRDefault="009B4F8F" w:rsidP="00E74AFC">
      <w:pPr>
        <w:pStyle w:val="Para0bullet"/>
        <w:numPr>
          <w:ilvl w:val="0"/>
          <w:numId w:val="72"/>
        </w:numPr>
      </w:pPr>
      <w:r>
        <w:rPr>
          <w:i/>
        </w:rPr>
        <w:t xml:space="preserve">Roading: </w:t>
      </w:r>
      <w:r>
        <w:t>compliance criteria developed for the audit drew on Section 2.4 of the Code (</w:t>
      </w:r>
      <w:r>
        <w:rPr>
          <w:i/>
        </w:rPr>
        <w:t xml:space="preserve">Roading for timber harvesting </w:t>
      </w:r>
      <w:r w:rsidRPr="00640904">
        <w:rPr>
          <w:i/>
        </w:rPr>
        <w:t>operations</w:t>
      </w:r>
      <w:r>
        <w:t>) and related compliance elements from the MSPs. There were three roading sub-themes: design, construction and maintenance-closure. Some of these compliance elements are also relevant to the water and biodiversity sub-themes.</w:t>
      </w:r>
    </w:p>
    <w:bookmarkEnd w:id="36"/>
    <w:bookmarkEnd w:id="37"/>
    <w:p w14:paraId="6D5837B9" w14:textId="77777777" w:rsidR="0036050D" w:rsidRDefault="0036050D" w:rsidP="00D61A6B">
      <w:pPr>
        <w:pStyle w:val="Para0"/>
        <w:sectPr w:rsidR="0036050D" w:rsidSect="005F6162">
          <w:headerReference w:type="default" r:id="rId29"/>
          <w:footerReference w:type="default" r:id="rId30"/>
          <w:pgSz w:w="11906" w:h="16838" w:code="9"/>
          <w:pgMar w:top="567" w:right="851" w:bottom="851" w:left="1440" w:header="567" w:footer="370" w:gutter="0"/>
          <w:pgNumType w:start="1"/>
          <w:cols w:space="0"/>
          <w:formProt w:val="0"/>
          <w:docGrid w:linePitch="360"/>
        </w:sectPr>
      </w:pPr>
    </w:p>
    <w:p w14:paraId="6C5EB7EE" w14:textId="307B3830" w:rsidR="0036050D" w:rsidRDefault="0036050D" w:rsidP="0036050D">
      <w:pPr>
        <w:pStyle w:val="Caption"/>
      </w:pPr>
      <w:bookmarkStart w:id="44" w:name="_Ref13838256"/>
      <w:bookmarkStart w:id="45" w:name="_Ref15587558"/>
      <w:r>
        <w:lastRenderedPageBreak/>
        <w:t xml:space="preserve">Table </w:t>
      </w:r>
      <w:r w:rsidR="0013561C">
        <w:fldChar w:fldCharType="begin" w:fldLock="1"/>
      </w:r>
      <w:r w:rsidR="0013561C">
        <w:instrText xml:space="preserve"> STYLEREF 1 \s </w:instrText>
      </w:r>
      <w:r w:rsidR="0013561C">
        <w:fldChar w:fldCharType="separate"/>
      </w:r>
      <w:r w:rsidR="005544E2">
        <w:rPr>
          <w:noProof/>
        </w:rPr>
        <w:t>3</w:t>
      </w:r>
      <w:r w:rsidR="0013561C">
        <w:rPr>
          <w:noProof/>
        </w:rPr>
        <w:fldChar w:fldCharType="end"/>
      </w:r>
      <w:r>
        <w:t>.</w:t>
      </w:r>
      <w:r w:rsidR="0013561C">
        <w:fldChar w:fldCharType="begin"/>
      </w:r>
      <w:r w:rsidR="0013561C">
        <w:instrText xml:space="preserve"> SEQ Table \* ARABIC \s 1 </w:instrText>
      </w:r>
      <w:r w:rsidR="0013561C">
        <w:fldChar w:fldCharType="separate"/>
      </w:r>
      <w:r w:rsidR="007E0985">
        <w:rPr>
          <w:noProof/>
        </w:rPr>
        <w:t>2</w:t>
      </w:r>
      <w:r w:rsidR="0013561C">
        <w:rPr>
          <w:noProof/>
        </w:rPr>
        <w:fldChar w:fldCharType="end"/>
      </w:r>
      <w:bookmarkEnd w:id="44"/>
      <w:r>
        <w:t xml:space="preserve"> Location and characteristics of harvest coupes included in 2018-19 FAP</w:t>
      </w:r>
      <w:bookmarkEnd w:id="45"/>
    </w:p>
    <w:tbl>
      <w:tblPr>
        <w:tblW w:w="15100" w:type="dxa"/>
        <w:tblInd w:w="93"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723"/>
        <w:gridCol w:w="1485"/>
        <w:gridCol w:w="1522"/>
        <w:gridCol w:w="1815"/>
        <w:gridCol w:w="1142"/>
        <w:gridCol w:w="1144"/>
        <w:gridCol w:w="1144"/>
        <w:gridCol w:w="1144"/>
        <w:gridCol w:w="1549"/>
        <w:gridCol w:w="1144"/>
        <w:gridCol w:w="1144"/>
        <w:gridCol w:w="1144"/>
      </w:tblGrid>
      <w:tr w:rsidR="0036050D" w14:paraId="7000854F" w14:textId="77777777" w:rsidTr="0036050D">
        <w:trPr>
          <w:trHeight w:val="480"/>
          <w:tblHeader/>
        </w:trPr>
        <w:tc>
          <w:tcPr>
            <w:tcW w:w="723" w:type="dxa"/>
            <w:shd w:val="clear" w:color="auto" w:fill="E5E5E5" w:themeFill="background2"/>
            <w:vAlign w:val="center"/>
            <w:hideMark/>
          </w:tcPr>
          <w:p w14:paraId="08C30BE4" w14:textId="77777777" w:rsidR="0036050D" w:rsidRPr="001C0F84" w:rsidRDefault="0036050D" w:rsidP="0036050D">
            <w:pPr>
              <w:pStyle w:val="Tablesmalltext"/>
              <w:jc w:val="center"/>
              <w:rPr>
                <w:rFonts w:eastAsia="Times New Roman"/>
                <w:lang w:val="en-AU" w:eastAsia="en-AU"/>
              </w:rPr>
            </w:pPr>
            <w:r w:rsidRPr="001C0F84">
              <w:rPr>
                <w:rFonts w:eastAsia="Times New Roman"/>
                <w:lang w:val="en-AU" w:eastAsia="en-AU"/>
              </w:rPr>
              <w:t>Audit #</w:t>
            </w:r>
          </w:p>
        </w:tc>
        <w:tc>
          <w:tcPr>
            <w:tcW w:w="1485" w:type="dxa"/>
            <w:shd w:val="clear" w:color="auto" w:fill="E5E5E5" w:themeFill="background2"/>
            <w:vAlign w:val="center"/>
            <w:hideMark/>
          </w:tcPr>
          <w:p w14:paraId="3DABE8FE" w14:textId="77777777" w:rsidR="0036050D" w:rsidRPr="001C0F84" w:rsidRDefault="0036050D" w:rsidP="0036050D">
            <w:pPr>
              <w:pStyle w:val="Tablesmalltext"/>
              <w:rPr>
                <w:rFonts w:eastAsia="Times New Roman"/>
                <w:lang w:val="en-AU" w:eastAsia="en-AU"/>
              </w:rPr>
            </w:pPr>
            <w:r w:rsidRPr="001C0F84">
              <w:rPr>
                <w:rFonts w:eastAsia="Times New Roman"/>
                <w:lang w:val="en-AU" w:eastAsia="en-AU"/>
              </w:rPr>
              <w:t xml:space="preserve">Coupe </w:t>
            </w:r>
            <w:r>
              <w:rPr>
                <w:rFonts w:eastAsia="Times New Roman"/>
                <w:lang w:val="en-AU" w:eastAsia="en-AU"/>
              </w:rPr>
              <w:t>address</w:t>
            </w:r>
          </w:p>
        </w:tc>
        <w:tc>
          <w:tcPr>
            <w:tcW w:w="1522" w:type="dxa"/>
            <w:shd w:val="clear" w:color="auto" w:fill="E5E5E5" w:themeFill="background2"/>
            <w:vAlign w:val="center"/>
            <w:hideMark/>
          </w:tcPr>
          <w:p w14:paraId="071636D6" w14:textId="77777777" w:rsidR="0036050D" w:rsidRPr="001C0F84" w:rsidRDefault="0036050D" w:rsidP="0036050D">
            <w:pPr>
              <w:pStyle w:val="Tablesmalltext"/>
              <w:rPr>
                <w:rFonts w:eastAsia="Times New Roman"/>
                <w:lang w:val="en-AU" w:eastAsia="en-AU"/>
              </w:rPr>
            </w:pPr>
            <w:r w:rsidRPr="001C0F84">
              <w:rPr>
                <w:rFonts w:eastAsia="Times New Roman"/>
                <w:lang w:val="en-AU" w:eastAsia="en-AU"/>
              </w:rPr>
              <w:t>Coupe Name</w:t>
            </w:r>
          </w:p>
        </w:tc>
        <w:tc>
          <w:tcPr>
            <w:tcW w:w="1815" w:type="dxa"/>
            <w:shd w:val="clear" w:color="auto" w:fill="E5E5E5" w:themeFill="background2"/>
            <w:vAlign w:val="center"/>
          </w:tcPr>
          <w:p w14:paraId="7A426C0E"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FMA</w:t>
            </w:r>
          </w:p>
        </w:tc>
        <w:tc>
          <w:tcPr>
            <w:tcW w:w="1142" w:type="dxa"/>
            <w:shd w:val="clear" w:color="auto" w:fill="E5E5E5" w:themeFill="background2"/>
            <w:vAlign w:val="center"/>
            <w:hideMark/>
          </w:tcPr>
          <w:p w14:paraId="61385DC1"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Rainforest vegetation</w:t>
            </w:r>
          </w:p>
        </w:tc>
        <w:tc>
          <w:tcPr>
            <w:tcW w:w="1144" w:type="dxa"/>
            <w:shd w:val="clear" w:color="auto" w:fill="E5E5E5" w:themeFill="background2"/>
            <w:vAlign w:val="center"/>
            <w:hideMark/>
          </w:tcPr>
          <w:p w14:paraId="4A719AF1" w14:textId="77777777" w:rsidR="0036050D" w:rsidRPr="004F1128" w:rsidRDefault="0036050D" w:rsidP="0036050D">
            <w:pPr>
              <w:pStyle w:val="Tablesmalltext"/>
              <w:jc w:val="center"/>
              <w:rPr>
                <w:rFonts w:eastAsia="Times New Roman"/>
                <w:vertAlign w:val="superscript"/>
                <w:lang w:val="en-AU" w:eastAsia="en-AU"/>
              </w:rPr>
            </w:pPr>
            <w:r>
              <w:rPr>
                <w:rFonts w:eastAsia="Times New Roman"/>
                <w:lang w:val="en-AU" w:eastAsia="en-AU"/>
              </w:rPr>
              <w:t>Waterway crossing</w:t>
            </w:r>
            <w:r>
              <w:rPr>
                <w:rFonts w:eastAsia="Times New Roman"/>
                <w:vertAlign w:val="superscript"/>
                <w:lang w:val="en-AU" w:eastAsia="en-AU"/>
              </w:rPr>
              <w:t>1</w:t>
            </w:r>
          </w:p>
        </w:tc>
        <w:tc>
          <w:tcPr>
            <w:tcW w:w="1144" w:type="dxa"/>
            <w:shd w:val="clear" w:color="auto" w:fill="E5E5E5" w:themeFill="background2"/>
            <w:vAlign w:val="center"/>
          </w:tcPr>
          <w:p w14:paraId="0351E3A0" w14:textId="77777777" w:rsidR="0036050D" w:rsidRPr="004F1128" w:rsidRDefault="0036050D" w:rsidP="0036050D">
            <w:pPr>
              <w:pStyle w:val="Tablesmalltext"/>
              <w:jc w:val="center"/>
              <w:rPr>
                <w:rFonts w:eastAsia="Times New Roman"/>
                <w:vertAlign w:val="superscript"/>
                <w:lang w:val="en-AU" w:eastAsia="en-AU"/>
              </w:rPr>
            </w:pPr>
            <w:r>
              <w:rPr>
                <w:rFonts w:eastAsia="Times New Roman"/>
                <w:lang w:val="en-AU" w:eastAsia="en-AU"/>
              </w:rPr>
              <w:t>In-coupe road length</w:t>
            </w:r>
            <w:r>
              <w:rPr>
                <w:rFonts w:eastAsia="Times New Roman"/>
                <w:vertAlign w:val="superscript"/>
                <w:lang w:val="en-AU" w:eastAsia="en-AU"/>
              </w:rPr>
              <w:t>2</w:t>
            </w:r>
          </w:p>
        </w:tc>
        <w:tc>
          <w:tcPr>
            <w:tcW w:w="1144" w:type="dxa"/>
            <w:shd w:val="clear" w:color="auto" w:fill="E5E5E5" w:themeFill="background2"/>
            <w:vAlign w:val="center"/>
          </w:tcPr>
          <w:p w14:paraId="77961CF4" w14:textId="77777777" w:rsidR="0036050D" w:rsidRDefault="0036050D" w:rsidP="0036050D">
            <w:pPr>
              <w:pStyle w:val="Tablesmalltext"/>
              <w:jc w:val="center"/>
              <w:rPr>
                <w:rFonts w:eastAsia="Times New Roman"/>
                <w:lang w:val="en-AU" w:eastAsia="en-AU"/>
              </w:rPr>
            </w:pPr>
            <w:r>
              <w:rPr>
                <w:rFonts w:eastAsia="Times New Roman"/>
                <w:lang w:val="en-AU" w:eastAsia="en-AU"/>
              </w:rPr>
              <w:t>Average slope</w:t>
            </w:r>
          </w:p>
        </w:tc>
        <w:tc>
          <w:tcPr>
            <w:tcW w:w="1549" w:type="dxa"/>
            <w:shd w:val="clear" w:color="auto" w:fill="E5E5E5" w:themeFill="background2"/>
            <w:vAlign w:val="center"/>
          </w:tcPr>
          <w:p w14:paraId="54E1C6CF" w14:textId="77777777" w:rsidR="0036050D" w:rsidRDefault="0036050D" w:rsidP="0036050D">
            <w:pPr>
              <w:pStyle w:val="Tablesmalltext"/>
              <w:jc w:val="center"/>
              <w:rPr>
                <w:rFonts w:eastAsia="Times New Roman"/>
                <w:lang w:val="en-AU" w:eastAsia="en-AU"/>
              </w:rPr>
            </w:pPr>
            <w:r>
              <w:rPr>
                <w:rFonts w:eastAsia="Times New Roman"/>
                <w:lang w:val="en-AU" w:eastAsia="en-AU"/>
              </w:rPr>
              <w:t>Max soil erosion hazard</w:t>
            </w:r>
          </w:p>
        </w:tc>
        <w:tc>
          <w:tcPr>
            <w:tcW w:w="1144" w:type="dxa"/>
            <w:shd w:val="clear" w:color="auto" w:fill="E5E5E5" w:themeFill="background2"/>
          </w:tcPr>
          <w:p w14:paraId="7494E204" w14:textId="77777777" w:rsidR="0036050D" w:rsidRDefault="0036050D" w:rsidP="0036050D">
            <w:pPr>
              <w:pStyle w:val="Tablesmalltext"/>
              <w:jc w:val="center"/>
              <w:rPr>
                <w:rFonts w:eastAsia="Times New Roman"/>
                <w:lang w:val="en-AU" w:eastAsia="en-AU"/>
              </w:rPr>
            </w:pPr>
            <w:r>
              <w:rPr>
                <w:rFonts w:eastAsia="Times New Roman"/>
                <w:lang w:val="en-AU" w:eastAsia="en-AU"/>
              </w:rPr>
              <w:t>SMZ or SPZ</w:t>
            </w:r>
          </w:p>
        </w:tc>
        <w:tc>
          <w:tcPr>
            <w:tcW w:w="1144" w:type="dxa"/>
            <w:shd w:val="clear" w:color="auto" w:fill="E5E5E5" w:themeFill="background2"/>
            <w:vAlign w:val="center"/>
          </w:tcPr>
          <w:p w14:paraId="0EAFA619" w14:textId="77777777" w:rsidR="0036050D" w:rsidRDefault="0036050D" w:rsidP="0036050D">
            <w:pPr>
              <w:pStyle w:val="Tablesmalltext"/>
              <w:jc w:val="center"/>
              <w:rPr>
                <w:rFonts w:eastAsia="Times New Roman"/>
                <w:lang w:val="en-AU" w:eastAsia="en-AU"/>
              </w:rPr>
            </w:pPr>
            <w:r>
              <w:rPr>
                <w:rFonts w:eastAsia="Times New Roman"/>
                <w:lang w:val="en-AU" w:eastAsia="en-AU"/>
              </w:rPr>
              <w:t>Listed flora</w:t>
            </w:r>
          </w:p>
        </w:tc>
        <w:tc>
          <w:tcPr>
            <w:tcW w:w="1144" w:type="dxa"/>
            <w:shd w:val="clear" w:color="auto" w:fill="E5E5E5" w:themeFill="background2"/>
            <w:vAlign w:val="center"/>
          </w:tcPr>
          <w:p w14:paraId="0383BD44" w14:textId="77777777" w:rsidR="0036050D" w:rsidRDefault="0036050D" w:rsidP="0036050D">
            <w:pPr>
              <w:pStyle w:val="Tablesmalltext"/>
              <w:jc w:val="center"/>
              <w:rPr>
                <w:rFonts w:eastAsia="Times New Roman"/>
                <w:lang w:val="en-AU" w:eastAsia="en-AU"/>
              </w:rPr>
            </w:pPr>
            <w:r>
              <w:rPr>
                <w:rFonts w:eastAsia="Times New Roman"/>
                <w:lang w:val="en-AU" w:eastAsia="en-AU"/>
              </w:rPr>
              <w:t>Listed fauna</w:t>
            </w:r>
          </w:p>
        </w:tc>
      </w:tr>
      <w:tr w:rsidR="0036050D" w:rsidRPr="001C0F84" w14:paraId="31D4A917" w14:textId="77777777" w:rsidTr="009B4F8F">
        <w:trPr>
          <w:trHeight w:val="240"/>
        </w:trPr>
        <w:tc>
          <w:tcPr>
            <w:tcW w:w="723" w:type="dxa"/>
            <w:shd w:val="clear" w:color="auto" w:fill="auto"/>
            <w:noWrap/>
            <w:vAlign w:val="center"/>
          </w:tcPr>
          <w:p w14:paraId="5F071CF6"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1</w:t>
            </w:r>
          </w:p>
        </w:tc>
        <w:tc>
          <w:tcPr>
            <w:tcW w:w="1485" w:type="dxa"/>
            <w:shd w:val="clear" w:color="auto" w:fill="auto"/>
            <w:noWrap/>
          </w:tcPr>
          <w:p w14:paraId="2EEEED8C" w14:textId="77777777" w:rsidR="0036050D" w:rsidRPr="001C0F84" w:rsidRDefault="0036050D" w:rsidP="0036050D">
            <w:pPr>
              <w:pStyle w:val="Tablesmalltext"/>
              <w:rPr>
                <w:rFonts w:eastAsia="Times New Roman"/>
                <w:lang w:val="en-AU" w:eastAsia="en-AU"/>
              </w:rPr>
            </w:pPr>
            <w:r w:rsidRPr="003172EE">
              <w:t>299-511-0002</w:t>
            </w:r>
          </w:p>
        </w:tc>
        <w:tc>
          <w:tcPr>
            <w:tcW w:w="1522" w:type="dxa"/>
            <w:shd w:val="clear" w:color="auto" w:fill="auto"/>
            <w:noWrap/>
          </w:tcPr>
          <w:p w14:paraId="1F1BE815" w14:textId="77777777" w:rsidR="0036050D" w:rsidRPr="001C0F84" w:rsidRDefault="0036050D" w:rsidP="0036050D">
            <w:pPr>
              <w:pStyle w:val="Tablesmalltext"/>
              <w:rPr>
                <w:rFonts w:eastAsia="Times New Roman"/>
                <w:lang w:val="en-AU" w:eastAsia="en-AU"/>
              </w:rPr>
            </w:pPr>
            <w:r w:rsidRPr="003172EE">
              <w:t>Corkscrew</w:t>
            </w:r>
          </w:p>
        </w:tc>
        <w:tc>
          <w:tcPr>
            <w:tcW w:w="1815" w:type="dxa"/>
          </w:tcPr>
          <w:p w14:paraId="0CA32767" w14:textId="77777777" w:rsidR="0036050D" w:rsidRPr="001C0F84" w:rsidRDefault="0036050D" w:rsidP="0036050D">
            <w:pPr>
              <w:pStyle w:val="Tablesmalltext"/>
              <w:jc w:val="center"/>
              <w:rPr>
                <w:rFonts w:eastAsia="Times New Roman"/>
                <w:lang w:val="en-AU" w:eastAsia="en-AU"/>
              </w:rPr>
            </w:pPr>
            <w:r>
              <w:t>Central</w:t>
            </w:r>
          </w:p>
        </w:tc>
        <w:tc>
          <w:tcPr>
            <w:tcW w:w="1142" w:type="dxa"/>
            <w:shd w:val="clear" w:color="auto" w:fill="auto"/>
            <w:noWrap/>
          </w:tcPr>
          <w:p w14:paraId="6A2B4F9D"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noWrap/>
          </w:tcPr>
          <w:p w14:paraId="1A9A38E4"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tcPr>
          <w:p w14:paraId="29854A29"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797ADDBC" w14:textId="77777777" w:rsidR="0036050D" w:rsidRPr="001C0F84" w:rsidRDefault="0036050D" w:rsidP="0036050D">
            <w:pPr>
              <w:pStyle w:val="Tablesmalltext"/>
              <w:jc w:val="center"/>
              <w:rPr>
                <w:rFonts w:eastAsia="Times New Roman"/>
                <w:lang w:val="en-AU" w:eastAsia="en-AU"/>
              </w:rPr>
            </w:pPr>
            <w:r>
              <w:t>&gt;15</w:t>
            </w:r>
          </w:p>
        </w:tc>
        <w:tc>
          <w:tcPr>
            <w:tcW w:w="1549" w:type="dxa"/>
          </w:tcPr>
          <w:p w14:paraId="79996323" w14:textId="77777777" w:rsidR="0036050D" w:rsidRPr="001C0F84" w:rsidRDefault="0036050D" w:rsidP="0036050D">
            <w:pPr>
              <w:pStyle w:val="Tablesmalltext"/>
              <w:jc w:val="center"/>
              <w:rPr>
                <w:rFonts w:eastAsia="Times New Roman"/>
                <w:lang w:val="en-AU" w:eastAsia="en-AU"/>
              </w:rPr>
            </w:pPr>
            <w:r>
              <w:t>Low</w:t>
            </w:r>
          </w:p>
        </w:tc>
        <w:tc>
          <w:tcPr>
            <w:tcW w:w="1144" w:type="dxa"/>
          </w:tcPr>
          <w:p w14:paraId="0C7D4103" w14:textId="77777777" w:rsidR="0036050D" w:rsidRPr="001C0F84" w:rsidRDefault="0036050D" w:rsidP="0036050D">
            <w:pPr>
              <w:pStyle w:val="Tablesmalltext"/>
              <w:jc w:val="center"/>
              <w:rPr>
                <w:rFonts w:eastAsia="Times New Roman"/>
                <w:lang w:val="en-AU" w:eastAsia="en-AU"/>
              </w:rPr>
            </w:pPr>
            <w:r>
              <w:t>SPZ</w:t>
            </w:r>
          </w:p>
        </w:tc>
        <w:tc>
          <w:tcPr>
            <w:tcW w:w="1144" w:type="dxa"/>
          </w:tcPr>
          <w:p w14:paraId="3C33B6FA" w14:textId="77777777" w:rsidR="0036050D" w:rsidRPr="001C0F84" w:rsidRDefault="0036050D" w:rsidP="0036050D">
            <w:pPr>
              <w:pStyle w:val="Tablesmalltext"/>
              <w:jc w:val="center"/>
              <w:rPr>
                <w:rFonts w:eastAsia="Times New Roman"/>
                <w:lang w:val="en-AU" w:eastAsia="en-AU"/>
              </w:rPr>
            </w:pPr>
            <w:r>
              <w:t>No</w:t>
            </w:r>
          </w:p>
        </w:tc>
        <w:tc>
          <w:tcPr>
            <w:tcW w:w="1144" w:type="dxa"/>
          </w:tcPr>
          <w:p w14:paraId="26FF7914" w14:textId="77777777" w:rsidR="0036050D" w:rsidRDefault="0036050D" w:rsidP="0036050D">
            <w:pPr>
              <w:pStyle w:val="Tablesmalltext"/>
              <w:jc w:val="center"/>
            </w:pPr>
            <w:r>
              <w:t>No</w:t>
            </w:r>
          </w:p>
        </w:tc>
      </w:tr>
      <w:tr w:rsidR="0036050D" w:rsidRPr="001C0F84" w14:paraId="5124C889" w14:textId="77777777" w:rsidTr="009B4F8F">
        <w:trPr>
          <w:trHeight w:val="240"/>
        </w:trPr>
        <w:tc>
          <w:tcPr>
            <w:tcW w:w="723" w:type="dxa"/>
            <w:shd w:val="clear" w:color="auto" w:fill="auto"/>
            <w:noWrap/>
            <w:vAlign w:val="center"/>
          </w:tcPr>
          <w:p w14:paraId="4667B35E"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2</w:t>
            </w:r>
          </w:p>
        </w:tc>
        <w:tc>
          <w:tcPr>
            <w:tcW w:w="1485" w:type="dxa"/>
            <w:shd w:val="clear" w:color="auto" w:fill="auto"/>
            <w:noWrap/>
          </w:tcPr>
          <w:p w14:paraId="1358F917" w14:textId="77777777" w:rsidR="0036050D" w:rsidRPr="001C0F84" w:rsidRDefault="0036050D" w:rsidP="0036050D">
            <w:pPr>
              <w:pStyle w:val="Tablesmalltext"/>
              <w:rPr>
                <w:rFonts w:eastAsia="Times New Roman"/>
                <w:lang w:val="en-AU" w:eastAsia="en-AU"/>
              </w:rPr>
            </w:pPr>
            <w:r w:rsidRPr="003172EE">
              <w:t>300-501-0003</w:t>
            </w:r>
          </w:p>
        </w:tc>
        <w:tc>
          <w:tcPr>
            <w:tcW w:w="1522" w:type="dxa"/>
            <w:shd w:val="clear" w:color="auto" w:fill="auto"/>
            <w:noWrap/>
          </w:tcPr>
          <w:p w14:paraId="575895F6" w14:textId="77777777" w:rsidR="0036050D" w:rsidRPr="001C0F84" w:rsidRDefault="0036050D" w:rsidP="0036050D">
            <w:pPr>
              <w:pStyle w:val="Tablesmalltext"/>
              <w:rPr>
                <w:rFonts w:eastAsia="Times New Roman"/>
                <w:lang w:val="en-AU" w:eastAsia="en-AU"/>
              </w:rPr>
            </w:pPr>
            <w:r w:rsidRPr="003172EE">
              <w:t>Floater</w:t>
            </w:r>
          </w:p>
        </w:tc>
        <w:tc>
          <w:tcPr>
            <w:tcW w:w="1815" w:type="dxa"/>
          </w:tcPr>
          <w:p w14:paraId="7C7DD774" w14:textId="77777777" w:rsidR="0036050D" w:rsidRPr="001C0F84" w:rsidRDefault="0036050D" w:rsidP="0036050D">
            <w:pPr>
              <w:pStyle w:val="Tablesmalltext"/>
              <w:jc w:val="center"/>
              <w:rPr>
                <w:rFonts w:eastAsia="Times New Roman"/>
                <w:lang w:val="en-AU" w:eastAsia="en-AU"/>
              </w:rPr>
            </w:pPr>
            <w:r w:rsidRPr="00CF0145">
              <w:t>Central</w:t>
            </w:r>
          </w:p>
        </w:tc>
        <w:tc>
          <w:tcPr>
            <w:tcW w:w="1142" w:type="dxa"/>
            <w:shd w:val="clear" w:color="auto" w:fill="auto"/>
            <w:noWrap/>
          </w:tcPr>
          <w:p w14:paraId="02BF7C39"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070D4C96"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tcPr>
          <w:p w14:paraId="243FBA9D" w14:textId="77777777" w:rsidR="0036050D" w:rsidRPr="001C0F84" w:rsidRDefault="0036050D" w:rsidP="0036050D">
            <w:pPr>
              <w:pStyle w:val="Tablesmalltext"/>
              <w:jc w:val="center"/>
              <w:rPr>
                <w:rFonts w:eastAsia="Times New Roman"/>
                <w:lang w:val="en-AU" w:eastAsia="en-AU"/>
              </w:rPr>
            </w:pPr>
            <w:r>
              <w:t>0</w:t>
            </w:r>
          </w:p>
        </w:tc>
        <w:tc>
          <w:tcPr>
            <w:tcW w:w="1144" w:type="dxa"/>
          </w:tcPr>
          <w:p w14:paraId="3BE6D246"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211D8955" w14:textId="77777777" w:rsidR="0036050D" w:rsidRPr="001C0F84" w:rsidRDefault="0036050D" w:rsidP="0036050D">
            <w:pPr>
              <w:pStyle w:val="Tablesmalltext"/>
              <w:jc w:val="center"/>
              <w:rPr>
                <w:rFonts w:eastAsia="Times New Roman"/>
                <w:lang w:val="en-AU" w:eastAsia="en-AU"/>
              </w:rPr>
            </w:pPr>
            <w:r>
              <w:t>Low</w:t>
            </w:r>
          </w:p>
        </w:tc>
        <w:tc>
          <w:tcPr>
            <w:tcW w:w="1144" w:type="dxa"/>
          </w:tcPr>
          <w:p w14:paraId="052A3F06" w14:textId="77777777" w:rsidR="0036050D" w:rsidRPr="001C0F84" w:rsidRDefault="0036050D" w:rsidP="0036050D">
            <w:pPr>
              <w:pStyle w:val="Tablesmalltext"/>
              <w:jc w:val="center"/>
              <w:rPr>
                <w:rFonts w:eastAsia="Times New Roman"/>
                <w:lang w:val="en-AU" w:eastAsia="en-AU"/>
              </w:rPr>
            </w:pPr>
            <w:r>
              <w:t>SMZ only</w:t>
            </w:r>
          </w:p>
        </w:tc>
        <w:tc>
          <w:tcPr>
            <w:tcW w:w="1144" w:type="dxa"/>
          </w:tcPr>
          <w:p w14:paraId="40C0850C"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34BCFC38" w14:textId="77777777" w:rsidR="0036050D" w:rsidRDefault="0036050D" w:rsidP="0036050D">
            <w:pPr>
              <w:pStyle w:val="Tablesmalltext"/>
              <w:jc w:val="center"/>
            </w:pPr>
            <w:r>
              <w:t>Yes</w:t>
            </w:r>
          </w:p>
        </w:tc>
      </w:tr>
      <w:tr w:rsidR="0036050D" w:rsidRPr="001C0F84" w14:paraId="4820E66F" w14:textId="77777777" w:rsidTr="009B4F8F">
        <w:trPr>
          <w:trHeight w:val="240"/>
        </w:trPr>
        <w:tc>
          <w:tcPr>
            <w:tcW w:w="723" w:type="dxa"/>
            <w:shd w:val="clear" w:color="auto" w:fill="auto"/>
            <w:noWrap/>
            <w:vAlign w:val="center"/>
          </w:tcPr>
          <w:p w14:paraId="0B2E0198"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3</w:t>
            </w:r>
          </w:p>
        </w:tc>
        <w:tc>
          <w:tcPr>
            <w:tcW w:w="1485" w:type="dxa"/>
            <w:shd w:val="clear" w:color="auto" w:fill="auto"/>
            <w:noWrap/>
          </w:tcPr>
          <w:p w14:paraId="7EFFE52E" w14:textId="77777777" w:rsidR="0036050D" w:rsidRPr="001C0F84" w:rsidRDefault="0036050D" w:rsidP="0036050D">
            <w:pPr>
              <w:pStyle w:val="Tablesmalltext"/>
              <w:rPr>
                <w:rFonts w:eastAsia="Times New Roman"/>
                <w:lang w:val="en-AU" w:eastAsia="en-AU"/>
              </w:rPr>
            </w:pPr>
            <w:r w:rsidRPr="003172EE">
              <w:t>300-517-0003</w:t>
            </w:r>
          </w:p>
        </w:tc>
        <w:tc>
          <w:tcPr>
            <w:tcW w:w="1522" w:type="dxa"/>
            <w:shd w:val="clear" w:color="auto" w:fill="auto"/>
            <w:noWrap/>
          </w:tcPr>
          <w:p w14:paraId="3A08020F" w14:textId="77777777" w:rsidR="0036050D" w:rsidRPr="001C0F84" w:rsidRDefault="0036050D" w:rsidP="0036050D">
            <w:pPr>
              <w:pStyle w:val="Tablesmalltext"/>
              <w:rPr>
                <w:rFonts w:eastAsia="Times New Roman"/>
                <w:lang w:val="en-AU" w:eastAsia="en-AU"/>
              </w:rPr>
            </w:pPr>
            <w:r w:rsidRPr="003172EE">
              <w:t>Funnel Web</w:t>
            </w:r>
          </w:p>
        </w:tc>
        <w:tc>
          <w:tcPr>
            <w:tcW w:w="1815" w:type="dxa"/>
          </w:tcPr>
          <w:p w14:paraId="6043C619" w14:textId="77777777" w:rsidR="0036050D" w:rsidRPr="001C0F84" w:rsidRDefault="0036050D" w:rsidP="0036050D">
            <w:pPr>
              <w:pStyle w:val="Tablesmalltext"/>
              <w:jc w:val="center"/>
              <w:rPr>
                <w:rFonts w:eastAsia="Times New Roman"/>
                <w:lang w:val="en-AU" w:eastAsia="en-AU"/>
              </w:rPr>
            </w:pPr>
            <w:r w:rsidRPr="00CF0145">
              <w:t>Central</w:t>
            </w:r>
          </w:p>
        </w:tc>
        <w:tc>
          <w:tcPr>
            <w:tcW w:w="1142" w:type="dxa"/>
            <w:shd w:val="clear" w:color="auto" w:fill="auto"/>
            <w:noWrap/>
          </w:tcPr>
          <w:p w14:paraId="2313A651"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43E04738"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tcPr>
          <w:p w14:paraId="0E19085D"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7162832A"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6B4EE8FA" w14:textId="77777777" w:rsidR="0036050D" w:rsidRPr="001C0F84" w:rsidRDefault="0036050D" w:rsidP="0036050D">
            <w:pPr>
              <w:pStyle w:val="Tablesmalltext"/>
              <w:jc w:val="center"/>
              <w:rPr>
                <w:rFonts w:eastAsia="Times New Roman"/>
                <w:lang w:val="en-AU" w:eastAsia="en-AU"/>
              </w:rPr>
            </w:pPr>
            <w:r>
              <w:t>High</w:t>
            </w:r>
          </w:p>
        </w:tc>
        <w:tc>
          <w:tcPr>
            <w:tcW w:w="1144" w:type="dxa"/>
          </w:tcPr>
          <w:p w14:paraId="4D4CAF70" w14:textId="77777777" w:rsidR="0036050D" w:rsidRPr="001C0F84" w:rsidRDefault="0036050D" w:rsidP="0036050D">
            <w:pPr>
              <w:pStyle w:val="Tablesmalltext"/>
              <w:jc w:val="center"/>
              <w:rPr>
                <w:rFonts w:eastAsia="Times New Roman"/>
                <w:lang w:val="en-AU" w:eastAsia="en-AU"/>
              </w:rPr>
            </w:pPr>
            <w:r>
              <w:t>SMZ only</w:t>
            </w:r>
          </w:p>
        </w:tc>
        <w:tc>
          <w:tcPr>
            <w:tcW w:w="1144" w:type="dxa"/>
          </w:tcPr>
          <w:p w14:paraId="11F335D4"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3A64CD33" w14:textId="77777777" w:rsidR="0036050D" w:rsidRDefault="0036050D" w:rsidP="0036050D">
            <w:pPr>
              <w:pStyle w:val="Tablesmalltext"/>
              <w:jc w:val="center"/>
            </w:pPr>
            <w:r>
              <w:t>No</w:t>
            </w:r>
          </w:p>
        </w:tc>
      </w:tr>
      <w:tr w:rsidR="0036050D" w:rsidRPr="001C0F84" w14:paraId="0C7CB53B" w14:textId="77777777" w:rsidTr="009B4F8F">
        <w:trPr>
          <w:trHeight w:val="240"/>
        </w:trPr>
        <w:tc>
          <w:tcPr>
            <w:tcW w:w="723" w:type="dxa"/>
            <w:shd w:val="clear" w:color="auto" w:fill="auto"/>
            <w:noWrap/>
            <w:vAlign w:val="center"/>
          </w:tcPr>
          <w:p w14:paraId="3135000D"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4</w:t>
            </w:r>
          </w:p>
        </w:tc>
        <w:tc>
          <w:tcPr>
            <w:tcW w:w="1485" w:type="dxa"/>
            <w:shd w:val="clear" w:color="auto" w:fill="auto"/>
            <w:noWrap/>
          </w:tcPr>
          <w:p w14:paraId="594FB063" w14:textId="77777777" w:rsidR="0036050D" w:rsidRPr="001C0F84" w:rsidRDefault="0036050D" w:rsidP="0036050D">
            <w:pPr>
              <w:pStyle w:val="Tablesmalltext"/>
              <w:rPr>
                <w:rFonts w:eastAsia="Times New Roman"/>
                <w:lang w:val="en-AU" w:eastAsia="en-AU"/>
              </w:rPr>
            </w:pPr>
            <w:r w:rsidRPr="003172EE">
              <w:t>300-517-0004</w:t>
            </w:r>
          </w:p>
        </w:tc>
        <w:tc>
          <w:tcPr>
            <w:tcW w:w="1522" w:type="dxa"/>
            <w:shd w:val="clear" w:color="auto" w:fill="auto"/>
            <w:noWrap/>
          </w:tcPr>
          <w:p w14:paraId="612EB29C" w14:textId="77777777" w:rsidR="0036050D" w:rsidRPr="001C0F84" w:rsidRDefault="0036050D" w:rsidP="0036050D">
            <w:pPr>
              <w:pStyle w:val="Tablesmalltext"/>
              <w:rPr>
                <w:rFonts w:eastAsia="Times New Roman"/>
                <w:lang w:val="en-AU" w:eastAsia="en-AU"/>
              </w:rPr>
            </w:pPr>
            <w:r w:rsidRPr="003172EE">
              <w:t>Black Widow</w:t>
            </w:r>
          </w:p>
        </w:tc>
        <w:tc>
          <w:tcPr>
            <w:tcW w:w="1815" w:type="dxa"/>
          </w:tcPr>
          <w:p w14:paraId="5786F30C" w14:textId="77777777" w:rsidR="0036050D" w:rsidRPr="001C0F84" w:rsidRDefault="0036050D" w:rsidP="0036050D">
            <w:pPr>
              <w:pStyle w:val="Tablesmalltext"/>
              <w:jc w:val="center"/>
              <w:rPr>
                <w:rFonts w:eastAsia="Times New Roman"/>
                <w:lang w:val="en-AU" w:eastAsia="en-AU"/>
              </w:rPr>
            </w:pPr>
            <w:r w:rsidRPr="00CF0145">
              <w:t>Central</w:t>
            </w:r>
          </w:p>
        </w:tc>
        <w:tc>
          <w:tcPr>
            <w:tcW w:w="1142" w:type="dxa"/>
            <w:shd w:val="clear" w:color="auto" w:fill="auto"/>
            <w:noWrap/>
          </w:tcPr>
          <w:p w14:paraId="6F26EE2B"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438BED85"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FFFFCC"/>
          </w:tcPr>
          <w:p w14:paraId="6A23D191"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7B2BA819"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54DCD405" w14:textId="77777777" w:rsidR="0036050D" w:rsidRPr="001C0F84" w:rsidRDefault="0036050D" w:rsidP="0036050D">
            <w:pPr>
              <w:pStyle w:val="Tablesmalltext"/>
              <w:jc w:val="center"/>
              <w:rPr>
                <w:rFonts w:eastAsia="Times New Roman"/>
                <w:lang w:val="en-AU" w:eastAsia="en-AU"/>
              </w:rPr>
            </w:pPr>
            <w:r>
              <w:t>High</w:t>
            </w:r>
          </w:p>
        </w:tc>
        <w:tc>
          <w:tcPr>
            <w:tcW w:w="1144" w:type="dxa"/>
          </w:tcPr>
          <w:p w14:paraId="36BEB748" w14:textId="77777777" w:rsidR="0036050D" w:rsidRPr="001C0F84" w:rsidRDefault="0036050D" w:rsidP="0036050D">
            <w:pPr>
              <w:pStyle w:val="Tablesmalltext"/>
              <w:jc w:val="center"/>
              <w:rPr>
                <w:rFonts w:eastAsia="Times New Roman"/>
                <w:lang w:val="en-AU" w:eastAsia="en-AU"/>
              </w:rPr>
            </w:pPr>
            <w:r>
              <w:t>SMZ only</w:t>
            </w:r>
          </w:p>
        </w:tc>
        <w:tc>
          <w:tcPr>
            <w:tcW w:w="1144" w:type="dxa"/>
          </w:tcPr>
          <w:p w14:paraId="4D8A1B79"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464CD463" w14:textId="77777777" w:rsidR="0036050D" w:rsidRDefault="0036050D" w:rsidP="0036050D">
            <w:pPr>
              <w:pStyle w:val="Tablesmalltext"/>
              <w:jc w:val="center"/>
            </w:pPr>
            <w:r>
              <w:t>Yes</w:t>
            </w:r>
          </w:p>
        </w:tc>
      </w:tr>
      <w:tr w:rsidR="0036050D" w:rsidRPr="001C0F84" w14:paraId="5B664598" w14:textId="77777777" w:rsidTr="009B4F8F">
        <w:trPr>
          <w:trHeight w:val="240"/>
        </w:trPr>
        <w:tc>
          <w:tcPr>
            <w:tcW w:w="723" w:type="dxa"/>
            <w:shd w:val="clear" w:color="auto" w:fill="auto"/>
            <w:noWrap/>
            <w:vAlign w:val="center"/>
          </w:tcPr>
          <w:p w14:paraId="2741550D"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5</w:t>
            </w:r>
          </w:p>
        </w:tc>
        <w:tc>
          <w:tcPr>
            <w:tcW w:w="1485" w:type="dxa"/>
            <w:shd w:val="clear" w:color="auto" w:fill="auto"/>
            <w:noWrap/>
          </w:tcPr>
          <w:p w14:paraId="1068AB8B" w14:textId="77777777" w:rsidR="0036050D" w:rsidRPr="001C0F84" w:rsidRDefault="0036050D" w:rsidP="0036050D">
            <w:pPr>
              <w:pStyle w:val="Tablesmalltext"/>
              <w:rPr>
                <w:rFonts w:eastAsia="Times New Roman"/>
                <w:lang w:val="en-AU" w:eastAsia="en-AU"/>
              </w:rPr>
            </w:pPr>
            <w:r w:rsidRPr="003172EE">
              <w:t>309-512-0002</w:t>
            </w:r>
          </w:p>
        </w:tc>
        <w:tc>
          <w:tcPr>
            <w:tcW w:w="1522" w:type="dxa"/>
            <w:shd w:val="clear" w:color="auto" w:fill="auto"/>
            <w:noWrap/>
          </w:tcPr>
          <w:p w14:paraId="1A89A27B" w14:textId="77777777" w:rsidR="0036050D" w:rsidRPr="001C0F84" w:rsidRDefault="0036050D" w:rsidP="0036050D">
            <w:pPr>
              <w:pStyle w:val="Tablesmalltext"/>
              <w:rPr>
                <w:rFonts w:eastAsia="Times New Roman"/>
                <w:lang w:val="en-AU" w:eastAsia="en-AU"/>
              </w:rPr>
            </w:pPr>
            <w:r w:rsidRPr="003172EE">
              <w:t>Creepy</w:t>
            </w:r>
          </w:p>
        </w:tc>
        <w:tc>
          <w:tcPr>
            <w:tcW w:w="1815" w:type="dxa"/>
          </w:tcPr>
          <w:p w14:paraId="2D2AF7E4" w14:textId="77777777" w:rsidR="0036050D" w:rsidRPr="001C0F84" w:rsidRDefault="0036050D" w:rsidP="0036050D">
            <w:pPr>
              <w:pStyle w:val="Tablesmalltext"/>
              <w:jc w:val="center"/>
              <w:rPr>
                <w:rFonts w:eastAsia="Times New Roman"/>
                <w:lang w:val="en-AU" w:eastAsia="en-AU"/>
              </w:rPr>
            </w:pPr>
            <w:r w:rsidRPr="00CF0145">
              <w:t>Central</w:t>
            </w:r>
          </w:p>
        </w:tc>
        <w:tc>
          <w:tcPr>
            <w:tcW w:w="1142" w:type="dxa"/>
            <w:shd w:val="clear" w:color="auto" w:fill="auto"/>
            <w:noWrap/>
          </w:tcPr>
          <w:p w14:paraId="6474A9F0"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6AA83A4C"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FFD8A1" w:themeFill="accent4" w:themeFillTint="66"/>
          </w:tcPr>
          <w:p w14:paraId="52D154D8"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43B0B723"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6D6E9D4B"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47952F72" w14:textId="77777777" w:rsidR="0036050D" w:rsidRPr="001C0F84" w:rsidRDefault="0036050D" w:rsidP="0036050D">
            <w:pPr>
              <w:pStyle w:val="Tablesmalltext"/>
              <w:jc w:val="center"/>
              <w:rPr>
                <w:rFonts w:eastAsia="Times New Roman"/>
                <w:lang w:val="en-AU" w:eastAsia="en-AU"/>
              </w:rPr>
            </w:pPr>
            <w:r>
              <w:t>SPZ</w:t>
            </w:r>
          </w:p>
        </w:tc>
        <w:tc>
          <w:tcPr>
            <w:tcW w:w="1144" w:type="dxa"/>
          </w:tcPr>
          <w:p w14:paraId="414A0327"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4F67C7BC" w14:textId="77777777" w:rsidR="0036050D" w:rsidRDefault="0036050D" w:rsidP="0036050D">
            <w:pPr>
              <w:pStyle w:val="Tablesmalltext"/>
              <w:jc w:val="center"/>
            </w:pPr>
            <w:r>
              <w:t>Yes</w:t>
            </w:r>
          </w:p>
        </w:tc>
      </w:tr>
      <w:tr w:rsidR="0036050D" w:rsidRPr="001C0F84" w14:paraId="19525F75" w14:textId="77777777" w:rsidTr="009B4F8F">
        <w:trPr>
          <w:trHeight w:val="240"/>
        </w:trPr>
        <w:tc>
          <w:tcPr>
            <w:tcW w:w="723" w:type="dxa"/>
            <w:shd w:val="clear" w:color="auto" w:fill="auto"/>
            <w:noWrap/>
            <w:vAlign w:val="center"/>
          </w:tcPr>
          <w:p w14:paraId="7D88D14D"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6</w:t>
            </w:r>
          </w:p>
        </w:tc>
        <w:tc>
          <w:tcPr>
            <w:tcW w:w="1485" w:type="dxa"/>
            <w:shd w:val="clear" w:color="auto" w:fill="auto"/>
            <w:noWrap/>
          </w:tcPr>
          <w:p w14:paraId="04D26532" w14:textId="77777777" w:rsidR="0036050D" w:rsidRPr="001C0F84" w:rsidRDefault="0036050D" w:rsidP="0036050D">
            <w:pPr>
              <w:pStyle w:val="Tablesmalltext"/>
              <w:rPr>
                <w:rFonts w:eastAsia="Times New Roman"/>
                <w:lang w:val="en-AU" w:eastAsia="en-AU"/>
              </w:rPr>
            </w:pPr>
            <w:r w:rsidRPr="003172EE">
              <w:t>309-512-0008</w:t>
            </w:r>
          </w:p>
        </w:tc>
        <w:tc>
          <w:tcPr>
            <w:tcW w:w="1522" w:type="dxa"/>
            <w:shd w:val="clear" w:color="auto" w:fill="auto"/>
            <w:noWrap/>
          </w:tcPr>
          <w:p w14:paraId="1680EA23" w14:textId="77777777" w:rsidR="0036050D" w:rsidRPr="001C0F84" w:rsidRDefault="0036050D" w:rsidP="0036050D">
            <w:pPr>
              <w:pStyle w:val="Tablesmalltext"/>
              <w:rPr>
                <w:rFonts w:eastAsia="Times New Roman"/>
                <w:lang w:val="en-AU" w:eastAsia="en-AU"/>
              </w:rPr>
            </w:pPr>
            <w:r w:rsidRPr="003172EE">
              <w:t>Eminem</w:t>
            </w:r>
          </w:p>
        </w:tc>
        <w:tc>
          <w:tcPr>
            <w:tcW w:w="1815" w:type="dxa"/>
          </w:tcPr>
          <w:p w14:paraId="6AA2F251" w14:textId="77777777" w:rsidR="0036050D" w:rsidRPr="001C0F84" w:rsidRDefault="0036050D" w:rsidP="0036050D">
            <w:pPr>
              <w:pStyle w:val="Tablesmalltext"/>
              <w:jc w:val="center"/>
              <w:rPr>
                <w:rFonts w:eastAsia="Times New Roman"/>
                <w:lang w:val="en-AU" w:eastAsia="en-AU"/>
              </w:rPr>
            </w:pPr>
            <w:r w:rsidRPr="00CF0145">
              <w:t>Central</w:t>
            </w:r>
          </w:p>
        </w:tc>
        <w:tc>
          <w:tcPr>
            <w:tcW w:w="1142" w:type="dxa"/>
            <w:shd w:val="clear" w:color="auto" w:fill="auto"/>
            <w:noWrap/>
          </w:tcPr>
          <w:p w14:paraId="0836F0B6"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3EBD1D15"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tcPr>
          <w:p w14:paraId="7811737C"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5088597A" w14:textId="77777777" w:rsidR="0036050D" w:rsidRPr="001C0F84" w:rsidRDefault="0036050D" w:rsidP="0036050D">
            <w:pPr>
              <w:pStyle w:val="Tablesmalltext"/>
              <w:jc w:val="center"/>
              <w:rPr>
                <w:rFonts w:eastAsia="Times New Roman"/>
                <w:lang w:val="en-AU" w:eastAsia="en-AU"/>
              </w:rPr>
            </w:pPr>
            <w:r>
              <w:t>&gt;15</w:t>
            </w:r>
          </w:p>
        </w:tc>
        <w:tc>
          <w:tcPr>
            <w:tcW w:w="1549" w:type="dxa"/>
          </w:tcPr>
          <w:p w14:paraId="19DD79DC" w14:textId="77777777" w:rsidR="0036050D" w:rsidRPr="001C0F84" w:rsidRDefault="0036050D" w:rsidP="0036050D">
            <w:pPr>
              <w:pStyle w:val="Tablesmalltext"/>
              <w:jc w:val="center"/>
              <w:rPr>
                <w:rFonts w:eastAsia="Times New Roman"/>
                <w:lang w:val="en-AU" w:eastAsia="en-AU"/>
              </w:rPr>
            </w:pPr>
            <w:r>
              <w:t>Low</w:t>
            </w:r>
          </w:p>
        </w:tc>
        <w:tc>
          <w:tcPr>
            <w:tcW w:w="1144" w:type="dxa"/>
          </w:tcPr>
          <w:p w14:paraId="6098ACE9" w14:textId="77777777" w:rsidR="0036050D" w:rsidRPr="001C0F84" w:rsidRDefault="0036050D" w:rsidP="0036050D">
            <w:pPr>
              <w:pStyle w:val="Tablesmalltext"/>
              <w:jc w:val="center"/>
              <w:rPr>
                <w:rFonts w:eastAsia="Times New Roman"/>
                <w:lang w:val="en-AU" w:eastAsia="en-AU"/>
              </w:rPr>
            </w:pPr>
            <w:r>
              <w:t>SMZ only</w:t>
            </w:r>
          </w:p>
        </w:tc>
        <w:tc>
          <w:tcPr>
            <w:tcW w:w="1144" w:type="dxa"/>
          </w:tcPr>
          <w:p w14:paraId="5C2E4521"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761EDEB3" w14:textId="77777777" w:rsidR="0036050D" w:rsidRDefault="0036050D" w:rsidP="0036050D">
            <w:pPr>
              <w:pStyle w:val="Tablesmalltext"/>
              <w:jc w:val="center"/>
            </w:pPr>
            <w:r>
              <w:t>No</w:t>
            </w:r>
          </w:p>
        </w:tc>
      </w:tr>
      <w:tr w:rsidR="0036050D" w:rsidRPr="001C0F84" w14:paraId="3545C334" w14:textId="77777777" w:rsidTr="009B4F8F">
        <w:trPr>
          <w:trHeight w:val="240"/>
        </w:trPr>
        <w:tc>
          <w:tcPr>
            <w:tcW w:w="723" w:type="dxa"/>
            <w:shd w:val="clear" w:color="auto" w:fill="auto"/>
            <w:noWrap/>
            <w:vAlign w:val="center"/>
          </w:tcPr>
          <w:p w14:paraId="0824CAAC"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7</w:t>
            </w:r>
          </w:p>
        </w:tc>
        <w:tc>
          <w:tcPr>
            <w:tcW w:w="1485" w:type="dxa"/>
            <w:shd w:val="clear" w:color="auto" w:fill="auto"/>
            <w:noWrap/>
          </w:tcPr>
          <w:p w14:paraId="067FE0AF" w14:textId="77777777" w:rsidR="0036050D" w:rsidRPr="001C0F84" w:rsidRDefault="0036050D" w:rsidP="0036050D">
            <w:pPr>
              <w:pStyle w:val="Tablesmalltext"/>
              <w:rPr>
                <w:rFonts w:eastAsia="Times New Roman"/>
                <w:lang w:val="en-AU" w:eastAsia="en-AU"/>
              </w:rPr>
            </w:pPr>
            <w:r w:rsidRPr="003172EE">
              <w:t>318-512-0010</w:t>
            </w:r>
          </w:p>
        </w:tc>
        <w:tc>
          <w:tcPr>
            <w:tcW w:w="1522" w:type="dxa"/>
            <w:shd w:val="clear" w:color="auto" w:fill="auto"/>
            <w:noWrap/>
          </w:tcPr>
          <w:p w14:paraId="72DB55E4" w14:textId="77777777" w:rsidR="0036050D" w:rsidRPr="001C0F84" w:rsidRDefault="0036050D" w:rsidP="0036050D">
            <w:pPr>
              <w:pStyle w:val="Tablesmalltext"/>
              <w:rPr>
                <w:rFonts w:eastAsia="Times New Roman"/>
                <w:lang w:val="en-AU" w:eastAsia="en-AU"/>
              </w:rPr>
            </w:pPr>
            <w:r w:rsidRPr="003172EE">
              <w:t>The Wolfman</w:t>
            </w:r>
          </w:p>
        </w:tc>
        <w:tc>
          <w:tcPr>
            <w:tcW w:w="1815" w:type="dxa"/>
          </w:tcPr>
          <w:p w14:paraId="637AEE22" w14:textId="77777777" w:rsidR="0036050D" w:rsidRPr="001C0F84" w:rsidRDefault="0036050D" w:rsidP="0036050D">
            <w:pPr>
              <w:pStyle w:val="Tablesmalltext"/>
              <w:jc w:val="center"/>
              <w:rPr>
                <w:rFonts w:eastAsia="Times New Roman"/>
                <w:lang w:val="en-AU" w:eastAsia="en-AU"/>
              </w:rPr>
            </w:pPr>
            <w:r w:rsidRPr="00CF0145">
              <w:t>Central</w:t>
            </w:r>
          </w:p>
        </w:tc>
        <w:tc>
          <w:tcPr>
            <w:tcW w:w="1142" w:type="dxa"/>
            <w:shd w:val="clear" w:color="auto" w:fill="auto"/>
            <w:noWrap/>
          </w:tcPr>
          <w:p w14:paraId="7E0E742D"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noWrap/>
          </w:tcPr>
          <w:p w14:paraId="0B8BDCC9"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D8A1" w:themeFill="accent4" w:themeFillTint="66"/>
          </w:tcPr>
          <w:p w14:paraId="0FA1B701"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49F66CBE" w14:textId="77777777" w:rsidR="0036050D" w:rsidRPr="001C0F84" w:rsidRDefault="0036050D" w:rsidP="0036050D">
            <w:pPr>
              <w:pStyle w:val="Tablesmalltext"/>
              <w:jc w:val="center"/>
              <w:rPr>
                <w:rFonts w:eastAsia="Times New Roman"/>
                <w:lang w:val="en-AU" w:eastAsia="en-AU"/>
              </w:rPr>
            </w:pPr>
            <w:r>
              <w:t>&gt;15</w:t>
            </w:r>
          </w:p>
        </w:tc>
        <w:tc>
          <w:tcPr>
            <w:tcW w:w="1549" w:type="dxa"/>
          </w:tcPr>
          <w:p w14:paraId="0DB68487" w14:textId="77777777" w:rsidR="0036050D" w:rsidRPr="001C0F84" w:rsidRDefault="0036050D" w:rsidP="0036050D">
            <w:pPr>
              <w:pStyle w:val="Tablesmalltext"/>
              <w:jc w:val="center"/>
              <w:rPr>
                <w:rFonts w:eastAsia="Times New Roman"/>
                <w:lang w:val="en-AU" w:eastAsia="en-AU"/>
              </w:rPr>
            </w:pPr>
            <w:r>
              <w:t>High</w:t>
            </w:r>
          </w:p>
        </w:tc>
        <w:tc>
          <w:tcPr>
            <w:tcW w:w="1144" w:type="dxa"/>
          </w:tcPr>
          <w:p w14:paraId="2E06D7CE" w14:textId="77777777" w:rsidR="0036050D" w:rsidRPr="001C0F84" w:rsidRDefault="0036050D" w:rsidP="0036050D">
            <w:pPr>
              <w:pStyle w:val="Tablesmalltext"/>
              <w:jc w:val="center"/>
              <w:rPr>
                <w:rFonts w:eastAsia="Times New Roman"/>
                <w:lang w:val="en-AU" w:eastAsia="en-AU"/>
              </w:rPr>
            </w:pPr>
            <w:r>
              <w:t>SMZ only</w:t>
            </w:r>
          </w:p>
        </w:tc>
        <w:tc>
          <w:tcPr>
            <w:tcW w:w="1144" w:type="dxa"/>
          </w:tcPr>
          <w:p w14:paraId="5791CC7B"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0F5E71F0" w14:textId="77777777" w:rsidR="0036050D" w:rsidRDefault="0036050D" w:rsidP="0036050D">
            <w:pPr>
              <w:pStyle w:val="Tablesmalltext"/>
              <w:jc w:val="center"/>
            </w:pPr>
            <w:r>
              <w:t>No</w:t>
            </w:r>
          </w:p>
        </w:tc>
      </w:tr>
      <w:tr w:rsidR="0036050D" w:rsidRPr="001C0F84" w14:paraId="54636CE3" w14:textId="77777777" w:rsidTr="009B4F8F">
        <w:trPr>
          <w:trHeight w:val="240"/>
        </w:trPr>
        <w:tc>
          <w:tcPr>
            <w:tcW w:w="723" w:type="dxa"/>
            <w:shd w:val="clear" w:color="auto" w:fill="auto"/>
            <w:noWrap/>
            <w:vAlign w:val="center"/>
          </w:tcPr>
          <w:p w14:paraId="505E7283"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8</w:t>
            </w:r>
          </w:p>
        </w:tc>
        <w:tc>
          <w:tcPr>
            <w:tcW w:w="1485" w:type="dxa"/>
            <w:shd w:val="clear" w:color="auto" w:fill="auto"/>
            <w:noWrap/>
          </w:tcPr>
          <w:p w14:paraId="525BF683" w14:textId="77777777" w:rsidR="0036050D" w:rsidRPr="001C0F84" w:rsidRDefault="0036050D" w:rsidP="0036050D">
            <w:pPr>
              <w:pStyle w:val="Tablesmalltext"/>
              <w:rPr>
                <w:rFonts w:eastAsia="Times New Roman"/>
                <w:lang w:val="en-AU" w:eastAsia="en-AU"/>
              </w:rPr>
            </w:pPr>
            <w:r w:rsidRPr="003172EE">
              <w:t>320-503-0020</w:t>
            </w:r>
          </w:p>
        </w:tc>
        <w:tc>
          <w:tcPr>
            <w:tcW w:w="1522" w:type="dxa"/>
            <w:shd w:val="clear" w:color="auto" w:fill="auto"/>
            <w:noWrap/>
          </w:tcPr>
          <w:p w14:paraId="2D0CE126" w14:textId="77777777" w:rsidR="0036050D" w:rsidRPr="001C0F84" w:rsidRDefault="0036050D" w:rsidP="0036050D">
            <w:pPr>
              <w:pStyle w:val="Tablesmalltext"/>
              <w:rPr>
                <w:rFonts w:eastAsia="Times New Roman"/>
                <w:lang w:val="en-AU" w:eastAsia="en-AU"/>
              </w:rPr>
            </w:pPr>
            <w:r w:rsidRPr="003172EE">
              <w:t>Fedora</w:t>
            </w:r>
          </w:p>
        </w:tc>
        <w:tc>
          <w:tcPr>
            <w:tcW w:w="1815" w:type="dxa"/>
          </w:tcPr>
          <w:p w14:paraId="6226354F" w14:textId="77777777" w:rsidR="0036050D" w:rsidRPr="001C0F84" w:rsidRDefault="0036050D" w:rsidP="0036050D">
            <w:pPr>
              <w:pStyle w:val="Tablesmalltext"/>
              <w:jc w:val="center"/>
              <w:rPr>
                <w:rFonts w:eastAsia="Times New Roman"/>
                <w:lang w:val="en-AU" w:eastAsia="en-AU"/>
              </w:rPr>
            </w:pPr>
            <w:r w:rsidRPr="00CF0145">
              <w:t>Central</w:t>
            </w:r>
          </w:p>
        </w:tc>
        <w:tc>
          <w:tcPr>
            <w:tcW w:w="1142" w:type="dxa"/>
            <w:shd w:val="clear" w:color="auto" w:fill="auto"/>
            <w:noWrap/>
          </w:tcPr>
          <w:p w14:paraId="6ED814FA"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72A9AFA1"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tcPr>
          <w:p w14:paraId="72C3BA95"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59D9D326"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14863DBC"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7CFB2278" w14:textId="77777777" w:rsidR="0036050D" w:rsidRPr="001C0F84" w:rsidRDefault="0036050D" w:rsidP="0036050D">
            <w:pPr>
              <w:pStyle w:val="Tablesmalltext"/>
              <w:jc w:val="center"/>
              <w:rPr>
                <w:rFonts w:eastAsia="Times New Roman"/>
                <w:lang w:val="en-AU" w:eastAsia="en-AU"/>
              </w:rPr>
            </w:pPr>
            <w:r>
              <w:t>SPZ</w:t>
            </w:r>
          </w:p>
        </w:tc>
        <w:tc>
          <w:tcPr>
            <w:tcW w:w="1144" w:type="dxa"/>
          </w:tcPr>
          <w:p w14:paraId="4966593E"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767A7EE7" w14:textId="77777777" w:rsidR="0036050D" w:rsidRDefault="0036050D" w:rsidP="0036050D">
            <w:pPr>
              <w:pStyle w:val="Tablesmalltext"/>
              <w:jc w:val="center"/>
            </w:pPr>
            <w:r>
              <w:t>No</w:t>
            </w:r>
          </w:p>
        </w:tc>
      </w:tr>
      <w:tr w:rsidR="0036050D" w:rsidRPr="001C0F84" w14:paraId="4B035F6F" w14:textId="77777777" w:rsidTr="009B4F8F">
        <w:trPr>
          <w:trHeight w:val="240"/>
        </w:trPr>
        <w:tc>
          <w:tcPr>
            <w:tcW w:w="723" w:type="dxa"/>
            <w:shd w:val="clear" w:color="auto" w:fill="auto"/>
            <w:noWrap/>
            <w:vAlign w:val="center"/>
          </w:tcPr>
          <w:p w14:paraId="05551BCE"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9</w:t>
            </w:r>
          </w:p>
        </w:tc>
        <w:tc>
          <w:tcPr>
            <w:tcW w:w="1485" w:type="dxa"/>
            <w:shd w:val="clear" w:color="auto" w:fill="auto"/>
            <w:noWrap/>
          </w:tcPr>
          <w:p w14:paraId="2D18716C" w14:textId="77777777" w:rsidR="0036050D" w:rsidRPr="001C0F84" w:rsidRDefault="0036050D" w:rsidP="0036050D">
            <w:pPr>
              <w:pStyle w:val="Tablesmalltext"/>
              <w:rPr>
                <w:rFonts w:eastAsia="Times New Roman"/>
                <w:lang w:val="en-AU" w:eastAsia="en-AU"/>
              </w:rPr>
            </w:pPr>
            <w:r w:rsidRPr="003172EE">
              <w:t>348-501-0004</w:t>
            </w:r>
          </w:p>
        </w:tc>
        <w:tc>
          <w:tcPr>
            <w:tcW w:w="1522" w:type="dxa"/>
            <w:shd w:val="clear" w:color="auto" w:fill="auto"/>
            <w:noWrap/>
          </w:tcPr>
          <w:p w14:paraId="1DC40FEF" w14:textId="77777777" w:rsidR="0036050D" w:rsidRPr="001C0F84" w:rsidRDefault="0036050D" w:rsidP="0036050D">
            <w:pPr>
              <w:pStyle w:val="Tablesmalltext"/>
              <w:rPr>
                <w:rFonts w:eastAsia="Times New Roman"/>
                <w:lang w:val="en-AU" w:eastAsia="en-AU"/>
              </w:rPr>
            </w:pPr>
            <w:r w:rsidRPr="003172EE">
              <w:t>Shorty</w:t>
            </w:r>
          </w:p>
        </w:tc>
        <w:tc>
          <w:tcPr>
            <w:tcW w:w="1815" w:type="dxa"/>
          </w:tcPr>
          <w:p w14:paraId="05A3F32F" w14:textId="77777777" w:rsidR="0036050D" w:rsidRPr="001C0F84" w:rsidRDefault="0036050D" w:rsidP="0036050D">
            <w:pPr>
              <w:pStyle w:val="Tablesmalltext"/>
              <w:jc w:val="center"/>
              <w:rPr>
                <w:rFonts w:eastAsia="Times New Roman"/>
                <w:lang w:val="en-AU" w:eastAsia="en-AU"/>
              </w:rPr>
            </w:pPr>
            <w:r>
              <w:t>Dandenong</w:t>
            </w:r>
          </w:p>
        </w:tc>
        <w:tc>
          <w:tcPr>
            <w:tcW w:w="1142" w:type="dxa"/>
            <w:shd w:val="clear" w:color="auto" w:fill="auto"/>
            <w:noWrap/>
          </w:tcPr>
          <w:p w14:paraId="7DB4FDC1"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2377D159"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tcPr>
          <w:p w14:paraId="46A6FD1A"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0F48AA03"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71AEE737" w14:textId="77777777" w:rsidR="0036050D" w:rsidRPr="001C0F84" w:rsidRDefault="0036050D" w:rsidP="0036050D">
            <w:pPr>
              <w:pStyle w:val="Tablesmalltext"/>
              <w:jc w:val="center"/>
              <w:rPr>
                <w:rFonts w:eastAsia="Times New Roman"/>
                <w:lang w:val="en-AU" w:eastAsia="en-AU"/>
              </w:rPr>
            </w:pPr>
            <w:r>
              <w:t>Low</w:t>
            </w:r>
          </w:p>
        </w:tc>
        <w:tc>
          <w:tcPr>
            <w:tcW w:w="1144" w:type="dxa"/>
          </w:tcPr>
          <w:p w14:paraId="5DE916AD" w14:textId="77777777" w:rsidR="0036050D" w:rsidRPr="001C0F84" w:rsidRDefault="0036050D" w:rsidP="0036050D">
            <w:pPr>
              <w:pStyle w:val="Tablesmalltext"/>
              <w:jc w:val="center"/>
              <w:rPr>
                <w:rFonts w:eastAsia="Times New Roman"/>
                <w:lang w:val="en-AU" w:eastAsia="en-AU"/>
              </w:rPr>
            </w:pPr>
            <w:r>
              <w:t>Nil</w:t>
            </w:r>
          </w:p>
        </w:tc>
        <w:tc>
          <w:tcPr>
            <w:tcW w:w="1144" w:type="dxa"/>
          </w:tcPr>
          <w:p w14:paraId="5217C1B0"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746E6AC8" w14:textId="77777777" w:rsidR="0036050D" w:rsidRDefault="0036050D" w:rsidP="0036050D">
            <w:pPr>
              <w:pStyle w:val="Tablesmalltext"/>
              <w:jc w:val="center"/>
            </w:pPr>
            <w:r>
              <w:t>Yes</w:t>
            </w:r>
          </w:p>
        </w:tc>
      </w:tr>
      <w:tr w:rsidR="0036050D" w:rsidRPr="00A705C8" w14:paraId="5FC0076C" w14:textId="77777777" w:rsidTr="009B4F8F">
        <w:trPr>
          <w:trHeight w:val="240"/>
        </w:trPr>
        <w:tc>
          <w:tcPr>
            <w:tcW w:w="723" w:type="dxa"/>
            <w:shd w:val="clear" w:color="auto" w:fill="auto"/>
            <w:noWrap/>
            <w:vAlign w:val="center"/>
          </w:tcPr>
          <w:p w14:paraId="5B710B00" w14:textId="77777777" w:rsidR="0036050D" w:rsidRPr="00A705C8" w:rsidRDefault="0036050D" w:rsidP="0036050D">
            <w:pPr>
              <w:pStyle w:val="Tablesmalltext"/>
              <w:jc w:val="center"/>
              <w:rPr>
                <w:rFonts w:eastAsia="Times New Roman"/>
                <w:lang w:val="en-AU" w:eastAsia="en-AU"/>
              </w:rPr>
            </w:pPr>
            <w:r>
              <w:rPr>
                <w:rFonts w:eastAsia="Times New Roman"/>
                <w:lang w:val="en-AU" w:eastAsia="en-AU"/>
              </w:rPr>
              <w:t>10</w:t>
            </w:r>
          </w:p>
        </w:tc>
        <w:tc>
          <w:tcPr>
            <w:tcW w:w="1485" w:type="dxa"/>
            <w:shd w:val="clear" w:color="auto" w:fill="auto"/>
            <w:noWrap/>
          </w:tcPr>
          <w:p w14:paraId="1ABFEB80" w14:textId="77777777" w:rsidR="0036050D" w:rsidRPr="00A705C8" w:rsidRDefault="0036050D" w:rsidP="0036050D">
            <w:pPr>
              <w:pStyle w:val="Tablesmalltext"/>
              <w:rPr>
                <w:rFonts w:eastAsia="Times New Roman"/>
                <w:lang w:val="en-AU" w:eastAsia="en-AU"/>
              </w:rPr>
            </w:pPr>
            <w:r w:rsidRPr="003172EE">
              <w:t>349-514-0004</w:t>
            </w:r>
          </w:p>
        </w:tc>
        <w:tc>
          <w:tcPr>
            <w:tcW w:w="1522" w:type="dxa"/>
            <w:shd w:val="clear" w:color="auto" w:fill="auto"/>
            <w:noWrap/>
          </w:tcPr>
          <w:p w14:paraId="4FBA4193" w14:textId="77777777" w:rsidR="0036050D" w:rsidRPr="00A705C8" w:rsidRDefault="0036050D" w:rsidP="0036050D">
            <w:pPr>
              <w:pStyle w:val="Tablesmalltext"/>
              <w:rPr>
                <w:rFonts w:eastAsia="Times New Roman"/>
                <w:lang w:val="en-AU" w:eastAsia="en-AU"/>
              </w:rPr>
            </w:pPr>
            <w:r w:rsidRPr="003172EE">
              <w:t>Shaq is Back</w:t>
            </w:r>
          </w:p>
        </w:tc>
        <w:tc>
          <w:tcPr>
            <w:tcW w:w="1815" w:type="dxa"/>
          </w:tcPr>
          <w:p w14:paraId="37728775" w14:textId="77777777" w:rsidR="0036050D" w:rsidRPr="00A705C8" w:rsidRDefault="0036050D" w:rsidP="0036050D">
            <w:pPr>
              <w:pStyle w:val="Tablesmalltext"/>
              <w:jc w:val="center"/>
              <w:rPr>
                <w:rFonts w:eastAsia="Times New Roman"/>
                <w:lang w:val="en-AU" w:eastAsia="en-AU"/>
              </w:rPr>
            </w:pPr>
            <w:r>
              <w:t>Dandenong</w:t>
            </w:r>
          </w:p>
        </w:tc>
        <w:tc>
          <w:tcPr>
            <w:tcW w:w="1142" w:type="dxa"/>
            <w:shd w:val="clear" w:color="auto" w:fill="auto"/>
            <w:noWrap/>
          </w:tcPr>
          <w:p w14:paraId="3FC3724A" w14:textId="77777777" w:rsidR="0036050D" w:rsidRPr="00A705C8" w:rsidRDefault="0036050D" w:rsidP="0036050D">
            <w:pPr>
              <w:pStyle w:val="Tablesmalltext"/>
              <w:jc w:val="center"/>
              <w:rPr>
                <w:rFonts w:eastAsia="Times New Roman"/>
                <w:lang w:val="en-AU" w:eastAsia="en-AU"/>
              </w:rPr>
            </w:pPr>
            <w:r>
              <w:t>No</w:t>
            </w:r>
          </w:p>
        </w:tc>
        <w:tc>
          <w:tcPr>
            <w:tcW w:w="1144" w:type="dxa"/>
            <w:shd w:val="clear" w:color="auto" w:fill="CCFFCC"/>
            <w:noWrap/>
          </w:tcPr>
          <w:p w14:paraId="4804521B" w14:textId="77777777" w:rsidR="0036050D" w:rsidRPr="00A705C8" w:rsidRDefault="0036050D" w:rsidP="0036050D">
            <w:pPr>
              <w:pStyle w:val="Tablesmalltext"/>
              <w:jc w:val="center"/>
              <w:rPr>
                <w:rFonts w:eastAsia="Times New Roman"/>
                <w:lang w:val="en-AU" w:eastAsia="en-AU"/>
              </w:rPr>
            </w:pPr>
            <w:r>
              <w:t>Yes</w:t>
            </w:r>
          </w:p>
        </w:tc>
        <w:tc>
          <w:tcPr>
            <w:tcW w:w="1144" w:type="dxa"/>
            <w:shd w:val="clear" w:color="auto" w:fill="FFD8A1" w:themeFill="accent4" w:themeFillTint="66"/>
          </w:tcPr>
          <w:p w14:paraId="68CEABC0" w14:textId="77777777" w:rsidR="0036050D" w:rsidRPr="00A705C8" w:rsidRDefault="0036050D" w:rsidP="0036050D">
            <w:pPr>
              <w:pStyle w:val="Tablesmalltext"/>
              <w:jc w:val="center"/>
              <w:rPr>
                <w:rFonts w:eastAsia="Times New Roman"/>
                <w:lang w:val="en-AU" w:eastAsia="en-AU"/>
              </w:rPr>
            </w:pPr>
            <w:r>
              <w:t>1-400 m</w:t>
            </w:r>
          </w:p>
        </w:tc>
        <w:tc>
          <w:tcPr>
            <w:tcW w:w="1144" w:type="dxa"/>
          </w:tcPr>
          <w:p w14:paraId="5B9FCBB3" w14:textId="77777777" w:rsidR="0036050D" w:rsidRPr="00A705C8" w:rsidRDefault="0036050D" w:rsidP="0036050D">
            <w:pPr>
              <w:pStyle w:val="Tablesmalltext"/>
              <w:jc w:val="center"/>
              <w:rPr>
                <w:rFonts w:eastAsia="Times New Roman"/>
                <w:lang w:val="en-AU" w:eastAsia="en-AU"/>
              </w:rPr>
            </w:pPr>
            <w:r>
              <w:t>&gt;15</w:t>
            </w:r>
          </w:p>
        </w:tc>
        <w:tc>
          <w:tcPr>
            <w:tcW w:w="1549" w:type="dxa"/>
          </w:tcPr>
          <w:p w14:paraId="1C5681E6" w14:textId="77777777" w:rsidR="0036050D" w:rsidRPr="00A705C8" w:rsidRDefault="0036050D" w:rsidP="0036050D">
            <w:pPr>
              <w:pStyle w:val="Tablesmalltext"/>
              <w:jc w:val="center"/>
              <w:rPr>
                <w:rFonts w:eastAsia="Times New Roman"/>
                <w:lang w:val="en-AU" w:eastAsia="en-AU"/>
              </w:rPr>
            </w:pPr>
            <w:r>
              <w:t>Mod</w:t>
            </w:r>
          </w:p>
        </w:tc>
        <w:tc>
          <w:tcPr>
            <w:tcW w:w="1144" w:type="dxa"/>
          </w:tcPr>
          <w:p w14:paraId="3DC20F4D" w14:textId="77777777" w:rsidR="0036050D" w:rsidRPr="00A705C8" w:rsidRDefault="0036050D" w:rsidP="0036050D">
            <w:pPr>
              <w:pStyle w:val="Tablesmalltext"/>
              <w:jc w:val="center"/>
              <w:rPr>
                <w:rFonts w:eastAsia="Times New Roman"/>
                <w:lang w:val="en-AU" w:eastAsia="en-AU"/>
              </w:rPr>
            </w:pPr>
            <w:r>
              <w:t>Nil</w:t>
            </w:r>
          </w:p>
        </w:tc>
        <w:tc>
          <w:tcPr>
            <w:tcW w:w="1144" w:type="dxa"/>
          </w:tcPr>
          <w:p w14:paraId="58D1C008" w14:textId="77777777" w:rsidR="0036050D" w:rsidRPr="00A705C8" w:rsidRDefault="0036050D" w:rsidP="0036050D">
            <w:pPr>
              <w:pStyle w:val="Tablesmalltext"/>
              <w:jc w:val="center"/>
              <w:rPr>
                <w:rFonts w:eastAsia="Times New Roman"/>
                <w:lang w:val="en-AU" w:eastAsia="en-AU"/>
              </w:rPr>
            </w:pPr>
            <w:r w:rsidRPr="000B53CA">
              <w:t>No</w:t>
            </w:r>
          </w:p>
        </w:tc>
        <w:tc>
          <w:tcPr>
            <w:tcW w:w="1144" w:type="dxa"/>
          </w:tcPr>
          <w:p w14:paraId="01C0E28E" w14:textId="77777777" w:rsidR="0036050D" w:rsidRDefault="0036050D" w:rsidP="0036050D">
            <w:pPr>
              <w:pStyle w:val="Tablesmalltext"/>
              <w:jc w:val="center"/>
            </w:pPr>
            <w:r>
              <w:t>No</w:t>
            </w:r>
          </w:p>
        </w:tc>
      </w:tr>
      <w:tr w:rsidR="0036050D" w:rsidRPr="001C0F84" w14:paraId="401C2D3B" w14:textId="77777777" w:rsidTr="009B4F8F">
        <w:trPr>
          <w:trHeight w:val="240"/>
        </w:trPr>
        <w:tc>
          <w:tcPr>
            <w:tcW w:w="723" w:type="dxa"/>
            <w:shd w:val="clear" w:color="auto" w:fill="auto"/>
            <w:noWrap/>
            <w:vAlign w:val="center"/>
          </w:tcPr>
          <w:p w14:paraId="64E9B006"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11</w:t>
            </w:r>
          </w:p>
        </w:tc>
        <w:tc>
          <w:tcPr>
            <w:tcW w:w="1485" w:type="dxa"/>
            <w:shd w:val="clear" w:color="auto" w:fill="auto"/>
            <w:noWrap/>
          </w:tcPr>
          <w:p w14:paraId="7412B556" w14:textId="77777777" w:rsidR="0036050D" w:rsidRPr="001C0F84" w:rsidRDefault="0036050D" w:rsidP="0036050D">
            <w:pPr>
              <w:pStyle w:val="Tablesmalltext"/>
              <w:rPr>
                <w:rFonts w:eastAsia="Times New Roman"/>
                <w:lang w:val="en-AU" w:eastAsia="en-AU"/>
              </w:rPr>
            </w:pPr>
            <w:r w:rsidRPr="00BD6932">
              <w:t>384-504-0004</w:t>
            </w:r>
          </w:p>
        </w:tc>
        <w:tc>
          <w:tcPr>
            <w:tcW w:w="1522" w:type="dxa"/>
            <w:shd w:val="clear" w:color="auto" w:fill="auto"/>
            <w:noWrap/>
          </w:tcPr>
          <w:p w14:paraId="0CC3984F" w14:textId="77777777" w:rsidR="0036050D" w:rsidRPr="001C0F84" w:rsidRDefault="0036050D" w:rsidP="0036050D">
            <w:pPr>
              <w:pStyle w:val="Tablesmalltext"/>
              <w:rPr>
                <w:rFonts w:eastAsia="Times New Roman"/>
                <w:lang w:val="en-AU" w:eastAsia="en-AU"/>
              </w:rPr>
            </w:pPr>
            <w:r w:rsidRPr="00BD6932">
              <w:t>No Doubt</w:t>
            </w:r>
          </w:p>
        </w:tc>
        <w:tc>
          <w:tcPr>
            <w:tcW w:w="1815" w:type="dxa"/>
          </w:tcPr>
          <w:p w14:paraId="46B6D01D" w14:textId="77777777" w:rsidR="0036050D" w:rsidRPr="001C0F84" w:rsidRDefault="0036050D" w:rsidP="0036050D">
            <w:pPr>
              <w:pStyle w:val="Tablesmalltext"/>
              <w:jc w:val="center"/>
              <w:rPr>
                <w:rFonts w:eastAsia="Times New Roman"/>
                <w:lang w:val="en-AU" w:eastAsia="en-AU"/>
              </w:rPr>
            </w:pPr>
            <w:r>
              <w:t>Benalla-Mansfield</w:t>
            </w:r>
          </w:p>
        </w:tc>
        <w:tc>
          <w:tcPr>
            <w:tcW w:w="1142" w:type="dxa"/>
            <w:shd w:val="clear" w:color="auto" w:fill="auto"/>
            <w:noWrap/>
          </w:tcPr>
          <w:p w14:paraId="6E5AB1F6"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noWrap/>
          </w:tcPr>
          <w:p w14:paraId="286A2ADF"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tcPr>
          <w:p w14:paraId="0BFB7446" w14:textId="77777777" w:rsidR="0036050D" w:rsidRPr="001C0F84" w:rsidRDefault="0036050D" w:rsidP="0036050D">
            <w:pPr>
              <w:pStyle w:val="Tablesmalltext"/>
              <w:jc w:val="center"/>
              <w:rPr>
                <w:rFonts w:eastAsia="Times New Roman"/>
                <w:lang w:val="en-AU" w:eastAsia="en-AU"/>
              </w:rPr>
            </w:pPr>
            <w:r w:rsidRPr="00F43C47">
              <w:t>0</w:t>
            </w:r>
          </w:p>
        </w:tc>
        <w:tc>
          <w:tcPr>
            <w:tcW w:w="1144" w:type="dxa"/>
          </w:tcPr>
          <w:p w14:paraId="48A84AF1" w14:textId="77777777" w:rsidR="0036050D" w:rsidRPr="001C0F84" w:rsidRDefault="0036050D" w:rsidP="0036050D">
            <w:pPr>
              <w:pStyle w:val="Tablesmalltext"/>
              <w:jc w:val="center"/>
              <w:rPr>
                <w:rFonts w:eastAsia="Times New Roman"/>
                <w:lang w:val="en-AU" w:eastAsia="en-AU"/>
              </w:rPr>
            </w:pPr>
            <w:r>
              <w:t>&gt;15</w:t>
            </w:r>
          </w:p>
        </w:tc>
        <w:tc>
          <w:tcPr>
            <w:tcW w:w="1549" w:type="dxa"/>
          </w:tcPr>
          <w:p w14:paraId="7B4FCB26"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3F317B92" w14:textId="77777777" w:rsidR="0036050D" w:rsidRPr="001C0F84" w:rsidRDefault="0036050D" w:rsidP="0036050D">
            <w:pPr>
              <w:pStyle w:val="Tablesmalltext"/>
              <w:jc w:val="center"/>
              <w:rPr>
                <w:rFonts w:eastAsia="Times New Roman"/>
                <w:lang w:val="en-AU" w:eastAsia="en-AU"/>
              </w:rPr>
            </w:pPr>
            <w:r>
              <w:t>SMZ only</w:t>
            </w:r>
          </w:p>
        </w:tc>
        <w:tc>
          <w:tcPr>
            <w:tcW w:w="1144" w:type="dxa"/>
          </w:tcPr>
          <w:p w14:paraId="685E7929"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0B5B1408" w14:textId="77777777" w:rsidR="0036050D" w:rsidRDefault="0036050D" w:rsidP="0036050D">
            <w:pPr>
              <w:pStyle w:val="Tablesmalltext"/>
              <w:jc w:val="center"/>
            </w:pPr>
            <w:r>
              <w:t>No</w:t>
            </w:r>
          </w:p>
        </w:tc>
      </w:tr>
      <w:tr w:rsidR="0036050D" w:rsidRPr="001C0F84" w14:paraId="044D5D92" w14:textId="77777777" w:rsidTr="009B4F8F">
        <w:trPr>
          <w:trHeight w:val="240"/>
        </w:trPr>
        <w:tc>
          <w:tcPr>
            <w:tcW w:w="723" w:type="dxa"/>
            <w:shd w:val="clear" w:color="auto" w:fill="auto"/>
            <w:noWrap/>
            <w:vAlign w:val="center"/>
          </w:tcPr>
          <w:p w14:paraId="13FFFE5D"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12</w:t>
            </w:r>
          </w:p>
        </w:tc>
        <w:tc>
          <w:tcPr>
            <w:tcW w:w="1485" w:type="dxa"/>
            <w:shd w:val="clear" w:color="auto" w:fill="auto"/>
            <w:noWrap/>
          </w:tcPr>
          <w:p w14:paraId="5ECDE5AA" w14:textId="77777777" w:rsidR="0036050D" w:rsidRPr="001C0F84" w:rsidRDefault="0036050D" w:rsidP="0036050D">
            <w:pPr>
              <w:pStyle w:val="Tablesmalltext"/>
              <w:rPr>
                <w:rFonts w:eastAsia="Times New Roman"/>
                <w:lang w:val="en-AU" w:eastAsia="en-AU"/>
              </w:rPr>
            </w:pPr>
            <w:r w:rsidRPr="00BD6932">
              <w:t>388-505-0004</w:t>
            </w:r>
          </w:p>
        </w:tc>
        <w:tc>
          <w:tcPr>
            <w:tcW w:w="1522" w:type="dxa"/>
            <w:shd w:val="clear" w:color="auto" w:fill="auto"/>
            <w:noWrap/>
          </w:tcPr>
          <w:p w14:paraId="1BF08739" w14:textId="77777777" w:rsidR="0036050D" w:rsidRPr="001C0F84" w:rsidRDefault="0036050D" w:rsidP="0036050D">
            <w:pPr>
              <w:pStyle w:val="Tablesmalltext"/>
              <w:rPr>
                <w:rFonts w:eastAsia="Times New Roman"/>
                <w:lang w:val="en-AU" w:eastAsia="en-AU"/>
              </w:rPr>
            </w:pPr>
            <w:r w:rsidRPr="00BD6932">
              <w:t>Princess Di</w:t>
            </w:r>
          </w:p>
        </w:tc>
        <w:tc>
          <w:tcPr>
            <w:tcW w:w="1815" w:type="dxa"/>
          </w:tcPr>
          <w:p w14:paraId="75804EB9" w14:textId="77777777" w:rsidR="0036050D" w:rsidRPr="001C0F84" w:rsidRDefault="0036050D" w:rsidP="0036050D">
            <w:pPr>
              <w:pStyle w:val="Tablesmalltext"/>
              <w:jc w:val="center"/>
              <w:rPr>
                <w:rFonts w:eastAsia="Times New Roman"/>
                <w:lang w:val="en-AU" w:eastAsia="en-AU"/>
              </w:rPr>
            </w:pPr>
            <w:r w:rsidRPr="00943264">
              <w:t>Benalla-Mansfield</w:t>
            </w:r>
          </w:p>
        </w:tc>
        <w:tc>
          <w:tcPr>
            <w:tcW w:w="1142" w:type="dxa"/>
            <w:shd w:val="clear" w:color="auto" w:fill="auto"/>
            <w:noWrap/>
          </w:tcPr>
          <w:p w14:paraId="5659182D"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noWrap/>
          </w:tcPr>
          <w:p w14:paraId="330151B0"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tcPr>
          <w:p w14:paraId="54A79086" w14:textId="77777777" w:rsidR="0036050D" w:rsidRPr="001C0F84" w:rsidRDefault="0036050D" w:rsidP="0036050D">
            <w:pPr>
              <w:pStyle w:val="Tablesmalltext"/>
              <w:jc w:val="center"/>
              <w:rPr>
                <w:rFonts w:eastAsia="Times New Roman"/>
                <w:lang w:val="en-AU" w:eastAsia="en-AU"/>
              </w:rPr>
            </w:pPr>
            <w:r w:rsidRPr="00F43C47">
              <w:t>0</w:t>
            </w:r>
          </w:p>
        </w:tc>
        <w:tc>
          <w:tcPr>
            <w:tcW w:w="1144" w:type="dxa"/>
          </w:tcPr>
          <w:p w14:paraId="3B603860" w14:textId="77777777" w:rsidR="0036050D" w:rsidRPr="001C0F84" w:rsidRDefault="0036050D" w:rsidP="0036050D">
            <w:pPr>
              <w:pStyle w:val="Tablesmalltext"/>
              <w:jc w:val="center"/>
              <w:rPr>
                <w:rFonts w:eastAsia="Times New Roman"/>
                <w:lang w:val="en-AU" w:eastAsia="en-AU"/>
              </w:rPr>
            </w:pPr>
            <w:r w:rsidRPr="00494D3B">
              <w:t>0</w:t>
            </w:r>
          </w:p>
        </w:tc>
        <w:tc>
          <w:tcPr>
            <w:tcW w:w="1549" w:type="dxa"/>
          </w:tcPr>
          <w:p w14:paraId="755F9097"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6E3AE943" w14:textId="77777777" w:rsidR="0036050D" w:rsidRDefault="0036050D" w:rsidP="0036050D">
            <w:pPr>
              <w:pStyle w:val="Tablesmalltext"/>
              <w:jc w:val="center"/>
              <w:rPr>
                <w:rFonts w:ascii="Wingdings" w:hAnsi="Wingdings" w:hint="eastAsia"/>
              </w:rPr>
            </w:pPr>
            <w:r>
              <w:t>SPZ</w:t>
            </w:r>
          </w:p>
        </w:tc>
        <w:tc>
          <w:tcPr>
            <w:tcW w:w="1144" w:type="dxa"/>
          </w:tcPr>
          <w:p w14:paraId="6513ABA5"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3EACBFF8" w14:textId="77777777" w:rsidR="0036050D" w:rsidRDefault="0036050D" w:rsidP="0036050D">
            <w:pPr>
              <w:pStyle w:val="Tablesmalltext"/>
              <w:jc w:val="center"/>
            </w:pPr>
            <w:r>
              <w:t>No</w:t>
            </w:r>
          </w:p>
        </w:tc>
      </w:tr>
      <w:tr w:rsidR="0036050D" w:rsidRPr="001C0F84" w14:paraId="4C4EE63B" w14:textId="77777777" w:rsidTr="009B4F8F">
        <w:trPr>
          <w:trHeight w:val="240"/>
        </w:trPr>
        <w:tc>
          <w:tcPr>
            <w:tcW w:w="723" w:type="dxa"/>
            <w:shd w:val="clear" w:color="auto" w:fill="auto"/>
            <w:noWrap/>
            <w:vAlign w:val="center"/>
          </w:tcPr>
          <w:p w14:paraId="270B60AA"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13</w:t>
            </w:r>
          </w:p>
        </w:tc>
        <w:tc>
          <w:tcPr>
            <w:tcW w:w="1485" w:type="dxa"/>
            <w:shd w:val="clear" w:color="auto" w:fill="auto"/>
            <w:noWrap/>
          </w:tcPr>
          <w:p w14:paraId="7A881D31" w14:textId="77777777" w:rsidR="0036050D" w:rsidRPr="001C0F84" w:rsidRDefault="0036050D" w:rsidP="0036050D">
            <w:pPr>
              <w:pStyle w:val="Tablesmalltext"/>
              <w:rPr>
                <w:rFonts w:eastAsia="Times New Roman"/>
                <w:lang w:val="en-AU" w:eastAsia="en-AU"/>
              </w:rPr>
            </w:pPr>
            <w:r w:rsidRPr="00BD6932">
              <w:t>411-501-0002</w:t>
            </w:r>
          </w:p>
        </w:tc>
        <w:tc>
          <w:tcPr>
            <w:tcW w:w="1522" w:type="dxa"/>
            <w:shd w:val="clear" w:color="auto" w:fill="auto"/>
            <w:noWrap/>
          </w:tcPr>
          <w:p w14:paraId="52D4CCEC" w14:textId="77777777" w:rsidR="0036050D" w:rsidRPr="001C0F84" w:rsidRDefault="0036050D" w:rsidP="0036050D">
            <w:pPr>
              <w:pStyle w:val="Tablesmalltext"/>
              <w:rPr>
                <w:rFonts w:eastAsia="Times New Roman"/>
                <w:lang w:val="en-AU" w:eastAsia="en-AU"/>
              </w:rPr>
            </w:pPr>
            <w:r w:rsidRPr="00BD6932">
              <w:t>Barjarg Flat</w:t>
            </w:r>
          </w:p>
        </w:tc>
        <w:tc>
          <w:tcPr>
            <w:tcW w:w="1815" w:type="dxa"/>
          </w:tcPr>
          <w:p w14:paraId="48C657C5" w14:textId="77777777" w:rsidR="0036050D" w:rsidRPr="001C0F84" w:rsidRDefault="0036050D" w:rsidP="0036050D">
            <w:pPr>
              <w:pStyle w:val="Tablesmalltext"/>
              <w:jc w:val="center"/>
              <w:rPr>
                <w:rFonts w:eastAsia="Times New Roman"/>
                <w:lang w:val="en-AU" w:eastAsia="en-AU"/>
              </w:rPr>
            </w:pPr>
            <w:r w:rsidRPr="00943264">
              <w:t>Benalla-Mansfield</w:t>
            </w:r>
          </w:p>
        </w:tc>
        <w:tc>
          <w:tcPr>
            <w:tcW w:w="1142" w:type="dxa"/>
            <w:shd w:val="clear" w:color="auto" w:fill="auto"/>
            <w:noWrap/>
          </w:tcPr>
          <w:p w14:paraId="7C21F8D4"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noWrap/>
          </w:tcPr>
          <w:p w14:paraId="3E53DC2B"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tcPr>
          <w:p w14:paraId="323240E7" w14:textId="77777777" w:rsidR="0036050D" w:rsidRPr="001C0F84" w:rsidRDefault="0036050D" w:rsidP="0036050D">
            <w:pPr>
              <w:pStyle w:val="Tablesmalltext"/>
              <w:jc w:val="center"/>
              <w:rPr>
                <w:rFonts w:eastAsia="Times New Roman"/>
                <w:lang w:val="en-AU" w:eastAsia="en-AU"/>
              </w:rPr>
            </w:pPr>
            <w:r w:rsidRPr="00F43C47">
              <w:t>0</w:t>
            </w:r>
          </w:p>
        </w:tc>
        <w:tc>
          <w:tcPr>
            <w:tcW w:w="1144" w:type="dxa"/>
          </w:tcPr>
          <w:p w14:paraId="4CF0AB3E"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47E654BF"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6A4DFA73" w14:textId="77777777" w:rsidR="0036050D" w:rsidRDefault="0036050D" w:rsidP="0036050D">
            <w:pPr>
              <w:pStyle w:val="Tablesmalltext"/>
              <w:jc w:val="center"/>
              <w:rPr>
                <w:rFonts w:ascii="Wingdings" w:hAnsi="Wingdings" w:hint="eastAsia"/>
              </w:rPr>
            </w:pPr>
            <w:r>
              <w:t>SMZ only</w:t>
            </w:r>
          </w:p>
        </w:tc>
        <w:tc>
          <w:tcPr>
            <w:tcW w:w="1144" w:type="dxa"/>
          </w:tcPr>
          <w:p w14:paraId="4C8E1087"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011CE376" w14:textId="77777777" w:rsidR="0036050D" w:rsidRDefault="0036050D" w:rsidP="0036050D">
            <w:pPr>
              <w:pStyle w:val="Tablesmalltext"/>
              <w:jc w:val="center"/>
            </w:pPr>
            <w:r>
              <w:t>Yes</w:t>
            </w:r>
          </w:p>
        </w:tc>
      </w:tr>
      <w:tr w:rsidR="0036050D" w:rsidRPr="001C0F84" w14:paraId="66866184" w14:textId="77777777" w:rsidTr="009B4F8F">
        <w:trPr>
          <w:trHeight w:val="240"/>
        </w:trPr>
        <w:tc>
          <w:tcPr>
            <w:tcW w:w="723" w:type="dxa"/>
            <w:shd w:val="clear" w:color="auto" w:fill="auto"/>
            <w:noWrap/>
            <w:vAlign w:val="center"/>
          </w:tcPr>
          <w:p w14:paraId="09E34067" w14:textId="77777777" w:rsidR="0036050D" w:rsidRPr="001C0F84" w:rsidRDefault="0036050D" w:rsidP="0036050D">
            <w:pPr>
              <w:pStyle w:val="Tablesmalltext"/>
              <w:jc w:val="center"/>
              <w:rPr>
                <w:rFonts w:eastAsia="Times New Roman"/>
                <w:color w:val="000000"/>
                <w:lang w:val="en-AU" w:eastAsia="en-AU"/>
              </w:rPr>
            </w:pPr>
            <w:r>
              <w:rPr>
                <w:rFonts w:eastAsia="Times New Roman"/>
                <w:color w:val="000000"/>
                <w:lang w:val="en-AU" w:eastAsia="en-AU"/>
              </w:rPr>
              <w:t>14</w:t>
            </w:r>
          </w:p>
        </w:tc>
        <w:tc>
          <w:tcPr>
            <w:tcW w:w="1485" w:type="dxa"/>
            <w:shd w:val="clear" w:color="auto" w:fill="auto"/>
            <w:noWrap/>
          </w:tcPr>
          <w:p w14:paraId="6E2A5BA0" w14:textId="77777777" w:rsidR="0036050D" w:rsidRPr="001C0F84" w:rsidRDefault="0036050D" w:rsidP="0036050D">
            <w:pPr>
              <w:pStyle w:val="Tablesmalltext"/>
              <w:rPr>
                <w:rFonts w:eastAsia="Times New Roman"/>
                <w:color w:val="000000"/>
                <w:lang w:val="en-AU" w:eastAsia="en-AU"/>
              </w:rPr>
            </w:pPr>
            <w:r w:rsidRPr="007652DF">
              <w:t>461-510-0005</w:t>
            </w:r>
          </w:p>
        </w:tc>
        <w:tc>
          <w:tcPr>
            <w:tcW w:w="1522" w:type="dxa"/>
            <w:shd w:val="clear" w:color="auto" w:fill="auto"/>
            <w:noWrap/>
          </w:tcPr>
          <w:p w14:paraId="6A09E968" w14:textId="77777777" w:rsidR="0036050D" w:rsidRPr="001C0F84" w:rsidRDefault="0036050D" w:rsidP="0036050D">
            <w:pPr>
              <w:pStyle w:val="Tablesmalltext"/>
              <w:rPr>
                <w:rFonts w:eastAsia="Times New Roman"/>
                <w:color w:val="000000"/>
                <w:lang w:val="en-AU" w:eastAsia="en-AU"/>
              </w:rPr>
            </w:pPr>
            <w:r w:rsidRPr="007652DF">
              <w:t>Fairway</w:t>
            </w:r>
          </w:p>
        </w:tc>
        <w:tc>
          <w:tcPr>
            <w:tcW w:w="1815" w:type="dxa"/>
          </w:tcPr>
          <w:p w14:paraId="194C245C" w14:textId="77777777" w:rsidR="0036050D" w:rsidRPr="001C0F84" w:rsidRDefault="0036050D" w:rsidP="0036050D">
            <w:pPr>
              <w:pStyle w:val="Tablesmalltext"/>
              <w:jc w:val="center"/>
              <w:rPr>
                <w:rFonts w:eastAsia="Times New Roman"/>
                <w:color w:val="000000"/>
                <w:lang w:val="en-AU" w:eastAsia="en-AU"/>
              </w:rPr>
            </w:pPr>
            <w:r>
              <w:t>Central Gippsland</w:t>
            </w:r>
          </w:p>
        </w:tc>
        <w:tc>
          <w:tcPr>
            <w:tcW w:w="1142" w:type="dxa"/>
            <w:shd w:val="clear" w:color="auto" w:fill="auto"/>
            <w:noWrap/>
          </w:tcPr>
          <w:p w14:paraId="191B8E47" w14:textId="77777777" w:rsidR="0036050D" w:rsidRPr="001C0F84" w:rsidRDefault="0036050D" w:rsidP="0036050D">
            <w:pPr>
              <w:pStyle w:val="Tablesmalltext"/>
              <w:jc w:val="center"/>
              <w:rPr>
                <w:rFonts w:eastAsia="Times New Roman"/>
                <w:color w:val="000000"/>
                <w:lang w:val="en-AU" w:eastAsia="en-AU"/>
              </w:rPr>
            </w:pPr>
            <w:r>
              <w:t>Yes</w:t>
            </w:r>
          </w:p>
        </w:tc>
        <w:tc>
          <w:tcPr>
            <w:tcW w:w="1144" w:type="dxa"/>
            <w:shd w:val="clear" w:color="auto" w:fill="CCFFCC"/>
            <w:noWrap/>
          </w:tcPr>
          <w:p w14:paraId="512DFDC1" w14:textId="77777777" w:rsidR="0036050D" w:rsidRPr="001C0F84" w:rsidRDefault="0036050D" w:rsidP="0036050D">
            <w:pPr>
              <w:pStyle w:val="Tablesmalltext"/>
              <w:jc w:val="center"/>
              <w:rPr>
                <w:rFonts w:eastAsia="Times New Roman"/>
                <w:color w:val="000000"/>
                <w:lang w:val="en-AU" w:eastAsia="en-AU"/>
              </w:rPr>
            </w:pPr>
            <w:r>
              <w:t>No</w:t>
            </w:r>
          </w:p>
        </w:tc>
        <w:tc>
          <w:tcPr>
            <w:tcW w:w="1144" w:type="dxa"/>
            <w:shd w:val="clear" w:color="auto" w:fill="CCFFCC"/>
          </w:tcPr>
          <w:p w14:paraId="6C6CA549" w14:textId="77777777" w:rsidR="0036050D" w:rsidRPr="001C0F84" w:rsidRDefault="0036050D" w:rsidP="0036050D">
            <w:pPr>
              <w:pStyle w:val="Tablesmalltext"/>
              <w:jc w:val="center"/>
              <w:rPr>
                <w:rFonts w:eastAsia="Times New Roman"/>
                <w:color w:val="000000"/>
                <w:lang w:val="en-AU" w:eastAsia="en-AU"/>
              </w:rPr>
            </w:pPr>
            <w:r>
              <w:t>1-400 m</w:t>
            </w:r>
          </w:p>
        </w:tc>
        <w:tc>
          <w:tcPr>
            <w:tcW w:w="1144" w:type="dxa"/>
          </w:tcPr>
          <w:p w14:paraId="1F0DC8FF" w14:textId="77777777" w:rsidR="0036050D" w:rsidRPr="001C0F84" w:rsidRDefault="0036050D" w:rsidP="0036050D">
            <w:pPr>
              <w:pStyle w:val="Tablesmalltext"/>
              <w:jc w:val="center"/>
              <w:rPr>
                <w:rFonts w:eastAsia="Times New Roman"/>
                <w:color w:val="000000"/>
                <w:lang w:val="en-AU" w:eastAsia="en-AU"/>
              </w:rPr>
            </w:pPr>
            <w:r>
              <w:t>&lt;15</w:t>
            </w:r>
          </w:p>
        </w:tc>
        <w:tc>
          <w:tcPr>
            <w:tcW w:w="1549" w:type="dxa"/>
          </w:tcPr>
          <w:p w14:paraId="6EE4B2A1" w14:textId="77777777" w:rsidR="0036050D" w:rsidRPr="001C0F84" w:rsidRDefault="0036050D" w:rsidP="0036050D">
            <w:pPr>
              <w:pStyle w:val="Tablesmalltext"/>
              <w:jc w:val="center"/>
              <w:rPr>
                <w:rFonts w:eastAsia="Times New Roman"/>
                <w:color w:val="000000"/>
                <w:lang w:val="en-AU" w:eastAsia="en-AU"/>
              </w:rPr>
            </w:pPr>
            <w:r>
              <w:t>Mod</w:t>
            </w:r>
          </w:p>
        </w:tc>
        <w:tc>
          <w:tcPr>
            <w:tcW w:w="1144" w:type="dxa"/>
          </w:tcPr>
          <w:p w14:paraId="56A5BC14" w14:textId="77777777" w:rsidR="0036050D" w:rsidRPr="001C0F84" w:rsidRDefault="0036050D" w:rsidP="0036050D">
            <w:pPr>
              <w:pStyle w:val="Tablesmalltext"/>
              <w:jc w:val="center"/>
              <w:rPr>
                <w:rFonts w:eastAsia="Times New Roman"/>
                <w:color w:val="000000"/>
                <w:lang w:val="en-AU" w:eastAsia="en-AU"/>
              </w:rPr>
            </w:pPr>
            <w:r>
              <w:t>SMZ only</w:t>
            </w:r>
          </w:p>
        </w:tc>
        <w:tc>
          <w:tcPr>
            <w:tcW w:w="1144" w:type="dxa"/>
          </w:tcPr>
          <w:p w14:paraId="2F2D3331" w14:textId="77777777" w:rsidR="0036050D" w:rsidRPr="001C0F84" w:rsidRDefault="0036050D" w:rsidP="0036050D">
            <w:pPr>
              <w:pStyle w:val="Tablesmalltext"/>
              <w:jc w:val="center"/>
              <w:rPr>
                <w:rFonts w:eastAsia="Times New Roman"/>
                <w:color w:val="000000"/>
                <w:lang w:val="en-AU" w:eastAsia="en-AU"/>
              </w:rPr>
            </w:pPr>
            <w:r w:rsidRPr="000B53CA">
              <w:t>No</w:t>
            </w:r>
          </w:p>
        </w:tc>
        <w:tc>
          <w:tcPr>
            <w:tcW w:w="1144" w:type="dxa"/>
          </w:tcPr>
          <w:p w14:paraId="7411B62A" w14:textId="77777777" w:rsidR="0036050D" w:rsidRDefault="0036050D" w:rsidP="0036050D">
            <w:pPr>
              <w:pStyle w:val="Tablesmalltext"/>
              <w:jc w:val="center"/>
            </w:pPr>
            <w:r>
              <w:t>Yes</w:t>
            </w:r>
          </w:p>
        </w:tc>
      </w:tr>
      <w:tr w:rsidR="0036050D" w:rsidRPr="00A705C8" w14:paraId="28093752" w14:textId="77777777" w:rsidTr="009B4F8F">
        <w:trPr>
          <w:trHeight w:val="240"/>
        </w:trPr>
        <w:tc>
          <w:tcPr>
            <w:tcW w:w="723" w:type="dxa"/>
            <w:shd w:val="clear" w:color="auto" w:fill="auto"/>
            <w:noWrap/>
            <w:vAlign w:val="center"/>
          </w:tcPr>
          <w:p w14:paraId="4C57F352" w14:textId="77777777" w:rsidR="0036050D" w:rsidRPr="00A705C8" w:rsidRDefault="0036050D" w:rsidP="0036050D">
            <w:pPr>
              <w:pStyle w:val="Tablesmalltext"/>
              <w:jc w:val="center"/>
              <w:rPr>
                <w:rFonts w:eastAsia="Times New Roman"/>
                <w:lang w:val="en-AU" w:eastAsia="en-AU"/>
              </w:rPr>
            </w:pPr>
            <w:r>
              <w:rPr>
                <w:rFonts w:eastAsia="Times New Roman"/>
                <w:lang w:val="en-AU" w:eastAsia="en-AU"/>
              </w:rPr>
              <w:t>15</w:t>
            </w:r>
          </w:p>
        </w:tc>
        <w:tc>
          <w:tcPr>
            <w:tcW w:w="1485" w:type="dxa"/>
            <w:shd w:val="clear" w:color="auto" w:fill="auto"/>
            <w:noWrap/>
          </w:tcPr>
          <w:p w14:paraId="651E7FFB" w14:textId="77777777" w:rsidR="0036050D" w:rsidRPr="00A705C8" w:rsidRDefault="0036050D" w:rsidP="0036050D">
            <w:pPr>
              <w:pStyle w:val="Tablesmalltext"/>
              <w:rPr>
                <w:rFonts w:eastAsia="Times New Roman"/>
                <w:lang w:val="en-AU" w:eastAsia="en-AU"/>
              </w:rPr>
            </w:pPr>
            <w:r w:rsidRPr="007652DF">
              <w:t>464-501-0031</w:t>
            </w:r>
          </w:p>
        </w:tc>
        <w:tc>
          <w:tcPr>
            <w:tcW w:w="1522" w:type="dxa"/>
            <w:shd w:val="clear" w:color="auto" w:fill="auto"/>
            <w:noWrap/>
          </w:tcPr>
          <w:p w14:paraId="5E20AF4D" w14:textId="77777777" w:rsidR="0036050D" w:rsidRPr="00A705C8" w:rsidRDefault="0036050D" w:rsidP="0036050D">
            <w:pPr>
              <w:pStyle w:val="Tablesmalltext"/>
              <w:rPr>
                <w:rFonts w:eastAsia="Times New Roman"/>
                <w:lang w:val="en-AU" w:eastAsia="en-AU"/>
              </w:rPr>
            </w:pPr>
            <w:r w:rsidRPr="007652DF">
              <w:t>Phasinator</w:t>
            </w:r>
          </w:p>
        </w:tc>
        <w:tc>
          <w:tcPr>
            <w:tcW w:w="1815" w:type="dxa"/>
          </w:tcPr>
          <w:p w14:paraId="26F20520" w14:textId="77777777" w:rsidR="0036050D" w:rsidRPr="00A705C8" w:rsidRDefault="0036050D" w:rsidP="0036050D">
            <w:pPr>
              <w:pStyle w:val="Tablesmalltext"/>
              <w:jc w:val="center"/>
              <w:rPr>
                <w:rFonts w:eastAsia="Times New Roman"/>
                <w:lang w:val="en-AU" w:eastAsia="en-AU"/>
              </w:rPr>
            </w:pPr>
            <w:r w:rsidRPr="00481D2C">
              <w:t>Central Gippsland</w:t>
            </w:r>
          </w:p>
        </w:tc>
        <w:tc>
          <w:tcPr>
            <w:tcW w:w="1142" w:type="dxa"/>
            <w:shd w:val="clear" w:color="auto" w:fill="auto"/>
            <w:noWrap/>
          </w:tcPr>
          <w:p w14:paraId="2DBB6289" w14:textId="77777777" w:rsidR="0036050D" w:rsidRPr="00A705C8" w:rsidRDefault="0036050D" w:rsidP="0036050D">
            <w:pPr>
              <w:pStyle w:val="Tablesmalltext"/>
              <w:jc w:val="center"/>
              <w:rPr>
                <w:rFonts w:eastAsia="Times New Roman"/>
                <w:lang w:val="en-AU" w:eastAsia="en-AU"/>
              </w:rPr>
            </w:pPr>
            <w:r>
              <w:t>Yes</w:t>
            </w:r>
          </w:p>
        </w:tc>
        <w:tc>
          <w:tcPr>
            <w:tcW w:w="1144" w:type="dxa"/>
            <w:shd w:val="clear" w:color="auto" w:fill="CCFFCC"/>
            <w:noWrap/>
          </w:tcPr>
          <w:p w14:paraId="08BFE74F" w14:textId="77777777" w:rsidR="0036050D" w:rsidRPr="00A705C8" w:rsidRDefault="0036050D" w:rsidP="0036050D">
            <w:pPr>
              <w:pStyle w:val="Tablesmalltext"/>
              <w:jc w:val="center"/>
              <w:rPr>
                <w:rFonts w:eastAsia="Times New Roman"/>
                <w:lang w:val="en-AU" w:eastAsia="en-AU"/>
              </w:rPr>
            </w:pPr>
            <w:r>
              <w:t>No</w:t>
            </w:r>
          </w:p>
        </w:tc>
        <w:tc>
          <w:tcPr>
            <w:tcW w:w="1144" w:type="dxa"/>
            <w:shd w:val="clear" w:color="auto" w:fill="CCFFCC"/>
          </w:tcPr>
          <w:p w14:paraId="45196464" w14:textId="77777777" w:rsidR="0036050D" w:rsidRPr="00A705C8" w:rsidRDefault="0036050D" w:rsidP="0036050D">
            <w:pPr>
              <w:pStyle w:val="Tablesmalltext"/>
              <w:jc w:val="center"/>
              <w:rPr>
                <w:rFonts w:eastAsia="Times New Roman"/>
                <w:lang w:val="en-AU" w:eastAsia="en-AU"/>
              </w:rPr>
            </w:pPr>
            <w:r>
              <w:t>1-400 m</w:t>
            </w:r>
          </w:p>
        </w:tc>
        <w:tc>
          <w:tcPr>
            <w:tcW w:w="1144" w:type="dxa"/>
          </w:tcPr>
          <w:p w14:paraId="7A2D2DFC" w14:textId="77777777" w:rsidR="0036050D" w:rsidRPr="00A705C8" w:rsidRDefault="0036050D" w:rsidP="0036050D">
            <w:pPr>
              <w:pStyle w:val="Tablesmalltext"/>
              <w:jc w:val="center"/>
              <w:rPr>
                <w:rFonts w:eastAsia="Times New Roman"/>
                <w:lang w:val="en-AU" w:eastAsia="en-AU"/>
              </w:rPr>
            </w:pPr>
            <w:r>
              <w:t>&lt;15</w:t>
            </w:r>
          </w:p>
        </w:tc>
        <w:tc>
          <w:tcPr>
            <w:tcW w:w="1549" w:type="dxa"/>
          </w:tcPr>
          <w:p w14:paraId="324A1EB3" w14:textId="77777777" w:rsidR="0036050D" w:rsidRPr="00A705C8" w:rsidRDefault="0036050D" w:rsidP="0036050D">
            <w:pPr>
              <w:pStyle w:val="Tablesmalltext"/>
              <w:jc w:val="center"/>
              <w:rPr>
                <w:rFonts w:eastAsia="Times New Roman"/>
                <w:lang w:val="en-AU" w:eastAsia="en-AU"/>
              </w:rPr>
            </w:pPr>
            <w:r>
              <w:t>Mod</w:t>
            </w:r>
          </w:p>
        </w:tc>
        <w:tc>
          <w:tcPr>
            <w:tcW w:w="1144" w:type="dxa"/>
          </w:tcPr>
          <w:p w14:paraId="60888022" w14:textId="77777777" w:rsidR="0036050D" w:rsidRPr="00A705C8" w:rsidRDefault="0036050D" w:rsidP="0036050D">
            <w:pPr>
              <w:pStyle w:val="Tablesmalltext"/>
              <w:jc w:val="center"/>
              <w:rPr>
                <w:rFonts w:eastAsia="Times New Roman"/>
                <w:lang w:val="en-AU" w:eastAsia="en-AU"/>
              </w:rPr>
            </w:pPr>
            <w:r>
              <w:t>SMZ only</w:t>
            </w:r>
          </w:p>
        </w:tc>
        <w:tc>
          <w:tcPr>
            <w:tcW w:w="1144" w:type="dxa"/>
          </w:tcPr>
          <w:p w14:paraId="6FA880A6" w14:textId="77777777" w:rsidR="0036050D" w:rsidRPr="00A705C8" w:rsidRDefault="0036050D" w:rsidP="0036050D">
            <w:pPr>
              <w:pStyle w:val="Tablesmalltext"/>
              <w:jc w:val="center"/>
              <w:rPr>
                <w:rFonts w:eastAsia="Times New Roman"/>
                <w:lang w:val="en-AU" w:eastAsia="en-AU"/>
              </w:rPr>
            </w:pPr>
            <w:r w:rsidRPr="000B53CA">
              <w:t>No</w:t>
            </w:r>
          </w:p>
        </w:tc>
        <w:tc>
          <w:tcPr>
            <w:tcW w:w="1144" w:type="dxa"/>
          </w:tcPr>
          <w:p w14:paraId="2E5C5A84" w14:textId="77777777" w:rsidR="0036050D" w:rsidRDefault="0036050D" w:rsidP="0036050D">
            <w:pPr>
              <w:pStyle w:val="Tablesmalltext"/>
              <w:jc w:val="center"/>
            </w:pPr>
            <w:r>
              <w:t>No</w:t>
            </w:r>
          </w:p>
        </w:tc>
      </w:tr>
      <w:tr w:rsidR="0036050D" w:rsidRPr="001C0F84" w14:paraId="397B7F16" w14:textId="77777777" w:rsidTr="009B4F8F">
        <w:trPr>
          <w:trHeight w:val="240"/>
        </w:trPr>
        <w:tc>
          <w:tcPr>
            <w:tcW w:w="723" w:type="dxa"/>
            <w:shd w:val="clear" w:color="auto" w:fill="auto"/>
            <w:noWrap/>
            <w:vAlign w:val="center"/>
          </w:tcPr>
          <w:p w14:paraId="049C1591" w14:textId="77777777" w:rsidR="0036050D" w:rsidRPr="001C0F84" w:rsidRDefault="0036050D" w:rsidP="0036050D">
            <w:pPr>
              <w:pStyle w:val="Tablesmalltext"/>
              <w:jc w:val="center"/>
              <w:rPr>
                <w:rFonts w:eastAsia="Times New Roman"/>
                <w:color w:val="000000"/>
                <w:lang w:val="en-AU" w:eastAsia="en-AU"/>
              </w:rPr>
            </w:pPr>
            <w:r>
              <w:rPr>
                <w:rFonts w:eastAsia="Times New Roman"/>
                <w:color w:val="000000"/>
                <w:lang w:val="en-AU" w:eastAsia="en-AU"/>
              </w:rPr>
              <w:t>16</w:t>
            </w:r>
          </w:p>
        </w:tc>
        <w:tc>
          <w:tcPr>
            <w:tcW w:w="1485" w:type="dxa"/>
            <w:shd w:val="clear" w:color="auto" w:fill="auto"/>
            <w:noWrap/>
          </w:tcPr>
          <w:p w14:paraId="72F407CE" w14:textId="77777777" w:rsidR="0036050D" w:rsidRPr="001C0F84" w:rsidRDefault="0036050D" w:rsidP="0036050D">
            <w:pPr>
              <w:pStyle w:val="Tablesmalltext"/>
              <w:rPr>
                <w:rFonts w:eastAsia="Times New Roman"/>
                <w:color w:val="000000"/>
                <w:lang w:val="en-AU" w:eastAsia="en-AU"/>
              </w:rPr>
            </w:pPr>
            <w:r w:rsidRPr="007652DF">
              <w:t>469-501-0005</w:t>
            </w:r>
          </w:p>
        </w:tc>
        <w:tc>
          <w:tcPr>
            <w:tcW w:w="1522" w:type="dxa"/>
            <w:shd w:val="clear" w:color="auto" w:fill="auto"/>
            <w:noWrap/>
          </w:tcPr>
          <w:p w14:paraId="16DC6984" w14:textId="77777777" w:rsidR="0036050D" w:rsidRPr="001C0F84" w:rsidRDefault="0036050D" w:rsidP="0036050D">
            <w:pPr>
              <w:pStyle w:val="Tablesmalltext"/>
              <w:rPr>
                <w:rFonts w:eastAsia="Times New Roman"/>
                <w:color w:val="000000"/>
                <w:lang w:val="en-AU" w:eastAsia="en-AU"/>
              </w:rPr>
            </w:pPr>
            <w:r w:rsidRPr="007652DF">
              <w:t>Lady Lavery</w:t>
            </w:r>
          </w:p>
        </w:tc>
        <w:tc>
          <w:tcPr>
            <w:tcW w:w="1815" w:type="dxa"/>
          </w:tcPr>
          <w:p w14:paraId="20C8B436" w14:textId="77777777" w:rsidR="0036050D" w:rsidRPr="001C0F84" w:rsidRDefault="0036050D" w:rsidP="0036050D">
            <w:pPr>
              <w:pStyle w:val="Tablesmalltext"/>
              <w:jc w:val="center"/>
              <w:rPr>
                <w:rFonts w:eastAsia="Times New Roman"/>
                <w:color w:val="000000"/>
                <w:lang w:val="en-AU" w:eastAsia="en-AU"/>
              </w:rPr>
            </w:pPr>
            <w:r w:rsidRPr="00481D2C">
              <w:t>Central Gippsland</w:t>
            </w:r>
          </w:p>
        </w:tc>
        <w:tc>
          <w:tcPr>
            <w:tcW w:w="1142" w:type="dxa"/>
            <w:shd w:val="clear" w:color="auto" w:fill="auto"/>
            <w:noWrap/>
          </w:tcPr>
          <w:p w14:paraId="4EB64B7D" w14:textId="77777777" w:rsidR="0036050D" w:rsidRPr="001C0F84" w:rsidRDefault="0036050D" w:rsidP="0036050D">
            <w:pPr>
              <w:pStyle w:val="Tablesmalltext"/>
              <w:jc w:val="center"/>
              <w:rPr>
                <w:rFonts w:eastAsia="Times New Roman"/>
                <w:color w:val="000000"/>
                <w:lang w:val="en-AU" w:eastAsia="en-AU"/>
              </w:rPr>
            </w:pPr>
            <w:r>
              <w:t>No</w:t>
            </w:r>
          </w:p>
        </w:tc>
        <w:tc>
          <w:tcPr>
            <w:tcW w:w="1144" w:type="dxa"/>
            <w:shd w:val="clear" w:color="auto" w:fill="CCFFCC"/>
            <w:noWrap/>
          </w:tcPr>
          <w:p w14:paraId="427AEC60" w14:textId="77777777" w:rsidR="0036050D" w:rsidRPr="001C0F84" w:rsidRDefault="0036050D" w:rsidP="0036050D">
            <w:pPr>
              <w:pStyle w:val="Tablesmalltext"/>
              <w:jc w:val="center"/>
              <w:rPr>
                <w:rFonts w:eastAsia="Times New Roman"/>
                <w:color w:val="000000"/>
                <w:lang w:val="en-AU" w:eastAsia="en-AU"/>
              </w:rPr>
            </w:pPr>
            <w:r>
              <w:t>No</w:t>
            </w:r>
          </w:p>
        </w:tc>
        <w:tc>
          <w:tcPr>
            <w:tcW w:w="1144" w:type="dxa"/>
            <w:shd w:val="clear" w:color="auto" w:fill="CCFFCC"/>
          </w:tcPr>
          <w:p w14:paraId="00CB0348" w14:textId="77777777" w:rsidR="0036050D" w:rsidRPr="001C0F84" w:rsidRDefault="0036050D" w:rsidP="0036050D">
            <w:pPr>
              <w:pStyle w:val="Tablesmalltext"/>
              <w:jc w:val="center"/>
              <w:rPr>
                <w:rFonts w:eastAsia="Times New Roman"/>
                <w:color w:val="000000"/>
                <w:lang w:val="en-AU" w:eastAsia="en-AU"/>
              </w:rPr>
            </w:pPr>
            <w:r>
              <w:t>&gt;400 m</w:t>
            </w:r>
          </w:p>
        </w:tc>
        <w:tc>
          <w:tcPr>
            <w:tcW w:w="1144" w:type="dxa"/>
          </w:tcPr>
          <w:p w14:paraId="0749A3EC" w14:textId="77777777" w:rsidR="0036050D" w:rsidRPr="001C0F84" w:rsidRDefault="0036050D" w:rsidP="0036050D">
            <w:pPr>
              <w:pStyle w:val="Tablesmalltext"/>
              <w:jc w:val="center"/>
              <w:rPr>
                <w:rFonts w:eastAsia="Times New Roman"/>
                <w:color w:val="000000"/>
                <w:lang w:val="en-AU" w:eastAsia="en-AU"/>
              </w:rPr>
            </w:pPr>
            <w:r>
              <w:t>&lt;15</w:t>
            </w:r>
          </w:p>
        </w:tc>
        <w:tc>
          <w:tcPr>
            <w:tcW w:w="1549" w:type="dxa"/>
          </w:tcPr>
          <w:p w14:paraId="2F224225" w14:textId="77777777" w:rsidR="0036050D" w:rsidRPr="001C0F84" w:rsidRDefault="0036050D" w:rsidP="0036050D">
            <w:pPr>
              <w:pStyle w:val="Tablesmalltext"/>
              <w:jc w:val="center"/>
              <w:rPr>
                <w:rFonts w:eastAsia="Times New Roman"/>
                <w:color w:val="000000"/>
                <w:lang w:val="en-AU" w:eastAsia="en-AU"/>
              </w:rPr>
            </w:pPr>
            <w:r>
              <w:t>Low</w:t>
            </w:r>
          </w:p>
        </w:tc>
        <w:tc>
          <w:tcPr>
            <w:tcW w:w="1144" w:type="dxa"/>
          </w:tcPr>
          <w:p w14:paraId="50504744" w14:textId="77777777" w:rsidR="0036050D" w:rsidRPr="001C0F84" w:rsidRDefault="0036050D" w:rsidP="0036050D">
            <w:pPr>
              <w:pStyle w:val="Tablesmalltext"/>
              <w:jc w:val="center"/>
              <w:rPr>
                <w:rFonts w:eastAsia="Times New Roman"/>
                <w:color w:val="000000"/>
                <w:lang w:val="en-AU" w:eastAsia="en-AU"/>
              </w:rPr>
            </w:pPr>
            <w:r>
              <w:t>SPZ</w:t>
            </w:r>
          </w:p>
        </w:tc>
        <w:tc>
          <w:tcPr>
            <w:tcW w:w="1144" w:type="dxa"/>
          </w:tcPr>
          <w:p w14:paraId="32CAD847" w14:textId="77777777" w:rsidR="0036050D" w:rsidRPr="001C0F84" w:rsidRDefault="0036050D" w:rsidP="0036050D">
            <w:pPr>
              <w:pStyle w:val="Tablesmalltext"/>
              <w:jc w:val="center"/>
              <w:rPr>
                <w:rFonts w:eastAsia="Times New Roman"/>
                <w:color w:val="000000"/>
                <w:lang w:val="en-AU" w:eastAsia="en-AU"/>
              </w:rPr>
            </w:pPr>
            <w:r w:rsidRPr="000B53CA">
              <w:t>No</w:t>
            </w:r>
          </w:p>
        </w:tc>
        <w:tc>
          <w:tcPr>
            <w:tcW w:w="1144" w:type="dxa"/>
          </w:tcPr>
          <w:p w14:paraId="2AD7F269" w14:textId="77777777" w:rsidR="0036050D" w:rsidRDefault="0036050D" w:rsidP="0036050D">
            <w:pPr>
              <w:pStyle w:val="Tablesmalltext"/>
              <w:jc w:val="center"/>
            </w:pPr>
            <w:r>
              <w:t>Yes</w:t>
            </w:r>
          </w:p>
        </w:tc>
      </w:tr>
      <w:tr w:rsidR="0036050D" w:rsidRPr="001C0F84" w14:paraId="6678A78D" w14:textId="77777777" w:rsidTr="009B4F8F">
        <w:trPr>
          <w:trHeight w:val="240"/>
        </w:trPr>
        <w:tc>
          <w:tcPr>
            <w:tcW w:w="723" w:type="dxa"/>
            <w:shd w:val="clear" w:color="auto" w:fill="auto"/>
            <w:noWrap/>
            <w:vAlign w:val="center"/>
          </w:tcPr>
          <w:p w14:paraId="51C739C5" w14:textId="77777777" w:rsidR="0036050D" w:rsidRPr="001C0F84" w:rsidRDefault="0036050D" w:rsidP="0036050D">
            <w:pPr>
              <w:pStyle w:val="Tablesmalltext"/>
              <w:jc w:val="center"/>
              <w:rPr>
                <w:rFonts w:eastAsia="Times New Roman"/>
                <w:color w:val="000000"/>
                <w:lang w:val="en-AU" w:eastAsia="en-AU"/>
              </w:rPr>
            </w:pPr>
            <w:r>
              <w:rPr>
                <w:rFonts w:eastAsia="Times New Roman"/>
                <w:color w:val="000000"/>
                <w:lang w:val="en-AU" w:eastAsia="en-AU"/>
              </w:rPr>
              <w:t>17</w:t>
            </w:r>
          </w:p>
        </w:tc>
        <w:tc>
          <w:tcPr>
            <w:tcW w:w="1485" w:type="dxa"/>
            <w:shd w:val="clear" w:color="auto" w:fill="auto"/>
            <w:noWrap/>
          </w:tcPr>
          <w:p w14:paraId="63001F0B" w14:textId="77777777" w:rsidR="0036050D" w:rsidRPr="001C0F84" w:rsidRDefault="0036050D" w:rsidP="0036050D">
            <w:pPr>
              <w:pStyle w:val="Tablesmalltext"/>
              <w:rPr>
                <w:rFonts w:eastAsia="Times New Roman"/>
                <w:color w:val="000000"/>
                <w:lang w:val="en-AU" w:eastAsia="en-AU"/>
              </w:rPr>
            </w:pPr>
            <w:r w:rsidRPr="007652DF">
              <w:t>480-505-0005</w:t>
            </w:r>
          </w:p>
        </w:tc>
        <w:tc>
          <w:tcPr>
            <w:tcW w:w="1522" w:type="dxa"/>
            <w:shd w:val="clear" w:color="auto" w:fill="auto"/>
            <w:noWrap/>
          </w:tcPr>
          <w:p w14:paraId="16B3D917" w14:textId="77777777" w:rsidR="0036050D" w:rsidRPr="001C0F84" w:rsidRDefault="0036050D" w:rsidP="0036050D">
            <w:pPr>
              <w:pStyle w:val="Tablesmalltext"/>
              <w:rPr>
                <w:rFonts w:eastAsia="Times New Roman"/>
                <w:color w:val="000000"/>
                <w:lang w:val="en-AU" w:eastAsia="en-AU"/>
              </w:rPr>
            </w:pPr>
            <w:r w:rsidRPr="007652DF">
              <w:t>Orca</w:t>
            </w:r>
          </w:p>
        </w:tc>
        <w:tc>
          <w:tcPr>
            <w:tcW w:w="1815" w:type="dxa"/>
          </w:tcPr>
          <w:p w14:paraId="0C9C1702" w14:textId="77777777" w:rsidR="0036050D" w:rsidRPr="001C0F84" w:rsidRDefault="0036050D" w:rsidP="0036050D">
            <w:pPr>
              <w:pStyle w:val="Tablesmalltext"/>
              <w:jc w:val="center"/>
              <w:rPr>
                <w:rFonts w:eastAsia="Times New Roman"/>
                <w:color w:val="000000"/>
                <w:lang w:val="en-AU" w:eastAsia="en-AU"/>
              </w:rPr>
            </w:pPr>
            <w:r w:rsidRPr="00481D2C">
              <w:t>Central Gippsland</w:t>
            </w:r>
          </w:p>
        </w:tc>
        <w:tc>
          <w:tcPr>
            <w:tcW w:w="1142" w:type="dxa"/>
            <w:shd w:val="clear" w:color="auto" w:fill="auto"/>
            <w:noWrap/>
          </w:tcPr>
          <w:p w14:paraId="5B2B5E6C" w14:textId="77777777" w:rsidR="0036050D" w:rsidRPr="001C0F84" w:rsidRDefault="0036050D" w:rsidP="0036050D">
            <w:pPr>
              <w:pStyle w:val="Tablesmalltext"/>
              <w:jc w:val="center"/>
              <w:rPr>
                <w:rFonts w:eastAsia="Times New Roman"/>
                <w:color w:val="000000"/>
                <w:lang w:val="en-AU" w:eastAsia="en-AU"/>
              </w:rPr>
            </w:pPr>
            <w:r>
              <w:t>Yes</w:t>
            </w:r>
          </w:p>
        </w:tc>
        <w:tc>
          <w:tcPr>
            <w:tcW w:w="1144" w:type="dxa"/>
            <w:shd w:val="clear" w:color="auto" w:fill="CCFFCC"/>
            <w:noWrap/>
          </w:tcPr>
          <w:p w14:paraId="29D24601" w14:textId="77777777" w:rsidR="0036050D" w:rsidRPr="001C0F84" w:rsidRDefault="0036050D" w:rsidP="0036050D">
            <w:pPr>
              <w:pStyle w:val="Tablesmalltext"/>
              <w:jc w:val="center"/>
              <w:rPr>
                <w:rFonts w:eastAsia="Times New Roman"/>
                <w:color w:val="000000"/>
                <w:lang w:val="en-AU" w:eastAsia="en-AU"/>
              </w:rPr>
            </w:pPr>
            <w:r>
              <w:t>No</w:t>
            </w:r>
          </w:p>
        </w:tc>
        <w:tc>
          <w:tcPr>
            <w:tcW w:w="1144" w:type="dxa"/>
            <w:shd w:val="clear" w:color="auto" w:fill="CCFFCC"/>
          </w:tcPr>
          <w:p w14:paraId="02D45601" w14:textId="77777777" w:rsidR="0036050D" w:rsidRPr="001C0F84" w:rsidRDefault="0036050D" w:rsidP="0036050D">
            <w:pPr>
              <w:pStyle w:val="Tablesmalltext"/>
              <w:jc w:val="center"/>
              <w:rPr>
                <w:rFonts w:eastAsia="Times New Roman"/>
                <w:color w:val="000000"/>
                <w:lang w:val="en-AU" w:eastAsia="en-AU"/>
              </w:rPr>
            </w:pPr>
            <w:r>
              <w:t>1-400 m</w:t>
            </w:r>
          </w:p>
        </w:tc>
        <w:tc>
          <w:tcPr>
            <w:tcW w:w="1144" w:type="dxa"/>
          </w:tcPr>
          <w:p w14:paraId="26F41C56" w14:textId="77777777" w:rsidR="0036050D" w:rsidRPr="001C0F84" w:rsidRDefault="0036050D" w:rsidP="0036050D">
            <w:pPr>
              <w:pStyle w:val="Tablesmalltext"/>
              <w:jc w:val="center"/>
              <w:rPr>
                <w:rFonts w:eastAsia="Times New Roman"/>
                <w:color w:val="000000"/>
                <w:lang w:val="en-AU" w:eastAsia="en-AU"/>
              </w:rPr>
            </w:pPr>
            <w:r>
              <w:t>&lt;15</w:t>
            </w:r>
          </w:p>
        </w:tc>
        <w:tc>
          <w:tcPr>
            <w:tcW w:w="1549" w:type="dxa"/>
          </w:tcPr>
          <w:p w14:paraId="7DEFDD04" w14:textId="77777777" w:rsidR="0036050D" w:rsidRPr="001C0F84" w:rsidRDefault="0036050D" w:rsidP="0036050D">
            <w:pPr>
              <w:pStyle w:val="Tablesmalltext"/>
              <w:jc w:val="center"/>
              <w:rPr>
                <w:rFonts w:eastAsia="Times New Roman"/>
                <w:color w:val="000000"/>
                <w:lang w:val="en-AU" w:eastAsia="en-AU"/>
              </w:rPr>
            </w:pPr>
            <w:r>
              <w:t>Low</w:t>
            </w:r>
          </w:p>
        </w:tc>
        <w:tc>
          <w:tcPr>
            <w:tcW w:w="1144" w:type="dxa"/>
          </w:tcPr>
          <w:p w14:paraId="75FEE81F" w14:textId="77777777" w:rsidR="0036050D" w:rsidRPr="001C0F84" w:rsidRDefault="0036050D" w:rsidP="0036050D">
            <w:pPr>
              <w:pStyle w:val="Tablesmalltext"/>
              <w:jc w:val="center"/>
              <w:rPr>
                <w:rFonts w:eastAsia="Times New Roman"/>
                <w:color w:val="000000"/>
                <w:lang w:val="en-AU" w:eastAsia="en-AU"/>
              </w:rPr>
            </w:pPr>
            <w:r>
              <w:t>SMZ only</w:t>
            </w:r>
          </w:p>
        </w:tc>
        <w:tc>
          <w:tcPr>
            <w:tcW w:w="1144" w:type="dxa"/>
          </w:tcPr>
          <w:p w14:paraId="4F1BEF43" w14:textId="77777777" w:rsidR="0036050D" w:rsidRPr="001C0F84" w:rsidRDefault="0036050D" w:rsidP="0036050D">
            <w:pPr>
              <w:pStyle w:val="Tablesmalltext"/>
              <w:jc w:val="center"/>
              <w:rPr>
                <w:rFonts w:eastAsia="Times New Roman"/>
                <w:color w:val="000000"/>
                <w:lang w:val="en-AU" w:eastAsia="en-AU"/>
              </w:rPr>
            </w:pPr>
            <w:r w:rsidRPr="000B53CA">
              <w:t>No</w:t>
            </w:r>
          </w:p>
        </w:tc>
        <w:tc>
          <w:tcPr>
            <w:tcW w:w="1144" w:type="dxa"/>
          </w:tcPr>
          <w:p w14:paraId="7DB6BCDF" w14:textId="77777777" w:rsidR="0036050D" w:rsidRDefault="0036050D" w:rsidP="0036050D">
            <w:pPr>
              <w:pStyle w:val="Tablesmalltext"/>
              <w:jc w:val="center"/>
            </w:pPr>
            <w:r>
              <w:t>Yes</w:t>
            </w:r>
          </w:p>
        </w:tc>
      </w:tr>
      <w:tr w:rsidR="0036050D" w:rsidRPr="001C0F84" w14:paraId="29899C67" w14:textId="77777777" w:rsidTr="009B4F8F">
        <w:trPr>
          <w:trHeight w:val="240"/>
        </w:trPr>
        <w:tc>
          <w:tcPr>
            <w:tcW w:w="723" w:type="dxa"/>
            <w:shd w:val="clear" w:color="auto" w:fill="auto"/>
            <w:noWrap/>
            <w:vAlign w:val="center"/>
          </w:tcPr>
          <w:p w14:paraId="3DC0C5D5"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18</w:t>
            </w:r>
          </w:p>
        </w:tc>
        <w:tc>
          <w:tcPr>
            <w:tcW w:w="1485" w:type="dxa"/>
            <w:shd w:val="clear" w:color="auto" w:fill="auto"/>
            <w:noWrap/>
          </w:tcPr>
          <w:p w14:paraId="27724EA7" w14:textId="77777777" w:rsidR="0036050D" w:rsidRPr="001C0F84" w:rsidRDefault="0036050D" w:rsidP="0036050D">
            <w:pPr>
              <w:pStyle w:val="Tablesmalltext"/>
              <w:rPr>
                <w:rFonts w:eastAsia="Times New Roman"/>
                <w:lang w:val="en-AU" w:eastAsia="en-AU"/>
              </w:rPr>
            </w:pPr>
            <w:r w:rsidRPr="00BD6932">
              <w:t>687-512-0012</w:t>
            </w:r>
          </w:p>
        </w:tc>
        <w:tc>
          <w:tcPr>
            <w:tcW w:w="1522" w:type="dxa"/>
            <w:shd w:val="clear" w:color="auto" w:fill="auto"/>
            <w:noWrap/>
          </w:tcPr>
          <w:p w14:paraId="67402113" w14:textId="77777777" w:rsidR="0036050D" w:rsidRPr="001C0F84" w:rsidRDefault="0036050D" w:rsidP="0036050D">
            <w:pPr>
              <w:pStyle w:val="Tablesmalltext"/>
              <w:rPr>
                <w:rFonts w:eastAsia="Times New Roman"/>
                <w:lang w:val="en-AU" w:eastAsia="en-AU"/>
              </w:rPr>
            </w:pPr>
            <w:r w:rsidRPr="00BD6932">
              <w:t>Mulloway</w:t>
            </w:r>
          </w:p>
        </w:tc>
        <w:tc>
          <w:tcPr>
            <w:tcW w:w="1815" w:type="dxa"/>
          </w:tcPr>
          <w:p w14:paraId="2241CFE3" w14:textId="77777777" w:rsidR="0036050D" w:rsidRPr="001C0F84" w:rsidRDefault="0036050D" w:rsidP="0036050D">
            <w:pPr>
              <w:pStyle w:val="Tablesmalltext"/>
              <w:jc w:val="center"/>
              <w:rPr>
                <w:rFonts w:eastAsia="Times New Roman"/>
                <w:lang w:val="en-AU" w:eastAsia="en-AU"/>
              </w:rPr>
            </w:pPr>
            <w:r>
              <w:t>North East</w:t>
            </w:r>
          </w:p>
        </w:tc>
        <w:tc>
          <w:tcPr>
            <w:tcW w:w="1142" w:type="dxa"/>
            <w:shd w:val="clear" w:color="auto" w:fill="auto"/>
            <w:noWrap/>
          </w:tcPr>
          <w:p w14:paraId="51D10637"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noWrap/>
          </w:tcPr>
          <w:p w14:paraId="5AE84226"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tcPr>
          <w:p w14:paraId="1B3E814D" w14:textId="77777777" w:rsidR="0036050D" w:rsidRPr="001C0F84" w:rsidRDefault="0036050D" w:rsidP="0036050D">
            <w:pPr>
              <w:pStyle w:val="Tablesmalltext"/>
              <w:jc w:val="center"/>
              <w:rPr>
                <w:rFonts w:eastAsia="Times New Roman"/>
                <w:lang w:val="en-AU" w:eastAsia="en-AU"/>
              </w:rPr>
            </w:pPr>
            <w:r>
              <w:t>&gt;400 m</w:t>
            </w:r>
          </w:p>
        </w:tc>
        <w:tc>
          <w:tcPr>
            <w:tcW w:w="1144" w:type="dxa"/>
          </w:tcPr>
          <w:p w14:paraId="47F3241D" w14:textId="77777777" w:rsidR="0036050D" w:rsidRPr="001C0F84" w:rsidRDefault="0036050D" w:rsidP="0036050D">
            <w:pPr>
              <w:pStyle w:val="Tablesmalltext"/>
              <w:jc w:val="center"/>
              <w:rPr>
                <w:rFonts w:eastAsia="Times New Roman"/>
                <w:lang w:val="en-AU" w:eastAsia="en-AU"/>
              </w:rPr>
            </w:pPr>
            <w:r>
              <w:t>&gt;15</w:t>
            </w:r>
          </w:p>
        </w:tc>
        <w:tc>
          <w:tcPr>
            <w:tcW w:w="1549" w:type="dxa"/>
          </w:tcPr>
          <w:p w14:paraId="55BD4EC4"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5A839410" w14:textId="77777777" w:rsidR="0036050D" w:rsidRPr="001C0F84" w:rsidRDefault="0036050D" w:rsidP="0036050D">
            <w:pPr>
              <w:pStyle w:val="Tablesmalltext"/>
              <w:jc w:val="center"/>
              <w:rPr>
                <w:rFonts w:eastAsia="Times New Roman"/>
                <w:lang w:val="en-AU" w:eastAsia="en-AU"/>
              </w:rPr>
            </w:pPr>
            <w:r>
              <w:t>Nil</w:t>
            </w:r>
          </w:p>
        </w:tc>
        <w:tc>
          <w:tcPr>
            <w:tcW w:w="1144" w:type="dxa"/>
          </w:tcPr>
          <w:p w14:paraId="04D40202"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545DB22F" w14:textId="77777777" w:rsidR="0036050D" w:rsidRDefault="0036050D" w:rsidP="0036050D">
            <w:pPr>
              <w:pStyle w:val="Tablesmalltext"/>
              <w:jc w:val="center"/>
            </w:pPr>
            <w:r>
              <w:t>No</w:t>
            </w:r>
          </w:p>
        </w:tc>
      </w:tr>
      <w:tr w:rsidR="0036050D" w:rsidRPr="001C0F84" w14:paraId="4E594DC9" w14:textId="77777777" w:rsidTr="009B4F8F">
        <w:trPr>
          <w:trHeight w:val="240"/>
        </w:trPr>
        <w:tc>
          <w:tcPr>
            <w:tcW w:w="723" w:type="dxa"/>
            <w:shd w:val="clear" w:color="auto" w:fill="auto"/>
            <w:noWrap/>
            <w:vAlign w:val="center"/>
          </w:tcPr>
          <w:p w14:paraId="1F41E167"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19</w:t>
            </w:r>
          </w:p>
        </w:tc>
        <w:tc>
          <w:tcPr>
            <w:tcW w:w="1485" w:type="dxa"/>
            <w:shd w:val="clear" w:color="auto" w:fill="auto"/>
            <w:noWrap/>
          </w:tcPr>
          <w:p w14:paraId="3D70F8EC" w14:textId="77777777" w:rsidR="0036050D" w:rsidRPr="001C0F84" w:rsidRDefault="0036050D" w:rsidP="0036050D">
            <w:pPr>
              <w:pStyle w:val="Tablesmalltext"/>
              <w:rPr>
                <w:rFonts w:eastAsia="Times New Roman"/>
                <w:lang w:val="en-AU" w:eastAsia="en-AU"/>
              </w:rPr>
            </w:pPr>
            <w:r w:rsidRPr="00BD6932">
              <w:t>687-514-0004</w:t>
            </w:r>
          </w:p>
        </w:tc>
        <w:tc>
          <w:tcPr>
            <w:tcW w:w="1522" w:type="dxa"/>
            <w:shd w:val="clear" w:color="auto" w:fill="auto"/>
            <w:noWrap/>
          </w:tcPr>
          <w:p w14:paraId="320A3AAB" w14:textId="77777777" w:rsidR="0036050D" w:rsidRPr="001C0F84" w:rsidRDefault="0036050D" w:rsidP="0036050D">
            <w:pPr>
              <w:pStyle w:val="Tablesmalltext"/>
              <w:rPr>
                <w:rFonts w:eastAsia="Times New Roman"/>
                <w:lang w:val="en-AU" w:eastAsia="en-AU"/>
              </w:rPr>
            </w:pPr>
            <w:r w:rsidRPr="00BD6932">
              <w:t>Whiting</w:t>
            </w:r>
          </w:p>
        </w:tc>
        <w:tc>
          <w:tcPr>
            <w:tcW w:w="1815" w:type="dxa"/>
          </w:tcPr>
          <w:p w14:paraId="4D799028" w14:textId="77777777" w:rsidR="0036050D" w:rsidRPr="001C0F84" w:rsidRDefault="0036050D" w:rsidP="0036050D">
            <w:pPr>
              <w:pStyle w:val="Tablesmalltext"/>
              <w:jc w:val="center"/>
              <w:rPr>
                <w:rFonts w:eastAsia="Times New Roman"/>
                <w:lang w:val="en-AU" w:eastAsia="en-AU"/>
              </w:rPr>
            </w:pPr>
            <w:r>
              <w:t>North East</w:t>
            </w:r>
          </w:p>
        </w:tc>
        <w:tc>
          <w:tcPr>
            <w:tcW w:w="1142" w:type="dxa"/>
            <w:shd w:val="clear" w:color="auto" w:fill="auto"/>
            <w:noWrap/>
          </w:tcPr>
          <w:p w14:paraId="4B9C26CC"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noWrap/>
          </w:tcPr>
          <w:p w14:paraId="408938E6"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tcPr>
          <w:p w14:paraId="6B58B2C2"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44CEA933" w14:textId="77777777" w:rsidR="0036050D" w:rsidRPr="001C0F84" w:rsidRDefault="0036050D" w:rsidP="0036050D">
            <w:pPr>
              <w:pStyle w:val="Tablesmalltext"/>
              <w:jc w:val="center"/>
              <w:rPr>
                <w:rFonts w:eastAsia="Times New Roman"/>
                <w:lang w:val="en-AU" w:eastAsia="en-AU"/>
              </w:rPr>
            </w:pPr>
            <w:r>
              <w:t>&gt;15</w:t>
            </w:r>
          </w:p>
        </w:tc>
        <w:tc>
          <w:tcPr>
            <w:tcW w:w="1549" w:type="dxa"/>
          </w:tcPr>
          <w:p w14:paraId="473DD295" w14:textId="77777777" w:rsidR="0036050D" w:rsidRPr="001C0F84" w:rsidRDefault="0036050D" w:rsidP="0036050D">
            <w:pPr>
              <w:pStyle w:val="Tablesmalltext"/>
              <w:jc w:val="center"/>
              <w:rPr>
                <w:rFonts w:eastAsia="Times New Roman"/>
                <w:lang w:val="en-AU" w:eastAsia="en-AU"/>
              </w:rPr>
            </w:pPr>
            <w:r>
              <w:t>High</w:t>
            </w:r>
          </w:p>
        </w:tc>
        <w:tc>
          <w:tcPr>
            <w:tcW w:w="1144" w:type="dxa"/>
          </w:tcPr>
          <w:p w14:paraId="29C47BCA" w14:textId="77777777" w:rsidR="0036050D" w:rsidRDefault="0036050D" w:rsidP="0036050D">
            <w:pPr>
              <w:pStyle w:val="Tablesmalltext"/>
              <w:jc w:val="center"/>
              <w:rPr>
                <w:rFonts w:ascii="Wingdings" w:hAnsi="Wingdings" w:hint="eastAsia"/>
              </w:rPr>
            </w:pPr>
            <w:r>
              <w:t>SMZ only</w:t>
            </w:r>
          </w:p>
        </w:tc>
        <w:tc>
          <w:tcPr>
            <w:tcW w:w="1144" w:type="dxa"/>
          </w:tcPr>
          <w:p w14:paraId="71CDD02B"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7FB7EF03" w14:textId="77777777" w:rsidR="0036050D" w:rsidRDefault="0036050D" w:rsidP="0036050D">
            <w:pPr>
              <w:pStyle w:val="Tablesmalltext"/>
              <w:jc w:val="center"/>
            </w:pPr>
            <w:r>
              <w:t>No</w:t>
            </w:r>
          </w:p>
        </w:tc>
      </w:tr>
      <w:tr w:rsidR="0036050D" w:rsidRPr="001C0F84" w14:paraId="4E9EBB06" w14:textId="77777777" w:rsidTr="009B4F8F">
        <w:trPr>
          <w:trHeight w:val="240"/>
        </w:trPr>
        <w:tc>
          <w:tcPr>
            <w:tcW w:w="723" w:type="dxa"/>
            <w:shd w:val="clear" w:color="auto" w:fill="auto"/>
            <w:noWrap/>
            <w:vAlign w:val="center"/>
          </w:tcPr>
          <w:p w14:paraId="5309F00F" w14:textId="77777777" w:rsidR="0036050D" w:rsidRPr="001C0F84" w:rsidRDefault="0036050D" w:rsidP="0036050D">
            <w:pPr>
              <w:pStyle w:val="Tablesmalltext"/>
              <w:jc w:val="center"/>
              <w:rPr>
                <w:rFonts w:eastAsia="Times New Roman"/>
                <w:color w:val="000000"/>
                <w:lang w:val="en-AU" w:eastAsia="en-AU"/>
              </w:rPr>
            </w:pPr>
            <w:r>
              <w:rPr>
                <w:rFonts w:eastAsia="Times New Roman"/>
                <w:color w:val="000000"/>
                <w:lang w:val="en-AU" w:eastAsia="en-AU"/>
              </w:rPr>
              <w:t>20</w:t>
            </w:r>
          </w:p>
        </w:tc>
        <w:tc>
          <w:tcPr>
            <w:tcW w:w="1485" w:type="dxa"/>
            <w:shd w:val="clear" w:color="auto" w:fill="auto"/>
            <w:noWrap/>
          </w:tcPr>
          <w:p w14:paraId="3F4B59B3" w14:textId="77777777" w:rsidR="0036050D" w:rsidRPr="001C0F84" w:rsidRDefault="0036050D" w:rsidP="0036050D">
            <w:pPr>
              <w:pStyle w:val="Tablesmalltext"/>
              <w:rPr>
                <w:rFonts w:eastAsia="Times New Roman"/>
                <w:color w:val="000000"/>
                <w:lang w:val="en-AU" w:eastAsia="en-AU"/>
              </w:rPr>
            </w:pPr>
            <w:r w:rsidRPr="007652DF">
              <w:t>749-501-0015</w:t>
            </w:r>
          </w:p>
        </w:tc>
        <w:tc>
          <w:tcPr>
            <w:tcW w:w="1522" w:type="dxa"/>
            <w:shd w:val="clear" w:color="auto" w:fill="auto"/>
            <w:noWrap/>
          </w:tcPr>
          <w:p w14:paraId="48BCF13B" w14:textId="77777777" w:rsidR="0036050D" w:rsidRPr="001C0F84" w:rsidRDefault="0036050D" w:rsidP="0036050D">
            <w:pPr>
              <w:pStyle w:val="Tablesmalltext"/>
              <w:rPr>
                <w:rFonts w:eastAsia="Times New Roman"/>
                <w:color w:val="000000"/>
                <w:lang w:val="en-AU" w:eastAsia="en-AU"/>
              </w:rPr>
            </w:pPr>
            <w:r w:rsidRPr="007652DF">
              <w:t>Knockabout</w:t>
            </w:r>
          </w:p>
        </w:tc>
        <w:tc>
          <w:tcPr>
            <w:tcW w:w="1815" w:type="dxa"/>
          </w:tcPr>
          <w:p w14:paraId="137F5009" w14:textId="77777777" w:rsidR="0036050D" w:rsidRPr="001C0F84" w:rsidRDefault="0036050D" w:rsidP="0036050D">
            <w:pPr>
              <w:pStyle w:val="Tablesmalltext"/>
              <w:jc w:val="center"/>
              <w:rPr>
                <w:rFonts w:eastAsia="Times New Roman"/>
                <w:color w:val="000000"/>
                <w:lang w:val="en-AU" w:eastAsia="en-AU"/>
              </w:rPr>
            </w:pPr>
            <w:r>
              <w:t>Tambo</w:t>
            </w:r>
          </w:p>
        </w:tc>
        <w:tc>
          <w:tcPr>
            <w:tcW w:w="1142" w:type="dxa"/>
            <w:shd w:val="clear" w:color="auto" w:fill="auto"/>
            <w:noWrap/>
          </w:tcPr>
          <w:p w14:paraId="162E1674" w14:textId="77777777" w:rsidR="0036050D" w:rsidRPr="001C0F84" w:rsidRDefault="0036050D" w:rsidP="0036050D">
            <w:pPr>
              <w:pStyle w:val="Tablesmalltext"/>
              <w:jc w:val="center"/>
              <w:rPr>
                <w:rFonts w:eastAsia="Times New Roman"/>
                <w:color w:val="000000"/>
                <w:lang w:val="en-AU" w:eastAsia="en-AU"/>
              </w:rPr>
            </w:pPr>
            <w:r>
              <w:t>No</w:t>
            </w:r>
          </w:p>
        </w:tc>
        <w:tc>
          <w:tcPr>
            <w:tcW w:w="1144" w:type="dxa"/>
            <w:shd w:val="clear" w:color="auto" w:fill="FFFFCC"/>
            <w:noWrap/>
          </w:tcPr>
          <w:p w14:paraId="012027ED" w14:textId="77777777" w:rsidR="0036050D" w:rsidRPr="001C0F84" w:rsidRDefault="0036050D" w:rsidP="0036050D">
            <w:pPr>
              <w:pStyle w:val="Tablesmalltext"/>
              <w:jc w:val="center"/>
              <w:rPr>
                <w:rFonts w:eastAsia="Times New Roman"/>
                <w:color w:val="000000"/>
                <w:lang w:val="en-AU" w:eastAsia="en-AU"/>
              </w:rPr>
            </w:pPr>
            <w:r>
              <w:t>No</w:t>
            </w:r>
          </w:p>
        </w:tc>
        <w:tc>
          <w:tcPr>
            <w:tcW w:w="1144" w:type="dxa"/>
            <w:shd w:val="clear" w:color="auto" w:fill="CCFFCC"/>
          </w:tcPr>
          <w:p w14:paraId="49A86306" w14:textId="77777777" w:rsidR="0036050D" w:rsidRPr="001C0F84" w:rsidRDefault="0036050D" w:rsidP="0036050D">
            <w:pPr>
              <w:pStyle w:val="Tablesmalltext"/>
              <w:jc w:val="center"/>
              <w:rPr>
                <w:rFonts w:eastAsia="Times New Roman"/>
                <w:color w:val="000000"/>
                <w:lang w:val="en-AU" w:eastAsia="en-AU"/>
              </w:rPr>
            </w:pPr>
            <w:r>
              <w:t>&gt;400 m</w:t>
            </w:r>
          </w:p>
        </w:tc>
        <w:tc>
          <w:tcPr>
            <w:tcW w:w="1144" w:type="dxa"/>
          </w:tcPr>
          <w:p w14:paraId="5BEBB24C" w14:textId="77777777" w:rsidR="0036050D" w:rsidRPr="001C0F84" w:rsidRDefault="0036050D" w:rsidP="0036050D">
            <w:pPr>
              <w:pStyle w:val="Tablesmalltext"/>
              <w:jc w:val="center"/>
              <w:rPr>
                <w:rFonts w:eastAsia="Times New Roman"/>
                <w:color w:val="000000"/>
                <w:lang w:val="en-AU" w:eastAsia="en-AU"/>
              </w:rPr>
            </w:pPr>
            <w:r>
              <w:t>&lt;15</w:t>
            </w:r>
          </w:p>
        </w:tc>
        <w:tc>
          <w:tcPr>
            <w:tcW w:w="1549" w:type="dxa"/>
          </w:tcPr>
          <w:p w14:paraId="7C240019" w14:textId="77777777" w:rsidR="0036050D" w:rsidRPr="001C0F84" w:rsidRDefault="0036050D" w:rsidP="0036050D">
            <w:pPr>
              <w:pStyle w:val="Tablesmalltext"/>
              <w:jc w:val="center"/>
              <w:rPr>
                <w:rFonts w:eastAsia="Times New Roman"/>
                <w:color w:val="000000"/>
                <w:lang w:val="en-AU" w:eastAsia="en-AU"/>
              </w:rPr>
            </w:pPr>
            <w:r>
              <w:t>Mod</w:t>
            </w:r>
          </w:p>
        </w:tc>
        <w:tc>
          <w:tcPr>
            <w:tcW w:w="1144" w:type="dxa"/>
          </w:tcPr>
          <w:p w14:paraId="0C24ADE8" w14:textId="77777777" w:rsidR="0036050D" w:rsidRPr="001C0F84" w:rsidRDefault="0036050D" w:rsidP="0036050D">
            <w:pPr>
              <w:pStyle w:val="Tablesmalltext"/>
              <w:jc w:val="center"/>
              <w:rPr>
                <w:rFonts w:eastAsia="Times New Roman"/>
                <w:color w:val="000000"/>
                <w:lang w:val="en-AU" w:eastAsia="en-AU"/>
              </w:rPr>
            </w:pPr>
            <w:r>
              <w:t>Nil</w:t>
            </w:r>
          </w:p>
        </w:tc>
        <w:tc>
          <w:tcPr>
            <w:tcW w:w="1144" w:type="dxa"/>
          </w:tcPr>
          <w:p w14:paraId="76304344" w14:textId="77777777" w:rsidR="0036050D" w:rsidRPr="001C0F84" w:rsidRDefault="0036050D" w:rsidP="0036050D">
            <w:pPr>
              <w:pStyle w:val="Tablesmalltext"/>
              <w:jc w:val="center"/>
              <w:rPr>
                <w:rFonts w:eastAsia="Times New Roman"/>
                <w:color w:val="000000"/>
                <w:lang w:val="en-AU" w:eastAsia="en-AU"/>
              </w:rPr>
            </w:pPr>
            <w:r w:rsidRPr="000B53CA">
              <w:t>No</w:t>
            </w:r>
          </w:p>
        </w:tc>
        <w:tc>
          <w:tcPr>
            <w:tcW w:w="1144" w:type="dxa"/>
          </w:tcPr>
          <w:p w14:paraId="34918B6E" w14:textId="77777777" w:rsidR="0036050D" w:rsidRDefault="0036050D" w:rsidP="0036050D">
            <w:pPr>
              <w:pStyle w:val="Tablesmalltext"/>
              <w:jc w:val="center"/>
            </w:pPr>
            <w:r>
              <w:t>No</w:t>
            </w:r>
          </w:p>
        </w:tc>
      </w:tr>
      <w:tr w:rsidR="0036050D" w:rsidRPr="001C0F84" w14:paraId="4C5D52D2" w14:textId="77777777" w:rsidTr="009B4F8F">
        <w:trPr>
          <w:trHeight w:val="240"/>
        </w:trPr>
        <w:tc>
          <w:tcPr>
            <w:tcW w:w="723" w:type="dxa"/>
            <w:shd w:val="clear" w:color="auto" w:fill="auto"/>
            <w:noWrap/>
            <w:vAlign w:val="center"/>
          </w:tcPr>
          <w:p w14:paraId="3A79BAA2"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21</w:t>
            </w:r>
          </w:p>
        </w:tc>
        <w:tc>
          <w:tcPr>
            <w:tcW w:w="1485" w:type="dxa"/>
            <w:shd w:val="clear" w:color="auto" w:fill="auto"/>
          </w:tcPr>
          <w:p w14:paraId="6AF9B071" w14:textId="77777777" w:rsidR="0036050D" w:rsidRPr="001C0F84" w:rsidRDefault="0036050D" w:rsidP="0036050D">
            <w:pPr>
              <w:pStyle w:val="Tablesmalltext"/>
              <w:rPr>
                <w:rFonts w:eastAsia="Times New Roman"/>
                <w:lang w:val="en-AU" w:eastAsia="en-AU"/>
              </w:rPr>
            </w:pPr>
            <w:r w:rsidRPr="00826085">
              <w:t>827-503-0005</w:t>
            </w:r>
          </w:p>
        </w:tc>
        <w:tc>
          <w:tcPr>
            <w:tcW w:w="1522" w:type="dxa"/>
            <w:shd w:val="clear" w:color="auto" w:fill="auto"/>
          </w:tcPr>
          <w:p w14:paraId="07F2C5DB" w14:textId="77777777" w:rsidR="0036050D" w:rsidRPr="001C0F84" w:rsidRDefault="0036050D" w:rsidP="0036050D">
            <w:pPr>
              <w:pStyle w:val="Tablesmalltext"/>
              <w:rPr>
                <w:rFonts w:eastAsia="Times New Roman"/>
                <w:lang w:val="en-AU" w:eastAsia="en-AU"/>
              </w:rPr>
            </w:pPr>
            <w:r w:rsidRPr="00826085">
              <w:t>Freeline</w:t>
            </w:r>
          </w:p>
        </w:tc>
        <w:tc>
          <w:tcPr>
            <w:tcW w:w="1815" w:type="dxa"/>
          </w:tcPr>
          <w:p w14:paraId="079D1E21" w14:textId="77777777" w:rsidR="0036050D" w:rsidRPr="001C0F84" w:rsidRDefault="0036050D" w:rsidP="0036050D">
            <w:pPr>
              <w:pStyle w:val="Tablesmalltext"/>
              <w:jc w:val="center"/>
              <w:rPr>
                <w:rFonts w:eastAsia="Times New Roman"/>
                <w:lang w:val="en-AU" w:eastAsia="en-AU"/>
              </w:rPr>
            </w:pPr>
            <w:r>
              <w:t>East Gippsland</w:t>
            </w:r>
          </w:p>
        </w:tc>
        <w:tc>
          <w:tcPr>
            <w:tcW w:w="1142" w:type="dxa"/>
            <w:shd w:val="clear" w:color="auto" w:fill="auto"/>
          </w:tcPr>
          <w:p w14:paraId="31999AFA"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6CDB2B21"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tcPr>
          <w:p w14:paraId="2F1287AD" w14:textId="77777777" w:rsidR="0036050D" w:rsidRPr="001C0F84" w:rsidRDefault="0036050D" w:rsidP="0036050D">
            <w:pPr>
              <w:pStyle w:val="Tablesmalltext"/>
              <w:jc w:val="center"/>
              <w:rPr>
                <w:rFonts w:eastAsia="Times New Roman"/>
                <w:lang w:val="en-AU" w:eastAsia="en-AU"/>
              </w:rPr>
            </w:pPr>
            <w:r>
              <w:t>&gt;400 m</w:t>
            </w:r>
          </w:p>
        </w:tc>
        <w:tc>
          <w:tcPr>
            <w:tcW w:w="1144" w:type="dxa"/>
          </w:tcPr>
          <w:p w14:paraId="74EBC6E5"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143A313C"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177F8FF5" w14:textId="77777777" w:rsidR="0036050D" w:rsidRDefault="0036050D" w:rsidP="0036050D">
            <w:pPr>
              <w:pStyle w:val="Tablesmalltext"/>
              <w:jc w:val="center"/>
              <w:rPr>
                <w:rFonts w:ascii="Wingdings" w:hAnsi="Wingdings" w:hint="eastAsia"/>
              </w:rPr>
            </w:pPr>
            <w:r>
              <w:t>SMZ only</w:t>
            </w:r>
          </w:p>
        </w:tc>
        <w:tc>
          <w:tcPr>
            <w:tcW w:w="1144" w:type="dxa"/>
          </w:tcPr>
          <w:p w14:paraId="13C27695"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264BFE08" w14:textId="77777777" w:rsidR="0036050D" w:rsidRDefault="0036050D" w:rsidP="0036050D">
            <w:pPr>
              <w:pStyle w:val="Tablesmalltext"/>
              <w:jc w:val="center"/>
            </w:pPr>
            <w:r>
              <w:t>No</w:t>
            </w:r>
          </w:p>
        </w:tc>
      </w:tr>
      <w:tr w:rsidR="0036050D" w:rsidRPr="001C0F84" w14:paraId="0B17B321" w14:textId="77777777" w:rsidTr="009B4F8F">
        <w:trPr>
          <w:trHeight w:val="240"/>
        </w:trPr>
        <w:tc>
          <w:tcPr>
            <w:tcW w:w="723" w:type="dxa"/>
            <w:shd w:val="clear" w:color="auto" w:fill="auto"/>
            <w:noWrap/>
            <w:vAlign w:val="center"/>
          </w:tcPr>
          <w:p w14:paraId="333F1AEE"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22</w:t>
            </w:r>
          </w:p>
        </w:tc>
        <w:tc>
          <w:tcPr>
            <w:tcW w:w="1485" w:type="dxa"/>
            <w:shd w:val="clear" w:color="auto" w:fill="auto"/>
          </w:tcPr>
          <w:p w14:paraId="16F8F1BB" w14:textId="77777777" w:rsidR="0036050D" w:rsidRPr="001C0F84" w:rsidRDefault="0036050D" w:rsidP="0036050D">
            <w:pPr>
              <w:pStyle w:val="Tablesmalltext"/>
              <w:rPr>
                <w:rFonts w:eastAsia="Times New Roman"/>
                <w:lang w:val="en-AU" w:eastAsia="en-AU"/>
              </w:rPr>
            </w:pPr>
            <w:r w:rsidRPr="00826085">
              <w:t>827-505-0005</w:t>
            </w:r>
          </w:p>
        </w:tc>
        <w:tc>
          <w:tcPr>
            <w:tcW w:w="1522" w:type="dxa"/>
            <w:shd w:val="clear" w:color="auto" w:fill="auto"/>
          </w:tcPr>
          <w:p w14:paraId="675E6188" w14:textId="77777777" w:rsidR="0036050D" w:rsidRPr="001C0F84" w:rsidRDefault="0036050D" w:rsidP="0036050D">
            <w:pPr>
              <w:pStyle w:val="Tablesmalltext"/>
              <w:rPr>
                <w:rFonts w:eastAsia="Times New Roman"/>
                <w:lang w:val="en-AU" w:eastAsia="en-AU"/>
              </w:rPr>
            </w:pPr>
            <w:r w:rsidRPr="00826085">
              <w:t>Fungus</w:t>
            </w:r>
          </w:p>
        </w:tc>
        <w:tc>
          <w:tcPr>
            <w:tcW w:w="1815" w:type="dxa"/>
          </w:tcPr>
          <w:p w14:paraId="2AD08D01" w14:textId="77777777" w:rsidR="0036050D" w:rsidRPr="001C0F84" w:rsidRDefault="0036050D" w:rsidP="0036050D">
            <w:pPr>
              <w:pStyle w:val="Tablesmalltext"/>
              <w:jc w:val="center"/>
              <w:rPr>
                <w:rFonts w:eastAsia="Times New Roman"/>
                <w:lang w:val="en-AU" w:eastAsia="en-AU"/>
              </w:rPr>
            </w:pPr>
            <w:r w:rsidRPr="00F878EB">
              <w:t>East Gippsland</w:t>
            </w:r>
          </w:p>
        </w:tc>
        <w:tc>
          <w:tcPr>
            <w:tcW w:w="1142" w:type="dxa"/>
            <w:shd w:val="clear" w:color="auto" w:fill="auto"/>
          </w:tcPr>
          <w:p w14:paraId="1DBE16BD"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207B0D0E"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tcPr>
          <w:p w14:paraId="2BB09500" w14:textId="77777777" w:rsidR="0036050D" w:rsidRPr="001C0F84" w:rsidRDefault="0036050D" w:rsidP="0036050D">
            <w:pPr>
              <w:pStyle w:val="Tablesmalltext"/>
              <w:jc w:val="center"/>
              <w:rPr>
                <w:rFonts w:eastAsia="Times New Roman"/>
                <w:lang w:val="en-AU" w:eastAsia="en-AU"/>
              </w:rPr>
            </w:pPr>
            <w:r>
              <w:t>&gt;400 m</w:t>
            </w:r>
          </w:p>
        </w:tc>
        <w:tc>
          <w:tcPr>
            <w:tcW w:w="1144" w:type="dxa"/>
          </w:tcPr>
          <w:p w14:paraId="3050DC58"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2921F06A"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1610E12F" w14:textId="77777777" w:rsidR="0036050D" w:rsidRDefault="0036050D" w:rsidP="0036050D">
            <w:pPr>
              <w:pStyle w:val="Tablesmalltext"/>
              <w:jc w:val="center"/>
              <w:rPr>
                <w:rFonts w:ascii="Wingdings" w:hAnsi="Wingdings" w:hint="eastAsia"/>
              </w:rPr>
            </w:pPr>
            <w:r>
              <w:t>SMZ only</w:t>
            </w:r>
          </w:p>
        </w:tc>
        <w:tc>
          <w:tcPr>
            <w:tcW w:w="1144" w:type="dxa"/>
          </w:tcPr>
          <w:p w14:paraId="209B9747"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0C07320C" w14:textId="77777777" w:rsidR="0036050D" w:rsidRDefault="0036050D" w:rsidP="0036050D">
            <w:pPr>
              <w:pStyle w:val="Tablesmalltext"/>
              <w:jc w:val="center"/>
            </w:pPr>
            <w:r>
              <w:t>No</w:t>
            </w:r>
          </w:p>
        </w:tc>
      </w:tr>
      <w:tr w:rsidR="0036050D" w:rsidRPr="001C0F84" w14:paraId="02EF194F" w14:textId="77777777" w:rsidTr="009B4F8F">
        <w:trPr>
          <w:trHeight w:val="240"/>
        </w:trPr>
        <w:tc>
          <w:tcPr>
            <w:tcW w:w="723" w:type="dxa"/>
            <w:shd w:val="clear" w:color="auto" w:fill="auto"/>
            <w:noWrap/>
            <w:vAlign w:val="center"/>
          </w:tcPr>
          <w:p w14:paraId="273FB861"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23</w:t>
            </w:r>
          </w:p>
        </w:tc>
        <w:tc>
          <w:tcPr>
            <w:tcW w:w="1485" w:type="dxa"/>
            <w:shd w:val="clear" w:color="auto" w:fill="auto"/>
          </w:tcPr>
          <w:p w14:paraId="52912E57" w14:textId="77777777" w:rsidR="0036050D" w:rsidRPr="001C0F84" w:rsidRDefault="0036050D" w:rsidP="0036050D">
            <w:pPr>
              <w:pStyle w:val="Tablesmalltext"/>
              <w:rPr>
                <w:rFonts w:eastAsia="Times New Roman"/>
                <w:lang w:val="en-AU" w:eastAsia="en-AU"/>
              </w:rPr>
            </w:pPr>
            <w:r w:rsidRPr="00826085">
              <w:t>833-505-0005</w:t>
            </w:r>
          </w:p>
        </w:tc>
        <w:tc>
          <w:tcPr>
            <w:tcW w:w="1522" w:type="dxa"/>
            <w:shd w:val="clear" w:color="auto" w:fill="auto"/>
          </w:tcPr>
          <w:p w14:paraId="26AB95ED" w14:textId="77777777" w:rsidR="0036050D" w:rsidRPr="001C0F84" w:rsidRDefault="0036050D" w:rsidP="0036050D">
            <w:pPr>
              <w:pStyle w:val="Tablesmalltext"/>
              <w:rPr>
                <w:rFonts w:eastAsia="Times New Roman"/>
                <w:lang w:val="en-AU" w:eastAsia="en-AU"/>
              </w:rPr>
            </w:pPr>
            <w:r w:rsidRPr="00826085">
              <w:t>Pilcrow</w:t>
            </w:r>
          </w:p>
        </w:tc>
        <w:tc>
          <w:tcPr>
            <w:tcW w:w="1815" w:type="dxa"/>
          </w:tcPr>
          <w:p w14:paraId="1FA3622B" w14:textId="77777777" w:rsidR="0036050D" w:rsidRPr="001C0F84" w:rsidRDefault="0036050D" w:rsidP="0036050D">
            <w:pPr>
              <w:pStyle w:val="Tablesmalltext"/>
              <w:jc w:val="center"/>
              <w:rPr>
                <w:rFonts w:eastAsia="Times New Roman"/>
                <w:lang w:val="en-AU" w:eastAsia="en-AU"/>
              </w:rPr>
            </w:pPr>
            <w:r w:rsidRPr="00F878EB">
              <w:t>East Gippsland</w:t>
            </w:r>
          </w:p>
        </w:tc>
        <w:tc>
          <w:tcPr>
            <w:tcW w:w="1142" w:type="dxa"/>
            <w:shd w:val="clear" w:color="auto" w:fill="auto"/>
          </w:tcPr>
          <w:p w14:paraId="59F9C085"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FFD8A1" w:themeFill="accent4" w:themeFillTint="66"/>
            <w:noWrap/>
          </w:tcPr>
          <w:p w14:paraId="5D5B914C"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FFD8A1" w:themeFill="accent4" w:themeFillTint="66"/>
          </w:tcPr>
          <w:p w14:paraId="1CE1E86E"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219E72F1"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56AC5D1E"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2D7D325F" w14:textId="77777777" w:rsidR="0036050D" w:rsidRPr="001C0F84" w:rsidRDefault="0036050D" w:rsidP="0036050D">
            <w:pPr>
              <w:pStyle w:val="Tablesmalltext"/>
              <w:jc w:val="center"/>
              <w:rPr>
                <w:rFonts w:eastAsia="Times New Roman"/>
                <w:lang w:val="en-AU" w:eastAsia="en-AU"/>
              </w:rPr>
            </w:pPr>
            <w:r>
              <w:t>SMZ only</w:t>
            </w:r>
          </w:p>
        </w:tc>
        <w:tc>
          <w:tcPr>
            <w:tcW w:w="1144" w:type="dxa"/>
          </w:tcPr>
          <w:p w14:paraId="3702449F"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6D0F66FE" w14:textId="77777777" w:rsidR="0036050D" w:rsidRDefault="0036050D" w:rsidP="0036050D">
            <w:pPr>
              <w:pStyle w:val="Tablesmalltext"/>
              <w:jc w:val="center"/>
            </w:pPr>
            <w:r>
              <w:t>No</w:t>
            </w:r>
          </w:p>
        </w:tc>
      </w:tr>
      <w:tr w:rsidR="0036050D" w:rsidRPr="001C0F84" w14:paraId="26EE9E46" w14:textId="77777777" w:rsidTr="009B4F8F">
        <w:trPr>
          <w:trHeight w:val="240"/>
        </w:trPr>
        <w:tc>
          <w:tcPr>
            <w:tcW w:w="723" w:type="dxa"/>
            <w:shd w:val="clear" w:color="auto" w:fill="auto"/>
            <w:noWrap/>
            <w:vAlign w:val="center"/>
          </w:tcPr>
          <w:p w14:paraId="29AAA911"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24</w:t>
            </w:r>
          </w:p>
        </w:tc>
        <w:tc>
          <w:tcPr>
            <w:tcW w:w="1485" w:type="dxa"/>
            <w:shd w:val="clear" w:color="auto" w:fill="auto"/>
          </w:tcPr>
          <w:p w14:paraId="1324C1F4" w14:textId="77777777" w:rsidR="0036050D" w:rsidRPr="001C0F84" w:rsidRDefault="0036050D" w:rsidP="0036050D">
            <w:pPr>
              <w:pStyle w:val="Tablesmalltext"/>
              <w:rPr>
                <w:rFonts w:eastAsia="Times New Roman"/>
                <w:lang w:val="en-AU" w:eastAsia="en-AU"/>
              </w:rPr>
            </w:pPr>
            <w:r w:rsidRPr="00826085">
              <w:t>833-513-0005</w:t>
            </w:r>
          </w:p>
        </w:tc>
        <w:tc>
          <w:tcPr>
            <w:tcW w:w="1522" w:type="dxa"/>
            <w:shd w:val="clear" w:color="auto" w:fill="auto"/>
          </w:tcPr>
          <w:p w14:paraId="043170C8" w14:textId="77777777" w:rsidR="0036050D" w:rsidRPr="001C0F84" w:rsidRDefault="0036050D" w:rsidP="0036050D">
            <w:pPr>
              <w:pStyle w:val="Tablesmalltext"/>
              <w:rPr>
                <w:rFonts w:eastAsia="Times New Roman"/>
                <w:lang w:val="en-AU" w:eastAsia="en-AU"/>
              </w:rPr>
            </w:pPr>
            <w:r w:rsidRPr="00826085">
              <w:t>Oracle</w:t>
            </w:r>
          </w:p>
        </w:tc>
        <w:tc>
          <w:tcPr>
            <w:tcW w:w="1815" w:type="dxa"/>
          </w:tcPr>
          <w:p w14:paraId="77C0528A" w14:textId="77777777" w:rsidR="0036050D" w:rsidRPr="001C0F84" w:rsidRDefault="0036050D" w:rsidP="0036050D">
            <w:pPr>
              <w:pStyle w:val="Tablesmalltext"/>
              <w:jc w:val="center"/>
              <w:rPr>
                <w:rFonts w:eastAsia="Times New Roman"/>
                <w:lang w:val="en-AU" w:eastAsia="en-AU"/>
              </w:rPr>
            </w:pPr>
            <w:r w:rsidRPr="00F878EB">
              <w:t>East Gippsland</w:t>
            </w:r>
          </w:p>
        </w:tc>
        <w:tc>
          <w:tcPr>
            <w:tcW w:w="1142" w:type="dxa"/>
            <w:shd w:val="clear" w:color="auto" w:fill="auto"/>
          </w:tcPr>
          <w:p w14:paraId="282B6694"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noWrap/>
          </w:tcPr>
          <w:p w14:paraId="240B0BB7"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D8A1" w:themeFill="accent4" w:themeFillTint="66"/>
          </w:tcPr>
          <w:p w14:paraId="56CD3E0D"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1AD25902"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12AD64DE"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21034289" w14:textId="77777777" w:rsidR="0036050D" w:rsidRDefault="0036050D" w:rsidP="0036050D">
            <w:pPr>
              <w:pStyle w:val="Tablesmalltext"/>
              <w:jc w:val="center"/>
              <w:rPr>
                <w:rFonts w:ascii="Wingdings" w:hAnsi="Wingdings" w:hint="eastAsia"/>
              </w:rPr>
            </w:pPr>
            <w:r>
              <w:t>Nil</w:t>
            </w:r>
          </w:p>
        </w:tc>
        <w:tc>
          <w:tcPr>
            <w:tcW w:w="1144" w:type="dxa"/>
          </w:tcPr>
          <w:p w14:paraId="151C49DA"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7949FFFE" w14:textId="77777777" w:rsidR="0036050D" w:rsidRDefault="0036050D" w:rsidP="0036050D">
            <w:pPr>
              <w:pStyle w:val="Tablesmalltext"/>
              <w:jc w:val="center"/>
            </w:pPr>
            <w:r>
              <w:t>Yes</w:t>
            </w:r>
          </w:p>
        </w:tc>
      </w:tr>
      <w:tr w:rsidR="0036050D" w:rsidRPr="001C0F84" w14:paraId="60775264" w14:textId="77777777" w:rsidTr="009B4F8F">
        <w:trPr>
          <w:trHeight w:val="240"/>
        </w:trPr>
        <w:tc>
          <w:tcPr>
            <w:tcW w:w="723" w:type="dxa"/>
            <w:shd w:val="clear" w:color="auto" w:fill="auto"/>
            <w:noWrap/>
            <w:vAlign w:val="center"/>
          </w:tcPr>
          <w:p w14:paraId="2B3AA598"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lastRenderedPageBreak/>
              <w:t>25</w:t>
            </w:r>
          </w:p>
        </w:tc>
        <w:tc>
          <w:tcPr>
            <w:tcW w:w="1485" w:type="dxa"/>
            <w:shd w:val="clear" w:color="auto" w:fill="auto"/>
          </w:tcPr>
          <w:p w14:paraId="03EF7A9C" w14:textId="77777777" w:rsidR="0036050D" w:rsidRPr="001C0F84" w:rsidRDefault="0036050D" w:rsidP="0036050D">
            <w:pPr>
              <w:pStyle w:val="Tablesmalltext"/>
              <w:rPr>
                <w:rFonts w:eastAsia="Times New Roman"/>
                <w:lang w:val="en-AU" w:eastAsia="en-AU"/>
              </w:rPr>
            </w:pPr>
            <w:r w:rsidRPr="00826085">
              <w:t>834-503-0007</w:t>
            </w:r>
          </w:p>
        </w:tc>
        <w:tc>
          <w:tcPr>
            <w:tcW w:w="1522" w:type="dxa"/>
            <w:shd w:val="clear" w:color="auto" w:fill="auto"/>
          </w:tcPr>
          <w:p w14:paraId="153F639A" w14:textId="77777777" w:rsidR="0036050D" w:rsidRPr="001C0F84" w:rsidRDefault="0036050D" w:rsidP="0036050D">
            <w:pPr>
              <w:pStyle w:val="Tablesmalltext"/>
              <w:rPr>
                <w:rFonts w:eastAsia="Times New Roman"/>
                <w:lang w:val="en-AU" w:eastAsia="en-AU"/>
              </w:rPr>
            </w:pPr>
            <w:r w:rsidRPr="00826085">
              <w:t>Patrol Gravel Pit</w:t>
            </w:r>
          </w:p>
        </w:tc>
        <w:tc>
          <w:tcPr>
            <w:tcW w:w="1815" w:type="dxa"/>
          </w:tcPr>
          <w:p w14:paraId="3BDCD5E0" w14:textId="77777777" w:rsidR="0036050D" w:rsidRPr="001C0F84" w:rsidRDefault="0036050D" w:rsidP="0036050D">
            <w:pPr>
              <w:pStyle w:val="Tablesmalltext"/>
              <w:jc w:val="center"/>
              <w:rPr>
                <w:rFonts w:eastAsia="Times New Roman"/>
                <w:lang w:val="en-AU" w:eastAsia="en-AU"/>
              </w:rPr>
            </w:pPr>
            <w:r w:rsidRPr="00F878EB">
              <w:t>East Gippsland</w:t>
            </w:r>
          </w:p>
        </w:tc>
        <w:tc>
          <w:tcPr>
            <w:tcW w:w="1142" w:type="dxa"/>
            <w:shd w:val="clear" w:color="auto" w:fill="auto"/>
          </w:tcPr>
          <w:p w14:paraId="2205BE6E"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51674373"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tcPr>
          <w:p w14:paraId="0193632E"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0E508B5E"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42FF5CB5"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59945CA3" w14:textId="77777777" w:rsidR="0036050D" w:rsidRPr="001C0F84" w:rsidRDefault="0036050D" w:rsidP="0036050D">
            <w:pPr>
              <w:pStyle w:val="Tablesmalltext"/>
              <w:jc w:val="center"/>
              <w:rPr>
                <w:rFonts w:eastAsia="Times New Roman"/>
                <w:lang w:val="en-AU" w:eastAsia="en-AU"/>
              </w:rPr>
            </w:pPr>
            <w:r>
              <w:t>SMZ only</w:t>
            </w:r>
          </w:p>
        </w:tc>
        <w:tc>
          <w:tcPr>
            <w:tcW w:w="1144" w:type="dxa"/>
          </w:tcPr>
          <w:p w14:paraId="2BB2C94F"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04E1AB5A" w14:textId="77777777" w:rsidR="0036050D" w:rsidRDefault="0036050D" w:rsidP="0036050D">
            <w:pPr>
              <w:pStyle w:val="Tablesmalltext"/>
              <w:jc w:val="center"/>
            </w:pPr>
            <w:r>
              <w:t>No</w:t>
            </w:r>
          </w:p>
        </w:tc>
      </w:tr>
      <w:tr w:rsidR="0036050D" w:rsidRPr="001C0F84" w14:paraId="2FF41EFC" w14:textId="77777777" w:rsidTr="009B4F8F">
        <w:trPr>
          <w:trHeight w:val="240"/>
        </w:trPr>
        <w:tc>
          <w:tcPr>
            <w:tcW w:w="723" w:type="dxa"/>
            <w:shd w:val="clear" w:color="auto" w:fill="auto"/>
            <w:noWrap/>
            <w:vAlign w:val="center"/>
          </w:tcPr>
          <w:p w14:paraId="5CA0B718"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26</w:t>
            </w:r>
          </w:p>
        </w:tc>
        <w:tc>
          <w:tcPr>
            <w:tcW w:w="1485" w:type="dxa"/>
            <w:shd w:val="clear" w:color="auto" w:fill="auto"/>
          </w:tcPr>
          <w:p w14:paraId="1C9CFBB9" w14:textId="77777777" w:rsidR="0036050D" w:rsidRPr="001C0F84" w:rsidRDefault="0036050D" w:rsidP="0036050D">
            <w:pPr>
              <w:pStyle w:val="Tablesmalltext"/>
              <w:rPr>
                <w:rFonts w:eastAsia="Times New Roman"/>
                <w:lang w:val="en-AU" w:eastAsia="en-AU"/>
              </w:rPr>
            </w:pPr>
            <w:r w:rsidRPr="00826085">
              <w:t>868-507-0003</w:t>
            </w:r>
          </w:p>
        </w:tc>
        <w:tc>
          <w:tcPr>
            <w:tcW w:w="1522" w:type="dxa"/>
            <w:shd w:val="clear" w:color="auto" w:fill="auto"/>
          </w:tcPr>
          <w:p w14:paraId="4D71A02E" w14:textId="77777777" w:rsidR="0036050D" w:rsidRPr="001C0F84" w:rsidRDefault="0036050D" w:rsidP="0036050D">
            <w:pPr>
              <w:pStyle w:val="Tablesmalltext"/>
              <w:rPr>
                <w:rFonts w:eastAsia="Times New Roman"/>
                <w:lang w:val="en-AU" w:eastAsia="en-AU"/>
              </w:rPr>
            </w:pPr>
            <w:r w:rsidRPr="00826085">
              <w:t>Group Therapy</w:t>
            </w:r>
          </w:p>
        </w:tc>
        <w:tc>
          <w:tcPr>
            <w:tcW w:w="1815" w:type="dxa"/>
          </w:tcPr>
          <w:p w14:paraId="1B1AD27D" w14:textId="77777777" w:rsidR="0036050D" w:rsidRPr="001C0F84" w:rsidRDefault="0036050D" w:rsidP="0036050D">
            <w:pPr>
              <w:pStyle w:val="Tablesmalltext"/>
              <w:jc w:val="center"/>
              <w:rPr>
                <w:rFonts w:eastAsia="Times New Roman"/>
                <w:lang w:val="en-AU" w:eastAsia="en-AU"/>
              </w:rPr>
            </w:pPr>
            <w:r w:rsidRPr="00F878EB">
              <w:t>East Gippsland</w:t>
            </w:r>
          </w:p>
        </w:tc>
        <w:tc>
          <w:tcPr>
            <w:tcW w:w="1142" w:type="dxa"/>
            <w:shd w:val="clear" w:color="auto" w:fill="auto"/>
          </w:tcPr>
          <w:p w14:paraId="6F09CDB7"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6625CA2F"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FFD8A1" w:themeFill="accent4" w:themeFillTint="66"/>
          </w:tcPr>
          <w:p w14:paraId="52CA4BB5" w14:textId="77777777" w:rsidR="0036050D" w:rsidRPr="001C0F84" w:rsidRDefault="0036050D" w:rsidP="0036050D">
            <w:pPr>
              <w:pStyle w:val="Tablesmalltext"/>
              <w:jc w:val="center"/>
              <w:rPr>
                <w:rFonts w:eastAsia="Times New Roman"/>
                <w:lang w:val="en-AU" w:eastAsia="en-AU"/>
              </w:rPr>
            </w:pPr>
            <w:r>
              <w:t>0</w:t>
            </w:r>
          </w:p>
        </w:tc>
        <w:tc>
          <w:tcPr>
            <w:tcW w:w="1144" w:type="dxa"/>
          </w:tcPr>
          <w:p w14:paraId="35C74867" w14:textId="77777777" w:rsidR="0036050D" w:rsidRPr="001C0F84" w:rsidRDefault="0036050D" w:rsidP="0036050D">
            <w:pPr>
              <w:pStyle w:val="Tablesmalltext"/>
              <w:jc w:val="center"/>
              <w:rPr>
                <w:rFonts w:eastAsia="Times New Roman"/>
                <w:lang w:val="en-AU" w:eastAsia="en-AU"/>
              </w:rPr>
            </w:pPr>
            <w:r>
              <w:t>&gt;15</w:t>
            </w:r>
          </w:p>
        </w:tc>
        <w:tc>
          <w:tcPr>
            <w:tcW w:w="1549" w:type="dxa"/>
          </w:tcPr>
          <w:p w14:paraId="3931759B"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39797B26" w14:textId="77777777" w:rsidR="0036050D" w:rsidRDefault="0036050D" w:rsidP="0036050D">
            <w:pPr>
              <w:pStyle w:val="Tablesmalltext"/>
              <w:jc w:val="center"/>
              <w:rPr>
                <w:rFonts w:ascii="Wingdings" w:hAnsi="Wingdings" w:hint="eastAsia"/>
              </w:rPr>
            </w:pPr>
            <w:r>
              <w:t>SPZ</w:t>
            </w:r>
          </w:p>
        </w:tc>
        <w:tc>
          <w:tcPr>
            <w:tcW w:w="1144" w:type="dxa"/>
          </w:tcPr>
          <w:p w14:paraId="0476315B"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45502DA6" w14:textId="77777777" w:rsidR="0036050D" w:rsidRDefault="0036050D" w:rsidP="0036050D">
            <w:pPr>
              <w:pStyle w:val="Tablesmalltext"/>
              <w:jc w:val="center"/>
            </w:pPr>
            <w:r>
              <w:t>Yes</w:t>
            </w:r>
          </w:p>
        </w:tc>
      </w:tr>
      <w:tr w:rsidR="0036050D" w:rsidRPr="001C0F84" w14:paraId="7B20F2BA" w14:textId="77777777" w:rsidTr="009B4F8F">
        <w:trPr>
          <w:trHeight w:val="240"/>
        </w:trPr>
        <w:tc>
          <w:tcPr>
            <w:tcW w:w="723" w:type="dxa"/>
            <w:shd w:val="clear" w:color="auto" w:fill="auto"/>
            <w:noWrap/>
            <w:vAlign w:val="center"/>
          </w:tcPr>
          <w:p w14:paraId="43556FAE"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27</w:t>
            </w:r>
          </w:p>
        </w:tc>
        <w:tc>
          <w:tcPr>
            <w:tcW w:w="1485" w:type="dxa"/>
            <w:shd w:val="clear" w:color="auto" w:fill="auto"/>
          </w:tcPr>
          <w:p w14:paraId="3FAA40A6" w14:textId="77777777" w:rsidR="0036050D" w:rsidRPr="001C0F84" w:rsidRDefault="0036050D" w:rsidP="0036050D">
            <w:pPr>
              <w:pStyle w:val="Tablesmalltext"/>
              <w:rPr>
                <w:rFonts w:eastAsia="Times New Roman"/>
                <w:lang w:val="en-AU" w:eastAsia="en-AU"/>
              </w:rPr>
            </w:pPr>
            <w:r w:rsidRPr="00826085">
              <w:t>868-507-0015</w:t>
            </w:r>
          </w:p>
        </w:tc>
        <w:tc>
          <w:tcPr>
            <w:tcW w:w="1522" w:type="dxa"/>
            <w:shd w:val="clear" w:color="auto" w:fill="auto"/>
          </w:tcPr>
          <w:p w14:paraId="017F035D" w14:textId="77777777" w:rsidR="0036050D" w:rsidRPr="001C0F84" w:rsidRDefault="0036050D" w:rsidP="0036050D">
            <w:pPr>
              <w:pStyle w:val="Tablesmalltext"/>
              <w:rPr>
                <w:rFonts w:eastAsia="Times New Roman"/>
                <w:lang w:val="en-AU" w:eastAsia="en-AU"/>
              </w:rPr>
            </w:pPr>
            <w:r w:rsidRPr="00826085">
              <w:t>Sleepy Hollow</w:t>
            </w:r>
          </w:p>
        </w:tc>
        <w:tc>
          <w:tcPr>
            <w:tcW w:w="1815" w:type="dxa"/>
          </w:tcPr>
          <w:p w14:paraId="00B0BF36" w14:textId="77777777" w:rsidR="0036050D" w:rsidRPr="001C0F84" w:rsidRDefault="0036050D" w:rsidP="0036050D">
            <w:pPr>
              <w:pStyle w:val="Tablesmalltext"/>
              <w:jc w:val="center"/>
              <w:rPr>
                <w:rFonts w:eastAsia="Times New Roman"/>
                <w:lang w:val="en-AU" w:eastAsia="en-AU"/>
              </w:rPr>
            </w:pPr>
            <w:r w:rsidRPr="00F878EB">
              <w:t>East Gippsland</w:t>
            </w:r>
          </w:p>
        </w:tc>
        <w:tc>
          <w:tcPr>
            <w:tcW w:w="1142" w:type="dxa"/>
            <w:shd w:val="clear" w:color="auto" w:fill="auto"/>
          </w:tcPr>
          <w:p w14:paraId="17A4257B"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0F3E9AC4"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tcPr>
          <w:p w14:paraId="6FC4096F"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4EAAE0AC"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0C79F397" w14:textId="77777777" w:rsidR="0036050D" w:rsidRPr="001C0F84" w:rsidRDefault="0036050D" w:rsidP="0036050D">
            <w:pPr>
              <w:pStyle w:val="Tablesmalltext"/>
              <w:jc w:val="center"/>
              <w:rPr>
                <w:rFonts w:eastAsia="Times New Roman"/>
                <w:lang w:val="en-AU" w:eastAsia="en-AU"/>
              </w:rPr>
            </w:pPr>
            <w:r>
              <w:t>Low</w:t>
            </w:r>
          </w:p>
        </w:tc>
        <w:tc>
          <w:tcPr>
            <w:tcW w:w="1144" w:type="dxa"/>
          </w:tcPr>
          <w:p w14:paraId="3D8297CF" w14:textId="77777777" w:rsidR="0036050D" w:rsidRDefault="0036050D" w:rsidP="0036050D">
            <w:pPr>
              <w:pStyle w:val="Tablesmalltext"/>
              <w:jc w:val="center"/>
              <w:rPr>
                <w:rFonts w:ascii="Wingdings" w:hAnsi="Wingdings" w:hint="eastAsia"/>
              </w:rPr>
            </w:pPr>
            <w:r>
              <w:t>SMZ only</w:t>
            </w:r>
          </w:p>
        </w:tc>
        <w:tc>
          <w:tcPr>
            <w:tcW w:w="1144" w:type="dxa"/>
          </w:tcPr>
          <w:p w14:paraId="5606C3A1"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5C8BD2C0" w14:textId="77777777" w:rsidR="0036050D" w:rsidRDefault="0036050D" w:rsidP="0036050D">
            <w:pPr>
              <w:pStyle w:val="Tablesmalltext"/>
              <w:jc w:val="center"/>
            </w:pPr>
            <w:r>
              <w:t>No</w:t>
            </w:r>
          </w:p>
        </w:tc>
      </w:tr>
      <w:tr w:rsidR="0036050D" w:rsidRPr="001C0F84" w14:paraId="6A0530E1" w14:textId="77777777" w:rsidTr="009B4F8F">
        <w:trPr>
          <w:trHeight w:val="240"/>
        </w:trPr>
        <w:tc>
          <w:tcPr>
            <w:tcW w:w="723" w:type="dxa"/>
            <w:shd w:val="clear" w:color="auto" w:fill="auto"/>
            <w:noWrap/>
            <w:vAlign w:val="center"/>
          </w:tcPr>
          <w:p w14:paraId="3A0CC7C0"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28</w:t>
            </w:r>
          </w:p>
        </w:tc>
        <w:tc>
          <w:tcPr>
            <w:tcW w:w="1485" w:type="dxa"/>
            <w:shd w:val="clear" w:color="auto" w:fill="auto"/>
          </w:tcPr>
          <w:p w14:paraId="1757E619" w14:textId="77777777" w:rsidR="0036050D" w:rsidRPr="001C0F84" w:rsidRDefault="0036050D" w:rsidP="0036050D">
            <w:pPr>
              <w:pStyle w:val="Tablesmalltext"/>
              <w:rPr>
                <w:rFonts w:eastAsia="Times New Roman"/>
                <w:lang w:val="en-AU" w:eastAsia="en-AU"/>
              </w:rPr>
            </w:pPr>
            <w:r w:rsidRPr="00826085">
              <w:t>875-511-0012</w:t>
            </w:r>
          </w:p>
        </w:tc>
        <w:tc>
          <w:tcPr>
            <w:tcW w:w="1522" w:type="dxa"/>
            <w:shd w:val="clear" w:color="auto" w:fill="auto"/>
          </w:tcPr>
          <w:p w14:paraId="2222FC4A" w14:textId="77777777" w:rsidR="0036050D" w:rsidRPr="001C0F84" w:rsidRDefault="0036050D" w:rsidP="0036050D">
            <w:pPr>
              <w:pStyle w:val="Tablesmalltext"/>
              <w:rPr>
                <w:rFonts w:eastAsia="Times New Roman"/>
                <w:lang w:val="en-AU" w:eastAsia="en-AU"/>
              </w:rPr>
            </w:pPr>
            <w:r w:rsidRPr="00826085">
              <w:t>Vox</w:t>
            </w:r>
          </w:p>
        </w:tc>
        <w:tc>
          <w:tcPr>
            <w:tcW w:w="1815" w:type="dxa"/>
          </w:tcPr>
          <w:p w14:paraId="333566FE" w14:textId="77777777" w:rsidR="0036050D" w:rsidRPr="001C0F84" w:rsidRDefault="0036050D" w:rsidP="0036050D">
            <w:pPr>
              <w:pStyle w:val="Tablesmalltext"/>
              <w:jc w:val="center"/>
              <w:rPr>
                <w:rFonts w:eastAsia="Times New Roman"/>
                <w:lang w:val="en-AU" w:eastAsia="en-AU"/>
              </w:rPr>
            </w:pPr>
            <w:r w:rsidRPr="00F878EB">
              <w:t>East Gippsland</w:t>
            </w:r>
          </w:p>
        </w:tc>
        <w:tc>
          <w:tcPr>
            <w:tcW w:w="1142" w:type="dxa"/>
            <w:shd w:val="clear" w:color="auto" w:fill="auto"/>
          </w:tcPr>
          <w:p w14:paraId="22BCFC63"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noWrap/>
          </w:tcPr>
          <w:p w14:paraId="472B1AD6"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tcPr>
          <w:p w14:paraId="5BB15869" w14:textId="77777777" w:rsidR="0036050D" w:rsidRPr="001C0F84" w:rsidRDefault="0036050D" w:rsidP="0036050D">
            <w:pPr>
              <w:pStyle w:val="Tablesmalltext"/>
              <w:jc w:val="center"/>
              <w:rPr>
                <w:rFonts w:eastAsia="Times New Roman"/>
                <w:lang w:val="en-AU" w:eastAsia="en-AU"/>
              </w:rPr>
            </w:pPr>
            <w:r>
              <w:t>1-400 m</w:t>
            </w:r>
          </w:p>
        </w:tc>
        <w:tc>
          <w:tcPr>
            <w:tcW w:w="1144" w:type="dxa"/>
          </w:tcPr>
          <w:p w14:paraId="3D9997BA"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485E7D68" w14:textId="77777777" w:rsidR="0036050D" w:rsidRPr="001C0F84" w:rsidRDefault="0036050D" w:rsidP="0036050D">
            <w:pPr>
              <w:pStyle w:val="Tablesmalltext"/>
              <w:jc w:val="center"/>
              <w:rPr>
                <w:rFonts w:eastAsia="Times New Roman"/>
                <w:lang w:val="en-AU" w:eastAsia="en-AU"/>
              </w:rPr>
            </w:pPr>
            <w:r>
              <w:t>High</w:t>
            </w:r>
          </w:p>
        </w:tc>
        <w:tc>
          <w:tcPr>
            <w:tcW w:w="1144" w:type="dxa"/>
          </w:tcPr>
          <w:p w14:paraId="6BFDD984" w14:textId="77777777" w:rsidR="0036050D" w:rsidRDefault="0036050D" w:rsidP="0036050D">
            <w:pPr>
              <w:pStyle w:val="Tablesmalltext"/>
              <w:jc w:val="center"/>
              <w:rPr>
                <w:rFonts w:ascii="Wingdings" w:hAnsi="Wingdings" w:hint="eastAsia"/>
              </w:rPr>
            </w:pPr>
            <w:r>
              <w:t>SMZ only</w:t>
            </w:r>
          </w:p>
        </w:tc>
        <w:tc>
          <w:tcPr>
            <w:tcW w:w="1144" w:type="dxa"/>
          </w:tcPr>
          <w:p w14:paraId="048E9BE3"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6DFEFB8D" w14:textId="77777777" w:rsidR="0036050D" w:rsidRDefault="0036050D" w:rsidP="0036050D">
            <w:pPr>
              <w:pStyle w:val="Tablesmalltext"/>
              <w:jc w:val="center"/>
            </w:pPr>
            <w:r>
              <w:t>No</w:t>
            </w:r>
          </w:p>
        </w:tc>
      </w:tr>
      <w:tr w:rsidR="0036050D" w:rsidRPr="001C0F84" w14:paraId="098AEE7F" w14:textId="77777777" w:rsidTr="009B4F8F">
        <w:trPr>
          <w:trHeight w:val="240"/>
        </w:trPr>
        <w:tc>
          <w:tcPr>
            <w:tcW w:w="723" w:type="dxa"/>
            <w:shd w:val="clear" w:color="auto" w:fill="auto"/>
            <w:noWrap/>
            <w:vAlign w:val="center"/>
          </w:tcPr>
          <w:p w14:paraId="64310DDD"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29</w:t>
            </w:r>
          </w:p>
        </w:tc>
        <w:tc>
          <w:tcPr>
            <w:tcW w:w="1485" w:type="dxa"/>
            <w:shd w:val="clear" w:color="auto" w:fill="auto"/>
          </w:tcPr>
          <w:p w14:paraId="48EDC73A" w14:textId="77777777" w:rsidR="0036050D" w:rsidRPr="001C0F84" w:rsidRDefault="0036050D" w:rsidP="0036050D">
            <w:pPr>
              <w:pStyle w:val="Tablesmalltext"/>
              <w:rPr>
                <w:rFonts w:eastAsia="Times New Roman"/>
                <w:lang w:val="en-AU" w:eastAsia="en-AU"/>
              </w:rPr>
            </w:pPr>
            <w:r w:rsidRPr="00826085">
              <w:t>876-516-0004</w:t>
            </w:r>
          </w:p>
        </w:tc>
        <w:tc>
          <w:tcPr>
            <w:tcW w:w="1522" w:type="dxa"/>
            <w:shd w:val="clear" w:color="auto" w:fill="auto"/>
          </w:tcPr>
          <w:p w14:paraId="6500E425" w14:textId="77777777" w:rsidR="0036050D" w:rsidRPr="001C0F84" w:rsidRDefault="0036050D" w:rsidP="0036050D">
            <w:pPr>
              <w:pStyle w:val="Tablesmalltext"/>
              <w:rPr>
                <w:rFonts w:eastAsia="Times New Roman"/>
                <w:lang w:val="en-AU" w:eastAsia="en-AU"/>
              </w:rPr>
            </w:pPr>
            <w:r w:rsidRPr="00826085">
              <w:t>Wingan River</w:t>
            </w:r>
          </w:p>
        </w:tc>
        <w:tc>
          <w:tcPr>
            <w:tcW w:w="1815" w:type="dxa"/>
          </w:tcPr>
          <w:p w14:paraId="6E3D44BE" w14:textId="77777777" w:rsidR="0036050D" w:rsidRPr="001C0F84" w:rsidRDefault="0036050D" w:rsidP="0036050D">
            <w:pPr>
              <w:pStyle w:val="Tablesmalltext"/>
              <w:jc w:val="center"/>
              <w:rPr>
                <w:rFonts w:eastAsia="Times New Roman"/>
                <w:lang w:val="en-AU" w:eastAsia="en-AU"/>
              </w:rPr>
            </w:pPr>
            <w:r w:rsidRPr="00F878EB">
              <w:t>East Gippsland</w:t>
            </w:r>
          </w:p>
        </w:tc>
        <w:tc>
          <w:tcPr>
            <w:tcW w:w="1142" w:type="dxa"/>
            <w:shd w:val="clear" w:color="auto" w:fill="auto"/>
          </w:tcPr>
          <w:p w14:paraId="3F831D0B" w14:textId="77777777" w:rsidR="0036050D" w:rsidRPr="001C0F84" w:rsidRDefault="0036050D" w:rsidP="0036050D">
            <w:pPr>
              <w:pStyle w:val="Tablesmalltext"/>
              <w:jc w:val="center"/>
              <w:rPr>
                <w:rFonts w:eastAsia="Times New Roman"/>
                <w:lang w:val="en-AU" w:eastAsia="en-AU"/>
              </w:rPr>
            </w:pPr>
            <w:r>
              <w:t>Yes</w:t>
            </w:r>
          </w:p>
        </w:tc>
        <w:tc>
          <w:tcPr>
            <w:tcW w:w="1144" w:type="dxa"/>
            <w:shd w:val="clear" w:color="auto" w:fill="CCFFCC"/>
            <w:noWrap/>
          </w:tcPr>
          <w:p w14:paraId="23FDF7C1"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tcPr>
          <w:p w14:paraId="611668E6" w14:textId="77777777" w:rsidR="0036050D" w:rsidRPr="001C0F84" w:rsidRDefault="0036050D" w:rsidP="0036050D">
            <w:pPr>
              <w:pStyle w:val="Tablesmalltext"/>
              <w:jc w:val="center"/>
              <w:rPr>
                <w:rFonts w:eastAsia="Times New Roman"/>
                <w:lang w:val="en-AU" w:eastAsia="en-AU"/>
              </w:rPr>
            </w:pPr>
            <w:r>
              <w:t>&gt;400 m</w:t>
            </w:r>
          </w:p>
        </w:tc>
        <w:tc>
          <w:tcPr>
            <w:tcW w:w="1144" w:type="dxa"/>
          </w:tcPr>
          <w:p w14:paraId="33C32BD4"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6175298C" w14:textId="77777777" w:rsidR="0036050D" w:rsidRPr="001C0F84" w:rsidRDefault="0036050D" w:rsidP="0036050D">
            <w:pPr>
              <w:pStyle w:val="Tablesmalltext"/>
              <w:jc w:val="center"/>
              <w:rPr>
                <w:rFonts w:eastAsia="Times New Roman"/>
                <w:lang w:val="en-AU" w:eastAsia="en-AU"/>
              </w:rPr>
            </w:pPr>
            <w:r>
              <w:t>Mod</w:t>
            </w:r>
          </w:p>
        </w:tc>
        <w:tc>
          <w:tcPr>
            <w:tcW w:w="1144" w:type="dxa"/>
          </w:tcPr>
          <w:p w14:paraId="66C7CF47" w14:textId="77777777" w:rsidR="0036050D" w:rsidRDefault="0036050D" w:rsidP="0036050D">
            <w:pPr>
              <w:pStyle w:val="Tablesmalltext"/>
              <w:jc w:val="center"/>
              <w:rPr>
                <w:rFonts w:ascii="Wingdings" w:hAnsi="Wingdings" w:hint="eastAsia"/>
              </w:rPr>
            </w:pPr>
            <w:r>
              <w:t>SMZ only</w:t>
            </w:r>
          </w:p>
        </w:tc>
        <w:tc>
          <w:tcPr>
            <w:tcW w:w="1144" w:type="dxa"/>
          </w:tcPr>
          <w:p w14:paraId="1A67B475" w14:textId="77777777" w:rsidR="0036050D" w:rsidRPr="001C0F84" w:rsidRDefault="0036050D" w:rsidP="0036050D">
            <w:pPr>
              <w:pStyle w:val="Tablesmalltext"/>
              <w:jc w:val="center"/>
              <w:rPr>
                <w:rFonts w:eastAsia="Times New Roman"/>
                <w:lang w:val="en-AU" w:eastAsia="en-AU"/>
              </w:rPr>
            </w:pPr>
            <w:r w:rsidRPr="000B53CA">
              <w:t>No</w:t>
            </w:r>
          </w:p>
        </w:tc>
        <w:tc>
          <w:tcPr>
            <w:tcW w:w="1144" w:type="dxa"/>
          </w:tcPr>
          <w:p w14:paraId="1782A1EE" w14:textId="77777777" w:rsidR="0036050D" w:rsidRDefault="0036050D" w:rsidP="0036050D">
            <w:pPr>
              <w:pStyle w:val="Tablesmalltext"/>
              <w:jc w:val="center"/>
            </w:pPr>
            <w:r>
              <w:t>No</w:t>
            </w:r>
          </w:p>
        </w:tc>
      </w:tr>
      <w:tr w:rsidR="0036050D" w:rsidRPr="001C0F84" w14:paraId="72BCEE69" w14:textId="77777777" w:rsidTr="009B4F8F">
        <w:trPr>
          <w:trHeight w:val="240"/>
        </w:trPr>
        <w:tc>
          <w:tcPr>
            <w:tcW w:w="723" w:type="dxa"/>
            <w:shd w:val="clear" w:color="auto" w:fill="auto"/>
            <w:noWrap/>
            <w:vAlign w:val="center"/>
          </w:tcPr>
          <w:p w14:paraId="31EC391B" w14:textId="77777777" w:rsidR="0036050D" w:rsidRPr="001C0F84" w:rsidRDefault="0036050D" w:rsidP="0036050D">
            <w:pPr>
              <w:pStyle w:val="Tablesmalltext"/>
              <w:jc w:val="center"/>
              <w:rPr>
                <w:rFonts w:eastAsia="Times New Roman"/>
                <w:lang w:val="en-AU" w:eastAsia="en-AU"/>
              </w:rPr>
            </w:pPr>
            <w:r>
              <w:rPr>
                <w:rFonts w:eastAsia="Times New Roman"/>
                <w:lang w:val="en-AU" w:eastAsia="en-AU"/>
              </w:rPr>
              <w:t>30</w:t>
            </w:r>
          </w:p>
        </w:tc>
        <w:tc>
          <w:tcPr>
            <w:tcW w:w="1485" w:type="dxa"/>
            <w:shd w:val="clear" w:color="auto" w:fill="auto"/>
          </w:tcPr>
          <w:p w14:paraId="4E5798C6" w14:textId="77777777" w:rsidR="0036050D" w:rsidRPr="001C0F84" w:rsidRDefault="0036050D" w:rsidP="0036050D">
            <w:pPr>
              <w:pStyle w:val="Tablesmalltext"/>
              <w:rPr>
                <w:rFonts w:eastAsia="Times New Roman"/>
                <w:lang w:val="en-AU" w:eastAsia="en-AU"/>
              </w:rPr>
            </w:pPr>
            <w:r w:rsidRPr="00826085">
              <w:t>891-516-0024</w:t>
            </w:r>
          </w:p>
        </w:tc>
        <w:tc>
          <w:tcPr>
            <w:tcW w:w="1522" w:type="dxa"/>
            <w:shd w:val="clear" w:color="auto" w:fill="auto"/>
          </w:tcPr>
          <w:p w14:paraId="118CC736" w14:textId="77777777" w:rsidR="0036050D" w:rsidRPr="001C0F84" w:rsidRDefault="0036050D" w:rsidP="0036050D">
            <w:pPr>
              <w:pStyle w:val="Tablesmalltext"/>
              <w:rPr>
                <w:rFonts w:eastAsia="Times New Roman"/>
                <w:lang w:val="en-AU" w:eastAsia="en-AU"/>
              </w:rPr>
            </w:pPr>
            <w:r w:rsidRPr="00826085">
              <w:t>Another Bit</w:t>
            </w:r>
          </w:p>
        </w:tc>
        <w:tc>
          <w:tcPr>
            <w:tcW w:w="1815" w:type="dxa"/>
          </w:tcPr>
          <w:p w14:paraId="60C32FF1" w14:textId="77777777" w:rsidR="0036050D" w:rsidRPr="001C0F84" w:rsidRDefault="0036050D" w:rsidP="0036050D">
            <w:pPr>
              <w:pStyle w:val="Tablesmalltext"/>
              <w:jc w:val="center"/>
              <w:rPr>
                <w:rFonts w:eastAsia="Times New Roman"/>
                <w:lang w:val="en-AU" w:eastAsia="en-AU"/>
              </w:rPr>
            </w:pPr>
            <w:r w:rsidRPr="00F878EB">
              <w:t>East Gippsland</w:t>
            </w:r>
          </w:p>
        </w:tc>
        <w:tc>
          <w:tcPr>
            <w:tcW w:w="1142" w:type="dxa"/>
            <w:shd w:val="clear" w:color="auto" w:fill="auto"/>
          </w:tcPr>
          <w:p w14:paraId="3B131BC6"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CCFFCC"/>
            <w:noWrap/>
          </w:tcPr>
          <w:p w14:paraId="671D51FF" w14:textId="77777777" w:rsidR="0036050D" w:rsidRPr="001C0F84" w:rsidRDefault="0036050D" w:rsidP="0036050D">
            <w:pPr>
              <w:pStyle w:val="Tablesmalltext"/>
              <w:jc w:val="center"/>
              <w:rPr>
                <w:rFonts w:eastAsia="Times New Roman"/>
                <w:lang w:val="en-AU" w:eastAsia="en-AU"/>
              </w:rPr>
            </w:pPr>
            <w:r>
              <w:t>No</w:t>
            </w:r>
          </w:p>
        </w:tc>
        <w:tc>
          <w:tcPr>
            <w:tcW w:w="1144" w:type="dxa"/>
            <w:shd w:val="clear" w:color="auto" w:fill="FFFFCC"/>
          </w:tcPr>
          <w:p w14:paraId="6ADF8005" w14:textId="77777777" w:rsidR="0036050D" w:rsidRPr="001C0F84" w:rsidRDefault="0036050D" w:rsidP="0036050D">
            <w:pPr>
              <w:pStyle w:val="Tablesmalltext"/>
              <w:jc w:val="center"/>
              <w:rPr>
                <w:rFonts w:eastAsia="Times New Roman"/>
                <w:lang w:val="en-AU" w:eastAsia="en-AU"/>
              </w:rPr>
            </w:pPr>
            <w:r>
              <w:t>&gt;400 m</w:t>
            </w:r>
          </w:p>
        </w:tc>
        <w:tc>
          <w:tcPr>
            <w:tcW w:w="1144" w:type="dxa"/>
          </w:tcPr>
          <w:p w14:paraId="1B3F3E99" w14:textId="77777777" w:rsidR="0036050D" w:rsidRPr="001C0F84" w:rsidRDefault="0036050D" w:rsidP="0036050D">
            <w:pPr>
              <w:pStyle w:val="Tablesmalltext"/>
              <w:jc w:val="center"/>
              <w:rPr>
                <w:rFonts w:eastAsia="Times New Roman"/>
                <w:lang w:val="en-AU" w:eastAsia="en-AU"/>
              </w:rPr>
            </w:pPr>
            <w:r>
              <w:t>&lt;15</w:t>
            </w:r>
          </w:p>
        </w:tc>
        <w:tc>
          <w:tcPr>
            <w:tcW w:w="1549" w:type="dxa"/>
          </w:tcPr>
          <w:p w14:paraId="645133F2" w14:textId="77777777" w:rsidR="0036050D" w:rsidRPr="001C0F84" w:rsidRDefault="0036050D" w:rsidP="0036050D">
            <w:pPr>
              <w:pStyle w:val="Tablesmalltext"/>
              <w:jc w:val="center"/>
              <w:rPr>
                <w:rFonts w:eastAsia="Times New Roman"/>
                <w:lang w:val="en-AU" w:eastAsia="en-AU"/>
              </w:rPr>
            </w:pPr>
            <w:r>
              <w:t>High</w:t>
            </w:r>
          </w:p>
        </w:tc>
        <w:tc>
          <w:tcPr>
            <w:tcW w:w="1144" w:type="dxa"/>
          </w:tcPr>
          <w:p w14:paraId="1A42A5E1" w14:textId="77777777" w:rsidR="0036050D" w:rsidRPr="001C0F84" w:rsidRDefault="0036050D" w:rsidP="0036050D">
            <w:pPr>
              <w:pStyle w:val="Tablesmalltext"/>
              <w:jc w:val="center"/>
              <w:rPr>
                <w:rFonts w:eastAsia="Times New Roman"/>
                <w:lang w:val="en-AU" w:eastAsia="en-AU"/>
              </w:rPr>
            </w:pPr>
            <w:r>
              <w:t>SPZ</w:t>
            </w:r>
          </w:p>
        </w:tc>
        <w:tc>
          <w:tcPr>
            <w:tcW w:w="1144" w:type="dxa"/>
          </w:tcPr>
          <w:p w14:paraId="09E26FD9" w14:textId="77777777" w:rsidR="0036050D" w:rsidRPr="001C0F84" w:rsidRDefault="0036050D" w:rsidP="0036050D">
            <w:pPr>
              <w:pStyle w:val="Tablesmalltext"/>
              <w:jc w:val="center"/>
              <w:rPr>
                <w:rFonts w:eastAsia="Times New Roman"/>
                <w:lang w:val="en-AU" w:eastAsia="en-AU"/>
              </w:rPr>
            </w:pPr>
            <w:r>
              <w:t>Yes</w:t>
            </w:r>
          </w:p>
        </w:tc>
        <w:tc>
          <w:tcPr>
            <w:tcW w:w="1144" w:type="dxa"/>
          </w:tcPr>
          <w:p w14:paraId="4EE999C5" w14:textId="77777777" w:rsidR="0036050D" w:rsidRDefault="0036050D" w:rsidP="0036050D">
            <w:pPr>
              <w:pStyle w:val="Tablesmalltext"/>
              <w:jc w:val="center"/>
            </w:pPr>
            <w:r>
              <w:t>Yes</w:t>
            </w:r>
          </w:p>
        </w:tc>
      </w:tr>
    </w:tbl>
    <w:p w14:paraId="551315CC" w14:textId="77777777" w:rsidR="0036050D" w:rsidRDefault="0036050D" w:rsidP="0036050D">
      <w:pPr>
        <w:pStyle w:val="Tablesmalltext"/>
      </w:pPr>
      <w:r>
        <w:t xml:space="preserve">Note: </w:t>
      </w:r>
    </w:p>
    <w:p w14:paraId="5838236D" w14:textId="77777777" w:rsidR="0036050D" w:rsidRDefault="0036050D" w:rsidP="00E74AFC">
      <w:pPr>
        <w:pStyle w:val="Tablesmalltext"/>
        <w:numPr>
          <w:ilvl w:val="0"/>
          <w:numId w:val="75"/>
        </w:numPr>
      </w:pPr>
      <w:r>
        <w:t>Waterway crossing colour code: yellow – feature flagged as ‘yes’, but not present in coupe; green – waterway crossing accurately flagged as present or absent; orange – waterway crossing present, although not flagged as such during coupe planning.</w:t>
      </w:r>
    </w:p>
    <w:p w14:paraId="7CB3F126" w14:textId="77777777" w:rsidR="0036050D" w:rsidRDefault="0036050D" w:rsidP="00E74AFC">
      <w:pPr>
        <w:pStyle w:val="Tablesmalltext"/>
        <w:numPr>
          <w:ilvl w:val="0"/>
          <w:numId w:val="75"/>
        </w:numPr>
      </w:pPr>
      <w:r>
        <w:t>In-coupe road length colour code: yellow – in coupe road length less than estimate; green – road length accurately estimated; orange – actual in-coupe road length greater than estimated.</w:t>
      </w:r>
    </w:p>
    <w:p w14:paraId="1E3735DE" w14:textId="400462C4" w:rsidR="0036050D" w:rsidRDefault="0036050D" w:rsidP="0036050D">
      <w:pPr>
        <w:pStyle w:val="Caption"/>
      </w:pPr>
      <w:bookmarkStart w:id="46" w:name="_Ref13842356"/>
      <w:r>
        <w:t xml:space="preserve">Table </w:t>
      </w:r>
      <w:r w:rsidR="0013561C">
        <w:fldChar w:fldCharType="begin" w:fldLock="1"/>
      </w:r>
      <w:r w:rsidR="0013561C">
        <w:instrText xml:space="preserve"> STYLEREF</w:instrText>
      </w:r>
      <w:r w:rsidR="0013561C">
        <w:instrText xml:space="preserve"> 1 \s </w:instrText>
      </w:r>
      <w:r w:rsidR="0013561C">
        <w:fldChar w:fldCharType="separate"/>
      </w:r>
      <w:r w:rsidR="005544E2">
        <w:rPr>
          <w:noProof/>
        </w:rPr>
        <w:t>3</w:t>
      </w:r>
      <w:r w:rsidR="0013561C">
        <w:rPr>
          <w:noProof/>
        </w:rPr>
        <w:fldChar w:fldCharType="end"/>
      </w:r>
      <w:r>
        <w:t>.</w:t>
      </w:r>
      <w:r w:rsidR="0013561C">
        <w:fldChar w:fldCharType="begin"/>
      </w:r>
      <w:r w:rsidR="0013561C">
        <w:instrText xml:space="preserve"> SEQ Table \* ARABIC \s 1 </w:instrText>
      </w:r>
      <w:r w:rsidR="0013561C">
        <w:fldChar w:fldCharType="separate"/>
      </w:r>
      <w:r w:rsidR="007E0985">
        <w:rPr>
          <w:noProof/>
        </w:rPr>
        <w:t>3</w:t>
      </w:r>
      <w:r w:rsidR="0013561C">
        <w:rPr>
          <w:noProof/>
        </w:rPr>
        <w:fldChar w:fldCharType="end"/>
      </w:r>
      <w:bookmarkEnd w:id="46"/>
      <w:r>
        <w:t xml:space="preserve"> Location and characteristics of regeneration coupes</w:t>
      </w:r>
      <w:r w:rsidRPr="004F1128">
        <w:t xml:space="preserve"> </w:t>
      </w:r>
      <w:r>
        <w:t>included in 2018-19 FAP</w:t>
      </w:r>
    </w:p>
    <w:tbl>
      <w:tblPr>
        <w:tblW w:w="10798" w:type="dxa"/>
        <w:tblInd w:w="93" w:type="dxa"/>
        <w:tblBorders>
          <w:top w:val="single" w:sz="4" w:space="0" w:color="auto"/>
          <w:left w:val="single" w:sz="4" w:space="0" w:color="auto"/>
          <w:bottom w:val="single" w:sz="4" w:space="0" w:color="auto"/>
          <w:right w:val="single" w:sz="4" w:space="0" w:color="auto"/>
          <w:insideH w:val="single" w:sz="4" w:space="0" w:color="auto"/>
        </w:tblBorders>
        <w:tblLayout w:type="fixed"/>
        <w:tblLook w:val="04A0" w:firstRow="1" w:lastRow="0" w:firstColumn="1" w:lastColumn="0" w:noHBand="0" w:noVBand="1"/>
      </w:tblPr>
      <w:tblGrid>
        <w:gridCol w:w="723"/>
        <w:gridCol w:w="1485"/>
        <w:gridCol w:w="1663"/>
        <w:gridCol w:w="1701"/>
        <w:gridCol w:w="1276"/>
        <w:gridCol w:w="1276"/>
        <w:gridCol w:w="2674"/>
      </w:tblGrid>
      <w:tr w:rsidR="008901E2" w14:paraId="41DA7A68" w14:textId="77777777" w:rsidTr="009B4F8F">
        <w:trPr>
          <w:trHeight w:val="480"/>
          <w:tblHeader/>
        </w:trPr>
        <w:tc>
          <w:tcPr>
            <w:tcW w:w="723" w:type="dxa"/>
            <w:shd w:val="clear" w:color="auto" w:fill="E5E5E5" w:themeFill="background2"/>
            <w:vAlign w:val="center"/>
            <w:hideMark/>
          </w:tcPr>
          <w:p w14:paraId="6296FEE2" w14:textId="77777777" w:rsidR="008901E2" w:rsidRPr="001C0F84" w:rsidRDefault="008901E2" w:rsidP="0036050D">
            <w:pPr>
              <w:pStyle w:val="Tablesmalltext"/>
              <w:jc w:val="center"/>
              <w:rPr>
                <w:rFonts w:eastAsia="Times New Roman"/>
                <w:lang w:val="en-AU" w:eastAsia="en-AU"/>
              </w:rPr>
            </w:pPr>
            <w:r w:rsidRPr="001C0F84">
              <w:rPr>
                <w:rFonts w:eastAsia="Times New Roman"/>
                <w:lang w:val="en-AU" w:eastAsia="en-AU"/>
              </w:rPr>
              <w:t>Audit #</w:t>
            </w:r>
          </w:p>
        </w:tc>
        <w:tc>
          <w:tcPr>
            <w:tcW w:w="1485" w:type="dxa"/>
            <w:shd w:val="clear" w:color="auto" w:fill="E5E5E5" w:themeFill="background2"/>
            <w:vAlign w:val="center"/>
            <w:hideMark/>
          </w:tcPr>
          <w:p w14:paraId="55BD1997" w14:textId="77777777" w:rsidR="008901E2" w:rsidRPr="001C0F84" w:rsidRDefault="008901E2" w:rsidP="0036050D">
            <w:pPr>
              <w:pStyle w:val="Tablesmalltext"/>
              <w:rPr>
                <w:rFonts w:eastAsia="Times New Roman"/>
                <w:lang w:val="en-AU" w:eastAsia="en-AU"/>
              </w:rPr>
            </w:pPr>
            <w:r w:rsidRPr="001C0F84">
              <w:rPr>
                <w:rFonts w:eastAsia="Times New Roman"/>
                <w:lang w:val="en-AU" w:eastAsia="en-AU"/>
              </w:rPr>
              <w:t xml:space="preserve">Coupe </w:t>
            </w:r>
            <w:r>
              <w:rPr>
                <w:rFonts w:eastAsia="Times New Roman"/>
                <w:lang w:val="en-AU" w:eastAsia="en-AU"/>
              </w:rPr>
              <w:t>address</w:t>
            </w:r>
          </w:p>
        </w:tc>
        <w:tc>
          <w:tcPr>
            <w:tcW w:w="1663" w:type="dxa"/>
            <w:shd w:val="clear" w:color="auto" w:fill="E5E5E5" w:themeFill="background2"/>
            <w:vAlign w:val="center"/>
            <w:hideMark/>
          </w:tcPr>
          <w:p w14:paraId="528B93F7" w14:textId="77777777" w:rsidR="008901E2" w:rsidRPr="001C0F84" w:rsidRDefault="008901E2" w:rsidP="0036050D">
            <w:pPr>
              <w:pStyle w:val="Tablesmalltext"/>
              <w:rPr>
                <w:rFonts w:eastAsia="Times New Roman"/>
                <w:lang w:val="en-AU" w:eastAsia="en-AU"/>
              </w:rPr>
            </w:pPr>
            <w:r w:rsidRPr="001C0F84">
              <w:rPr>
                <w:rFonts w:eastAsia="Times New Roman"/>
                <w:lang w:val="en-AU" w:eastAsia="en-AU"/>
              </w:rPr>
              <w:t>Coupe Name</w:t>
            </w:r>
          </w:p>
        </w:tc>
        <w:tc>
          <w:tcPr>
            <w:tcW w:w="1701" w:type="dxa"/>
            <w:shd w:val="clear" w:color="auto" w:fill="E5E5E5" w:themeFill="background2"/>
            <w:vAlign w:val="center"/>
          </w:tcPr>
          <w:p w14:paraId="4FB849F7" w14:textId="77777777" w:rsidR="008901E2" w:rsidRPr="001C0F84" w:rsidRDefault="008901E2" w:rsidP="0036050D">
            <w:pPr>
              <w:pStyle w:val="Tablesmalltext"/>
              <w:jc w:val="center"/>
              <w:rPr>
                <w:rFonts w:eastAsia="Times New Roman"/>
                <w:lang w:val="en-AU" w:eastAsia="en-AU"/>
              </w:rPr>
            </w:pPr>
            <w:r>
              <w:rPr>
                <w:rFonts w:eastAsia="Times New Roman"/>
                <w:lang w:val="en-AU" w:eastAsia="en-AU"/>
              </w:rPr>
              <w:t>FMA</w:t>
            </w:r>
          </w:p>
        </w:tc>
        <w:tc>
          <w:tcPr>
            <w:tcW w:w="1276" w:type="dxa"/>
            <w:shd w:val="clear" w:color="auto" w:fill="E5E5E5" w:themeFill="background2"/>
            <w:vAlign w:val="center"/>
            <w:hideMark/>
          </w:tcPr>
          <w:p w14:paraId="6BFA5D66" w14:textId="77777777" w:rsidR="008901E2" w:rsidRPr="001C0F84" w:rsidRDefault="008901E2" w:rsidP="0036050D">
            <w:pPr>
              <w:pStyle w:val="Tablesmalltext"/>
              <w:jc w:val="center"/>
              <w:rPr>
                <w:rFonts w:eastAsia="Times New Roman"/>
                <w:lang w:val="en-AU" w:eastAsia="en-AU"/>
              </w:rPr>
            </w:pPr>
            <w:r>
              <w:rPr>
                <w:rFonts w:eastAsia="Times New Roman"/>
                <w:lang w:val="en-AU" w:eastAsia="en-AU"/>
              </w:rPr>
              <w:t>In-coupe road length</w:t>
            </w:r>
          </w:p>
        </w:tc>
        <w:tc>
          <w:tcPr>
            <w:tcW w:w="1276" w:type="dxa"/>
            <w:shd w:val="clear" w:color="auto" w:fill="E5E5E5" w:themeFill="background2"/>
            <w:vAlign w:val="center"/>
          </w:tcPr>
          <w:p w14:paraId="7EDDF5A2" w14:textId="77777777" w:rsidR="008901E2" w:rsidRDefault="008901E2" w:rsidP="0036050D">
            <w:pPr>
              <w:pStyle w:val="Tablesmalltext"/>
              <w:jc w:val="center"/>
              <w:rPr>
                <w:rFonts w:eastAsia="Times New Roman"/>
                <w:lang w:val="en-AU" w:eastAsia="en-AU"/>
              </w:rPr>
            </w:pPr>
            <w:r>
              <w:rPr>
                <w:rFonts w:eastAsia="Times New Roman"/>
                <w:lang w:val="en-AU" w:eastAsia="en-AU"/>
              </w:rPr>
              <w:t>Waterway crossing</w:t>
            </w:r>
          </w:p>
        </w:tc>
        <w:tc>
          <w:tcPr>
            <w:tcW w:w="2674" w:type="dxa"/>
            <w:shd w:val="clear" w:color="auto" w:fill="E5E5E5" w:themeFill="background2"/>
            <w:vAlign w:val="center"/>
          </w:tcPr>
          <w:p w14:paraId="24253121" w14:textId="77777777" w:rsidR="008901E2" w:rsidRDefault="008901E2" w:rsidP="0036050D">
            <w:pPr>
              <w:pStyle w:val="Tablesmalltext"/>
              <w:jc w:val="center"/>
              <w:rPr>
                <w:rFonts w:eastAsia="Times New Roman"/>
                <w:lang w:val="en-AU" w:eastAsia="en-AU"/>
              </w:rPr>
            </w:pPr>
            <w:r>
              <w:rPr>
                <w:rFonts w:eastAsia="Times New Roman"/>
                <w:lang w:val="en-AU" w:eastAsia="en-AU"/>
              </w:rPr>
              <w:t>Silvicultural system</w:t>
            </w:r>
          </w:p>
        </w:tc>
      </w:tr>
      <w:tr w:rsidR="008901E2" w:rsidRPr="001C0F84" w14:paraId="3C3D92BE" w14:textId="77777777" w:rsidTr="0036050D">
        <w:trPr>
          <w:trHeight w:val="240"/>
        </w:trPr>
        <w:tc>
          <w:tcPr>
            <w:tcW w:w="723" w:type="dxa"/>
            <w:shd w:val="clear" w:color="auto" w:fill="auto"/>
            <w:noWrap/>
            <w:vAlign w:val="center"/>
          </w:tcPr>
          <w:p w14:paraId="7596C331" w14:textId="77777777" w:rsidR="008901E2" w:rsidRPr="001C0F84" w:rsidRDefault="008901E2" w:rsidP="0036050D">
            <w:pPr>
              <w:pStyle w:val="Tablesmalltext"/>
              <w:jc w:val="center"/>
              <w:rPr>
                <w:rFonts w:eastAsia="Times New Roman"/>
                <w:lang w:val="en-AU" w:eastAsia="en-AU"/>
              </w:rPr>
            </w:pPr>
            <w:r>
              <w:rPr>
                <w:rFonts w:eastAsia="Times New Roman"/>
                <w:lang w:val="en-AU" w:eastAsia="en-AU"/>
              </w:rPr>
              <w:t>R1</w:t>
            </w:r>
          </w:p>
        </w:tc>
        <w:tc>
          <w:tcPr>
            <w:tcW w:w="1485" w:type="dxa"/>
            <w:shd w:val="clear" w:color="auto" w:fill="auto"/>
            <w:noWrap/>
          </w:tcPr>
          <w:p w14:paraId="33CB1FB8" w14:textId="77777777" w:rsidR="008901E2" w:rsidRPr="001C0F84" w:rsidRDefault="008901E2" w:rsidP="0036050D">
            <w:pPr>
              <w:pStyle w:val="Tablesmalltext"/>
              <w:rPr>
                <w:rFonts w:eastAsia="Times New Roman"/>
                <w:lang w:val="en-AU" w:eastAsia="en-AU"/>
              </w:rPr>
            </w:pPr>
            <w:r w:rsidRPr="00ED464A">
              <w:t>309-512-0001</w:t>
            </w:r>
          </w:p>
        </w:tc>
        <w:tc>
          <w:tcPr>
            <w:tcW w:w="1663" w:type="dxa"/>
            <w:shd w:val="clear" w:color="auto" w:fill="auto"/>
            <w:noWrap/>
          </w:tcPr>
          <w:p w14:paraId="128CA57F" w14:textId="77777777" w:rsidR="008901E2" w:rsidRPr="001C0F84" w:rsidRDefault="008901E2" w:rsidP="0036050D">
            <w:pPr>
              <w:pStyle w:val="Tablesmalltext"/>
              <w:rPr>
                <w:rFonts w:eastAsia="Times New Roman"/>
                <w:lang w:val="en-AU" w:eastAsia="en-AU"/>
              </w:rPr>
            </w:pPr>
            <w:r w:rsidRPr="00ED464A">
              <w:t xml:space="preserve">Lil </w:t>
            </w:r>
            <w:r>
              <w:t>John</w:t>
            </w:r>
          </w:p>
        </w:tc>
        <w:tc>
          <w:tcPr>
            <w:tcW w:w="1701" w:type="dxa"/>
          </w:tcPr>
          <w:p w14:paraId="38B5AFD6" w14:textId="77777777" w:rsidR="008901E2" w:rsidRPr="001C0F84" w:rsidRDefault="008901E2" w:rsidP="0036050D">
            <w:pPr>
              <w:pStyle w:val="Tablesmalltext"/>
              <w:jc w:val="center"/>
              <w:rPr>
                <w:rFonts w:eastAsia="Times New Roman"/>
                <w:lang w:val="en-AU" w:eastAsia="en-AU"/>
              </w:rPr>
            </w:pPr>
            <w:r>
              <w:t>Central</w:t>
            </w:r>
          </w:p>
        </w:tc>
        <w:tc>
          <w:tcPr>
            <w:tcW w:w="1276" w:type="dxa"/>
            <w:shd w:val="clear" w:color="auto" w:fill="auto"/>
            <w:noWrap/>
          </w:tcPr>
          <w:p w14:paraId="2D276F26" w14:textId="77777777" w:rsidR="008901E2" w:rsidRPr="001C0F84" w:rsidRDefault="008901E2" w:rsidP="0036050D">
            <w:pPr>
              <w:pStyle w:val="Tablesmalltext"/>
              <w:jc w:val="center"/>
              <w:rPr>
                <w:rFonts w:eastAsia="Times New Roman"/>
                <w:lang w:val="en-AU" w:eastAsia="en-AU"/>
              </w:rPr>
            </w:pPr>
            <w:r>
              <w:t>1-400 m</w:t>
            </w:r>
          </w:p>
        </w:tc>
        <w:tc>
          <w:tcPr>
            <w:tcW w:w="1276" w:type="dxa"/>
          </w:tcPr>
          <w:p w14:paraId="5CDFC671" w14:textId="77777777" w:rsidR="008901E2" w:rsidRPr="001C0F84" w:rsidRDefault="008901E2" w:rsidP="0036050D">
            <w:pPr>
              <w:pStyle w:val="Tablesmalltext"/>
              <w:jc w:val="center"/>
              <w:rPr>
                <w:rFonts w:eastAsia="Times New Roman"/>
                <w:lang w:val="en-AU" w:eastAsia="en-AU"/>
              </w:rPr>
            </w:pPr>
            <w:r>
              <w:t>Yes</w:t>
            </w:r>
          </w:p>
        </w:tc>
        <w:tc>
          <w:tcPr>
            <w:tcW w:w="2674" w:type="dxa"/>
          </w:tcPr>
          <w:p w14:paraId="0FCCBB64" w14:textId="77777777" w:rsidR="008901E2" w:rsidRPr="001C0F84" w:rsidRDefault="008901E2" w:rsidP="0036050D">
            <w:pPr>
              <w:pStyle w:val="Tablesmalltext"/>
              <w:jc w:val="center"/>
              <w:rPr>
                <w:rFonts w:eastAsia="Times New Roman"/>
                <w:lang w:val="en-AU" w:eastAsia="en-AU"/>
              </w:rPr>
            </w:pPr>
            <w:r>
              <w:t>Regrowth retention</w:t>
            </w:r>
          </w:p>
        </w:tc>
      </w:tr>
      <w:tr w:rsidR="008901E2" w:rsidRPr="001C0F84" w14:paraId="1241586C" w14:textId="77777777" w:rsidTr="0036050D">
        <w:trPr>
          <w:trHeight w:val="240"/>
        </w:trPr>
        <w:tc>
          <w:tcPr>
            <w:tcW w:w="723" w:type="dxa"/>
            <w:shd w:val="clear" w:color="auto" w:fill="auto"/>
            <w:noWrap/>
            <w:vAlign w:val="center"/>
          </w:tcPr>
          <w:p w14:paraId="21334B55" w14:textId="783C0F17" w:rsidR="008901E2" w:rsidRPr="001C0F84" w:rsidRDefault="008901E2" w:rsidP="0036050D">
            <w:pPr>
              <w:pStyle w:val="Tablesmalltext"/>
              <w:jc w:val="center"/>
              <w:rPr>
                <w:rFonts w:eastAsia="Times New Roman"/>
                <w:lang w:val="en-AU" w:eastAsia="en-AU"/>
              </w:rPr>
            </w:pPr>
            <w:r>
              <w:rPr>
                <w:rFonts w:eastAsia="Times New Roman"/>
                <w:lang w:val="en-AU" w:eastAsia="en-AU"/>
              </w:rPr>
              <w:t>R2</w:t>
            </w:r>
          </w:p>
        </w:tc>
        <w:tc>
          <w:tcPr>
            <w:tcW w:w="1485" w:type="dxa"/>
            <w:shd w:val="clear" w:color="auto" w:fill="auto"/>
            <w:noWrap/>
          </w:tcPr>
          <w:p w14:paraId="47DDBA38" w14:textId="77777777" w:rsidR="008901E2" w:rsidRPr="001C0F84" w:rsidRDefault="008901E2" w:rsidP="0036050D">
            <w:pPr>
              <w:pStyle w:val="Tablesmalltext"/>
              <w:rPr>
                <w:rFonts w:eastAsia="Times New Roman"/>
                <w:lang w:val="en-AU" w:eastAsia="en-AU"/>
              </w:rPr>
            </w:pPr>
            <w:r w:rsidRPr="00ED464A">
              <w:t>317-508-0006</w:t>
            </w:r>
          </w:p>
        </w:tc>
        <w:tc>
          <w:tcPr>
            <w:tcW w:w="1663" w:type="dxa"/>
            <w:shd w:val="clear" w:color="auto" w:fill="auto"/>
            <w:noWrap/>
          </w:tcPr>
          <w:p w14:paraId="203DD4FB" w14:textId="77777777" w:rsidR="008901E2" w:rsidRPr="001C0F84" w:rsidRDefault="008901E2" w:rsidP="0036050D">
            <w:pPr>
              <w:pStyle w:val="Tablesmalltext"/>
              <w:rPr>
                <w:rFonts w:eastAsia="Times New Roman"/>
                <w:lang w:val="en-AU" w:eastAsia="en-AU"/>
              </w:rPr>
            </w:pPr>
            <w:r w:rsidRPr="00ED464A">
              <w:t>Sandman</w:t>
            </w:r>
          </w:p>
        </w:tc>
        <w:tc>
          <w:tcPr>
            <w:tcW w:w="1701" w:type="dxa"/>
          </w:tcPr>
          <w:p w14:paraId="7F206477" w14:textId="77777777" w:rsidR="008901E2" w:rsidRPr="001C0F84" w:rsidRDefault="008901E2" w:rsidP="0036050D">
            <w:pPr>
              <w:pStyle w:val="Tablesmalltext"/>
              <w:jc w:val="center"/>
              <w:rPr>
                <w:rFonts w:eastAsia="Times New Roman"/>
                <w:lang w:val="en-AU" w:eastAsia="en-AU"/>
              </w:rPr>
            </w:pPr>
            <w:r w:rsidRPr="006F6E34">
              <w:t>C</w:t>
            </w:r>
            <w:r>
              <w:t>entral</w:t>
            </w:r>
          </w:p>
        </w:tc>
        <w:tc>
          <w:tcPr>
            <w:tcW w:w="1276" w:type="dxa"/>
            <w:shd w:val="clear" w:color="auto" w:fill="auto"/>
            <w:noWrap/>
          </w:tcPr>
          <w:p w14:paraId="18BB2DC8" w14:textId="77777777" w:rsidR="008901E2" w:rsidRPr="001C0F84" w:rsidRDefault="008901E2" w:rsidP="0036050D">
            <w:pPr>
              <w:pStyle w:val="Tablesmalltext"/>
              <w:jc w:val="center"/>
              <w:rPr>
                <w:rFonts w:eastAsia="Times New Roman"/>
                <w:lang w:val="en-AU" w:eastAsia="en-AU"/>
              </w:rPr>
            </w:pPr>
            <w:r>
              <w:t>1-400 m</w:t>
            </w:r>
          </w:p>
        </w:tc>
        <w:tc>
          <w:tcPr>
            <w:tcW w:w="1276" w:type="dxa"/>
          </w:tcPr>
          <w:p w14:paraId="5FD81192" w14:textId="77777777" w:rsidR="008901E2" w:rsidRPr="001C0F84" w:rsidRDefault="008901E2" w:rsidP="0036050D">
            <w:pPr>
              <w:pStyle w:val="Tablesmalltext"/>
              <w:jc w:val="center"/>
              <w:rPr>
                <w:rFonts w:eastAsia="Times New Roman"/>
                <w:lang w:val="en-AU" w:eastAsia="en-AU"/>
              </w:rPr>
            </w:pPr>
            <w:r>
              <w:rPr>
                <w:rFonts w:eastAsia="Times New Roman"/>
                <w:lang w:val="en-AU" w:eastAsia="en-AU"/>
              </w:rPr>
              <w:t>No</w:t>
            </w:r>
          </w:p>
        </w:tc>
        <w:tc>
          <w:tcPr>
            <w:tcW w:w="2674" w:type="dxa"/>
          </w:tcPr>
          <w:p w14:paraId="7F26E58D" w14:textId="77777777" w:rsidR="008901E2" w:rsidRPr="001C0F84" w:rsidRDefault="008901E2" w:rsidP="0036050D">
            <w:pPr>
              <w:pStyle w:val="Tablesmalltext"/>
              <w:jc w:val="center"/>
              <w:rPr>
                <w:rFonts w:eastAsia="Times New Roman"/>
                <w:lang w:val="en-AU" w:eastAsia="en-AU"/>
              </w:rPr>
            </w:pPr>
            <w:r>
              <w:t>Even-aged clearfell</w:t>
            </w:r>
          </w:p>
        </w:tc>
      </w:tr>
      <w:tr w:rsidR="008901E2" w:rsidRPr="001C0F84" w14:paraId="61184CC6" w14:textId="77777777" w:rsidTr="0036050D">
        <w:trPr>
          <w:trHeight w:val="240"/>
        </w:trPr>
        <w:tc>
          <w:tcPr>
            <w:tcW w:w="723" w:type="dxa"/>
            <w:shd w:val="clear" w:color="auto" w:fill="auto"/>
            <w:noWrap/>
            <w:vAlign w:val="center"/>
          </w:tcPr>
          <w:p w14:paraId="6FE9E6FF" w14:textId="579FEB04" w:rsidR="008901E2" w:rsidRPr="001C0F84" w:rsidRDefault="008901E2" w:rsidP="0036050D">
            <w:pPr>
              <w:pStyle w:val="Tablesmalltext"/>
              <w:jc w:val="center"/>
              <w:rPr>
                <w:rFonts w:eastAsia="Times New Roman"/>
                <w:lang w:val="en-AU" w:eastAsia="en-AU"/>
              </w:rPr>
            </w:pPr>
            <w:r>
              <w:rPr>
                <w:rFonts w:eastAsia="Times New Roman"/>
                <w:lang w:val="en-AU" w:eastAsia="en-AU"/>
              </w:rPr>
              <w:t>R3</w:t>
            </w:r>
          </w:p>
        </w:tc>
        <w:tc>
          <w:tcPr>
            <w:tcW w:w="1485" w:type="dxa"/>
            <w:shd w:val="clear" w:color="auto" w:fill="auto"/>
            <w:noWrap/>
          </w:tcPr>
          <w:p w14:paraId="7B4FB494" w14:textId="77777777" w:rsidR="008901E2" w:rsidRPr="001C0F84" w:rsidRDefault="008901E2" w:rsidP="0036050D">
            <w:pPr>
              <w:pStyle w:val="Tablesmalltext"/>
              <w:rPr>
                <w:rFonts w:eastAsia="Times New Roman"/>
                <w:lang w:val="en-AU" w:eastAsia="en-AU"/>
              </w:rPr>
            </w:pPr>
            <w:r w:rsidRPr="00ED464A">
              <w:t>349-514-0006</w:t>
            </w:r>
          </w:p>
        </w:tc>
        <w:tc>
          <w:tcPr>
            <w:tcW w:w="1663" w:type="dxa"/>
            <w:shd w:val="clear" w:color="auto" w:fill="auto"/>
            <w:noWrap/>
          </w:tcPr>
          <w:p w14:paraId="3BCF79FE" w14:textId="77777777" w:rsidR="008901E2" w:rsidRPr="001C0F84" w:rsidRDefault="008901E2" w:rsidP="0036050D">
            <w:pPr>
              <w:pStyle w:val="Tablesmalltext"/>
              <w:rPr>
                <w:rFonts w:eastAsia="Times New Roman"/>
                <w:lang w:val="en-AU" w:eastAsia="en-AU"/>
              </w:rPr>
            </w:pPr>
            <w:r w:rsidRPr="00ED464A">
              <w:t>You Just Know</w:t>
            </w:r>
          </w:p>
        </w:tc>
        <w:tc>
          <w:tcPr>
            <w:tcW w:w="1701" w:type="dxa"/>
          </w:tcPr>
          <w:p w14:paraId="2187D23A" w14:textId="77777777" w:rsidR="008901E2" w:rsidRPr="001C0F84" w:rsidRDefault="008901E2" w:rsidP="0036050D">
            <w:pPr>
              <w:pStyle w:val="Tablesmalltext"/>
              <w:jc w:val="center"/>
              <w:rPr>
                <w:rFonts w:eastAsia="Times New Roman"/>
                <w:lang w:val="en-AU" w:eastAsia="en-AU"/>
              </w:rPr>
            </w:pPr>
            <w:r w:rsidRPr="006F6E34">
              <w:t>D</w:t>
            </w:r>
            <w:r>
              <w:t>andenong</w:t>
            </w:r>
          </w:p>
        </w:tc>
        <w:tc>
          <w:tcPr>
            <w:tcW w:w="1276" w:type="dxa"/>
            <w:shd w:val="clear" w:color="auto" w:fill="auto"/>
            <w:noWrap/>
          </w:tcPr>
          <w:p w14:paraId="7298C373" w14:textId="77777777" w:rsidR="008901E2" w:rsidRPr="001C0F84" w:rsidRDefault="008901E2" w:rsidP="0036050D">
            <w:pPr>
              <w:pStyle w:val="Tablesmalltext"/>
              <w:jc w:val="center"/>
              <w:rPr>
                <w:rFonts w:eastAsia="Times New Roman"/>
                <w:lang w:val="en-AU" w:eastAsia="en-AU"/>
              </w:rPr>
            </w:pPr>
            <w:r>
              <w:t>&gt;400 m</w:t>
            </w:r>
          </w:p>
        </w:tc>
        <w:tc>
          <w:tcPr>
            <w:tcW w:w="1276" w:type="dxa"/>
          </w:tcPr>
          <w:p w14:paraId="698EFE72" w14:textId="77777777" w:rsidR="008901E2" w:rsidRPr="001C0F84" w:rsidRDefault="008901E2" w:rsidP="0036050D">
            <w:pPr>
              <w:pStyle w:val="Tablesmalltext"/>
              <w:jc w:val="center"/>
              <w:rPr>
                <w:rFonts w:eastAsia="Times New Roman"/>
                <w:lang w:val="en-AU" w:eastAsia="en-AU"/>
              </w:rPr>
            </w:pPr>
            <w:r>
              <w:t>Yes</w:t>
            </w:r>
          </w:p>
        </w:tc>
        <w:tc>
          <w:tcPr>
            <w:tcW w:w="2674" w:type="dxa"/>
          </w:tcPr>
          <w:p w14:paraId="2DC45C5E" w14:textId="77777777" w:rsidR="008901E2" w:rsidRPr="001C0F84" w:rsidRDefault="008901E2" w:rsidP="0036050D">
            <w:pPr>
              <w:pStyle w:val="Tablesmalltext"/>
              <w:jc w:val="center"/>
              <w:rPr>
                <w:rFonts w:eastAsia="Times New Roman"/>
                <w:lang w:val="en-AU" w:eastAsia="en-AU"/>
              </w:rPr>
            </w:pPr>
            <w:r>
              <w:t>Seed tree regeneration</w:t>
            </w:r>
          </w:p>
        </w:tc>
      </w:tr>
      <w:tr w:rsidR="008901E2" w:rsidRPr="001C0F84" w14:paraId="69116364" w14:textId="77777777" w:rsidTr="0036050D">
        <w:trPr>
          <w:trHeight w:val="240"/>
        </w:trPr>
        <w:tc>
          <w:tcPr>
            <w:tcW w:w="723" w:type="dxa"/>
            <w:shd w:val="clear" w:color="auto" w:fill="auto"/>
            <w:noWrap/>
            <w:vAlign w:val="center"/>
          </w:tcPr>
          <w:p w14:paraId="7C4644D5" w14:textId="5C25A5AB" w:rsidR="008901E2" w:rsidRPr="001C0F84" w:rsidRDefault="008901E2" w:rsidP="0036050D">
            <w:pPr>
              <w:pStyle w:val="Tablesmalltext"/>
              <w:jc w:val="center"/>
              <w:rPr>
                <w:rFonts w:eastAsia="Times New Roman"/>
                <w:lang w:val="en-AU" w:eastAsia="en-AU"/>
              </w:rPr>
            </w:pPr>
            <w:r>
              <w:rPr>
                <w:rFonts w:eastAsia="Times New Roman"/>
                <w:lang w:val="en-AU" w:eastAsia="en-AU"/>
              </w:rPr>
              <w:t>R4</w:t>
            </w:r>
          </w:p>
        </w:tc>
        <w:tc>
          <w:tcPr>
            <w:tcW w:w="1485" w:type="dxa"/>
            <w:shd w:val="clear" w:color="auto" w:fill="auto"/>
            <w:noWrap/>
          </w:tcPr>
          <w:p w14:paraId="2ECB97B7" w14:textId="77777777" w:rsidR="008901E2" w:rsidRPr="001C0F84" w:rsidRDefault="008901E2" w:rsidP="0036050D">
            <w:pPr>
              <w:pStyle w:val="Tablesmalltext"/>
              <w:rPr>
                <w:rFonts w:eastAsia="Times New Roman"/>
                <w:lang w:val="en-AU" w:eastAsia="en-AU"/>
              </w:rPr>
            </w:pPr>
            <w:r w:rsidRPr="00ED464A">
              <w:t>464-505-0013</w:t>
            </w:r>
          </w:p>
        </w:tc>
        <w:tc>
          <w:tcPr>
            <w:tcW w:w="1663" w:type="dxa"/>
            <w:shd w:val="clear" w:color="auto" w:fill="auto"/>
            <w:noWrap/>
          </w:tcPr>
          <w:p w14:paraId="53881687" w14:textId="77777777" w:rsidR="008901E2" w:rsidRPr="001C0F84" w:rsidRDefault="008901E2" w:rsidP="0036050D">
            <w:pPr>
              <w:pStyle w:val="Tablesmalltext"/>
              <w:rPr>
                <w:rFonts w:eastAsia="Times New Roman"/>
                <w:lang w:val="en-AU" w:eastAsia="en-AU"/>
              </w:rPr>
            </w:pPr>
            <w:r w:rsidRPr="00ED464A">
              <w:t>Behind the Gate</w:t>
            </w:r>
          </w:p>
        </w:tc>
        <w:tc>
          <w:tcPr>
            <w:tcW w:w="1701" w:type="dxa"/>
          </w:tcPr>
          <w:p w14:paraId="26D52B16" w14:textId="77777777" w:rsidR="008901E2" w:rsidRPr="001C0F84" w:rsidRDefault="008901E2" w:rsidP="0036050D">
            <w:pPr>
              <w:pStyle w:val="Tablesmalltext"/>
              <w:jc w:val="center"/>
              <w:rPr>
                <w:rFonts w:eastAsia="Times New Roman"/>
                <w:lang w:val="en-AU" w:eastAsia="en-AU"/>
              </w:rPr>
            </w:pPr>
            <w:r>
              <w:t xml:space="preserve">Central </w:t>
            </w:r>
            <w:r w:rsidRPr="0022335E">
              <w:t>Gippsland</w:t>
            </w:r>
          </w:p>
        </w:tc>
        <w:tc>
          <w:tcPr>
            <w:tcW w:w="1276" w:type="dxa"/>
            <w:shd w:val="clear" w:color="auto" w:fill="auto"/>
            <w:noWrap/>
          </w:tcPr>
          <w:p w14:paraId="5AE2B000" w14:textId="77777777" w:rsidR="008901E2" w:rsidRPr="001C0F84" w:rsidRDefault="008901E2" w:rsidP="0036050D">
            <w:pPr>
              <w:pStyle w:val="Tablesmalltext"/>
              <w:jc w:val="center"/>
              <w:rPr>
                <w:rFonts w:eastAsia="Times New Roman"/>
                <w:lang w:val="en-AU" w:eastAsia="en-AU"/>
              </w:rPr>
            </w:pPr>
            <w:r>
              <w:t>&gt;400 m</w:t>
            </w:r>
          </w:p>
        </w:tc>
        <w:tc>
          <w:tcPr>
            <w:tcW w:w="1276" w:type="dxa"/>
          </w:tcPr>
          <w:p w14:paraId="4586D501" w14:textId="77777777" w:rsidR="008901E2" w:rsidRPr="001C0F84" w:rsidRDefault="008901E2" w:rsidP="0036050D">
            <w:pPr>
              <w:pStyle w:val="Tablesmalltext"/>
              <w:jc w:val="center"/>
              <w:rPr>
                <w:rFonts w:eastAsia="Times New Roman"/>
                <w:lang w:val="en-AU" w:eastAsia="en-AU"/>
              </w:rPr>
            </w:pPr>
            <w:r>
              <w:rPr>
                <w:rFonts w:eastAsia="Times New Roman"/>
                <w:lang w:val="en-AU" w:eastAsia="en-AU"/>
              </w:rPr>
              <w:t>No</w:t>
            </w:r>
          </w:p>
        </w:tc>
        <w:tc>
          <w:tcPr>
            <w:tcW w:w="2674" w:type="dxa"/>
          </w:tcPr>
          <w:p w14:paraId="60A65B82" w14:textId="77777777" w:rsidR="008901E2" w:rsidRPr="001C0F84" w:rsidRDefault="008901E2" w:rsidP="0036050D">
            <w:pPr>
              <w:pStyle w:val="Tablesmalltext"/>
              <w:jc w:val="center"/>
              <w:rPr>
                <w:rFonts w:eastAsia="Times New Roman"/>
                <w:lang w:val="en-AU" w:eastAsia="en-AU"/>
              </w:rPr>
            </w:pPr>
            <w:r w:rsidRPr="00096DDF">
              <w:t>Even-aged clearfell</w:t>
            </w:r>
          </w:p>
        </w:tc>
      </w:tr>
      <w:tr w:rsidR="008901E2" w:rsidRPr="001C0F84" w14:paraId="2C0DF6F0" w14:textId="77777777" w:rsidTr="0036050D">
        <w:trPr>
          <w:trHeight w:val="240"/>
        </w:trPr>
        <w:tc>
          <w:tcPr>
            <w:tcW w:w="723" w:type="dxa"/>
            <w:shd w:val="clear" w:color="auto" w:fill="auto"/>
            <w:noWrap/>
            <w:vAlign w:val="center"/>
          </w:tcPr>
          <w:p w14:paraId="5B1ED303" w14:textId="636A95A6" w:rsidR="008901E2" w:rsidRPr="001C0F84" w:rsidRDefault="008901E2" w:rsidP="0036050D">
            <w:pPr>
              <w:pStyle w:val="Tablesmalltext"/>
              <w:jc w:val="center"/>
              <w:rPr>
                <w:rFonts w:eastAsia="Times New Roman"/>
                <w:lang w:val="en-AU" w:eastAsia="en-AU"/>
              </w:rPr>
            </w:pPr>
            <w:r>
              <w:rPr>
                <w:rFonts w:eastAsia="Times New Roman"/>
                <w:lang w:val="en-AU" w:eastAsia="en-AU"/>
              </w:rPr>
              <w:t>R5</w:t>
            </w:r>
          </w:p>
        </w:tc>
        <w:tc>
          <w:tcPr>
            <w:tcW w:w="1485" w:type="dxa"/>
            <w:shd w:val="clear" w:color="auto" w:fill="auto"/>
            <w:noWrap/>
          </w:tcPr>
          <w:p w14:paraId="4891F235" w14:textId="77777777" w:rsidR="008901E2" w:rsidRPr="001C0F84" w:rsidRDefault="008901E2" w:rsidP="0036050D">
            <w:pPr>
              <w:pStyle w:val="Tablesmalltext"/>
              <w:rPr>
                <w:rFonts w:eastAsia="Times New Roman"/>
                <w:lang w:val="en-AU" w:eastAsia="en-AU"/>
              </w:rPr>
            </w:pPr>
            <w:r w:rsidRPr="00ED464A">
              <w:t>484-501-0028</w:t>
            </w:r>
          </w:p>
        </w:tc>
        <w:tc>
          <w:tcPr>
            <w:tcW w:w="1663" w:type="dxa"/>
            <w:shd w:val="clear" w:color="auto" w:fill="auto"/>
            <w:noWrap/>
          </w:tcPr>
          <w:p w14:paraId="2205A61C" w14:textId="77777777" w:rsidR="008901E2" w:rsidRPr="001C0F84" w:rsidRDefault="008901E2" w:rsidP="0036050D">
            <w:pPr>
              <w:pStyle w:val="Tablesmalltext"/>
              <w:rPr>
                <w:rFonts w:eastAsia="Times New Roman"/>
                <w:lang w:val="en-AU" w:eastAsia="en-AU"/>
              </w:rPr>
            </w:pPr>
            <w:r w:rsidRPr="00ED464A">
              <w:t>Below</w:t>
            </w:r>
          </w:p>
        </w:tc>
        <w:tc>
          <w:tcPr>
            <w:tcW w:w="1701" w:type="dxa"/>
          </w:tcPr>
          <w:p w14:paraId="4DC24541" w14:textId="77777777" w:rsidR="008901E2" w:rsidRPr="001C0F84" w:rsidRDefault="008901E2" w:rsidP="0036050D">
            <w:pPr>
              <w:pStyle w:val="Tablesmalltext"/>
              <w:jc w:val="center"/>
              <w:rPr>
                <w:rFonts w:eastAsia="Times New Roman"/>
                <w:lang w:val="en-AU" w:eastAsia="en-AU"/>
              </w:rPr>
            </w:pPr>
            <w:r>
              <w:t xml:space="preserve">Central </w:t>
            </w:r>
            <w:r w:rsidRPr="0022335E">
              <w:t>Gippsland</w:t>
            </w:r>
          </w:p>
        </w:tc>
        <w:tc>
          <w:tcPr>
            <w:tcW w:w="1276" w:type="dxa"/>
            <w:shd w:val="clear" w:color="auto" w:fill="auto"/>
            <w:noWrap/>
          </w:tcPr>
          <w:p w14:paraId="30E7BA96" w14:textId="77777777" w:rsidR="008901E2" w:rsidRPr="001C0F84" w:rsidRDefault="008901E2" w:rsidP="0036050D">
            <w:pPr>
              <w:pStyle w:val="Tablesmalltext"/>
              <w:jc w:val="center"/>
              <w:rPr>
                <w:rFonts w:eastAsia="Times New Roman"/>
                <w:lang w:val="en-AU" w:eastAsia="en-AU"/>
              </w:rPr>
            </w:pPr>
            <w:r>
              <w:t>1-400 m</w:t>
            </w:r>
          </w:p>
        </w:tc>
        <w:tc>
          <w:tcPr>
            <w:tcW w:w="1276" w:type="dxa"/>
          </w:tcPr>
          <w:p w14:paraId="44EDDC84" w14:textId="77777777" w:rsidR="008901E2" w:rsidRPr="001C0F84" w:rsidRDefault="008901E2" w:rsidP="0036050D">
            <w:pPr>
              <w:pStyle w:val="Tablesmalltext"/>
              <w:jc w:val="center"/>
              <w:rPr>
                <w:rFonts w:eastAsia="Times New Roman"/>
                <w:lang w:val="en-AU" w:eastAsia="en-AU"/>
              </w:rPr>
            </w:pPr>
            <w:r>
              <w:t>Yes</w:t>
            </w:r>
          </w:p>
        </w:tc>
        <w:tc>
          <w:tcPr>
            <w:tcW w:w="2674" w:type="dxa"/>
          </w:tcPr>
          <w:p w14:paraId="74318D7D" w14:textId="77777777" w:rsidR="008901E2" w:rsidRPr="001C0F84" w:rsidRDefault="008901E2" w:rsidP="0036050D">
            <w:pPr>
              <w:pStyle w:val="Tablesmalltext"/>
              <w:jc w:val="center"/>
              <w:rPr>
                <w:rFonts w:eastAsia="Times New Roman"/>
                <w:lang w:val="en-AU" w:eastAsia="en-AU"/>
              </w:rPr>
            </w:pPr>
            <w:r w:rsidRPr="00EB7A4B">
              <w:t>Seed tree regeneration</w:t>
            </w:r>
          </w:p>
        </w:tc>
      </w:tr>
      <w:tr w:rsidR="008901E2" w:rsidRPr="001C0F84" w14:paraId="002A40D2" w14:textId="77777777" w:rsidTr="0036050D">
        <w:trPr>
          <w:trHeight w:val="240"/>
        </w:trPr>
        <w:tc>
          <w:tcPr>
            <w:tcW w:w="723" w:type="dxa"/>
            <w:shd w:val="clear" w:color="auto" w:fill="auto"/>
            <w:noWrap/>
            <w:vAlign w:val="center"/>
          </w:tcPr>
          <w:p w14:paraId="2EC718D9" w14:textId="3DDBE5A2" w:rsidR="008901E2" w:rsidRPr="001C0F84" w:rsidRDefault="008901E2" w:rsidP="0036050D">
            <w:pPr>
              <w:pStyle w:val="Tablesmalltext"/>
              <w:jc w:val="center"/>
              <w:rPr>
                <w:rFonts w:eastAsia="Times New Roman"/>
                <w:lang w:val="en-AU" w:eastAsia="en-AU"/>
              </w:rPr>
            </w:pPr>
            <w:r>
              <w:rPr>
                <w:rFonts w:eastAsia="Times New Roman"/>
                <w:lang w:val="en-AU" w:eastAsia="en-AU"/>
              </w:rPr>
              <w:t>R6</w:t>
            </w:r>
          </w:p>
        </w:tc>
        <w:tc>
          <w:tcPr>
            <w:tcW w:w="1485" w:type="dxa"/>
            <w:shd w:val="clear" w:color="auto" w:fill="auto"/>
            <w:noWrap/>
          </w:tcPr>
          <w:p w14:paraId="2711177F" w14:textId="77777777" w:rsidR="008901E2" w:rsidRPr="001C0F84" w:rsidRDefault="008901E2" w:rsidP="0036050D">
            <w:pPr>
              <w:pStyle w:val="Tablesmalltext"/>
              <w:rPr>
                <w:rFonts w:eastAsia="Times New Roman"/>
                <w:lang w:val="en-AU" w:eastAsia="en-AU"/>
              </w:rPr>
            </w:pPr>
            <w:r w:rsidRPr="00ED464A">
              <w:t>686-511-0001</w:t>
            </w:r>
          </w:p>
        </w:tc>
        <w:tc>
          <w:tcPr>
            <w:tcW w:w="1663" w:type="dxa"/>
            <w:shd w:val="clear" w:color="auto" w:fill="auto"/>
            <w:noWrap/>
          </w:tcPr>
          <w:p w14:paraId="55BF34BC" w14:textId="77777777" w:rsidR="008901E2" w:rsidRPr="001C0F84" w:rsidRDefault="008901E2" w:rsidP="0036050D">
            <w:pPr>
              <w:pStyle w:val="Tablesmalltext"/>
              <w:rPr>
                <w:rFonts w:eastAsia="Times New Roman"/>
                <w:lang w:val="en-AU" w:eastAsia="en-AU"/>
              </w:rPr>
            </w:pPr>
            <w:r w:rsidRPr="00ED464A">
              <w:t>Bottom End</w:t>
            </w:r>
          </w:p>
        </w:tc>
        <w:tc>
          <w:tcPr>
            <w:tcW w:w="1701" w:type="dxa"/>
          </w:tcPr>
          <w:p w14:paraId="2356E2B8" w14:textId="77777777" w:rsidR="008901E2" w:rsidRPr="001C0F84" w:rsidRDefault="008901E2" w:rsidP="0036050D">
            <w:pPr>
              <w:pStyle w:val="Tablesmalltext"/>
              <w:jc w:val="center"/>
              <w:rPr>
                <w:rFonts w:eastAsia="Times New Roman"/>
                <w:lang w:val="en-AU" w:eastAsia="en-AU"/>
              </w:rPr>
            </w:pPr>
            <w:r>
              <w:t>North East</w:t>
            </w:r>
          </w:p>
        </w:tc>
        <w:tc>
          <w:tcPr>
            <w:tcW w:w="1276" w:type="dxa"/>
            <w:shd w:val="clear" w:color="auto" w:fill="auto"/>
            <w:noWrap/>
          </w:tcPr>
          <w:p w14:paraId="57447F30" w14:textId="77777777" w:rsidR="008901E2" w:rsidRPr="001C0F84" w:rsidRDefault="008901E2" w:rsidP="0036050D">
            <w:pPr>
              <w:pStyle w:val="Tablesmalltext"/>
              <w:jc w:val="center"/>
              <w:rPr>
                <w:rFonts w:eastAsia="Times New Roman"/>
                <w:lang w:val="en-AU" w:eastAsia="en-AU"/>
              </w:rPr>
            </w:pPr>
            <w:r>
              <w:t>1-400 m</w:t>
            </w:r>
          </w:p>
        </w:tc>
        <w:tc>
          <w:tcPr>
            <w:tcW w:w="1276" w:type="dxa"/>
          </w:tcPr>
          <w:p w14:paraId="79D0462D" w14:textId="77777777" w:rsidR="008901E2" w:rsidRPr="001C0F84" w:rsidRDefault="008901E2" w:rsidP="0036050D">
            <w:pPr>
              <w:pStyle w:val="Tablesmalltext"/>
              <w:jc w:val="center"/>
              <w:rPr>
                <w:rFonts w:eastAsia="Times New Roman"/>
                <w:lang w:val="en-AU" w:eastAsia="en-AU"/>
              </w:rPr>
            </w:pPr>
            <w:r>
              <w:rPr>
                <w:rFonts w:eastAsia="Times New Roman"/>
                <w:lang w:val="en-AU" w:eastAsia="en-AU"/>
              </w:rPr>
              <w:t>No</w:t>
            </w:r>
          </w:p>
        </w:tc>
        <w:tc>
          <w:tcPr>
            <w:tcW w:w="2674" w:type="dxa"/>
          </w:tcPr>
          <w:p w14:paraId="46212236" w14:textId="77777777" w:rsidR="008901E2" w:rsidRPr="001C0F84" w:rsidRDefault="008901E2" w:rsidP="0036050D">
            <w:pPr>
              <w:pStyle w:val="Tablesmalltext"/>
              <w:jc w:val="center"/>
              <w:rPr>
                <w:rFonts w:eastAsia="Times New Roman"/>
                <w:lang w:val="en-AU" w:eastAsia="en-AU"/>
              </w:rPr>
            </w:pPr>
            <w:r w:rsidRPr="00096DDF">
              <w:t>Even-aged clearfell</w:t>
            </w:r>
          </w:p>
        </w:tc>
      </w:tr>
      <w:tr w:rsidR="008901E2" w:rsidRPr="00A705C8" w14:paraId="308CEAA9" w14:textId="77777777" w:rsidTr="0036050D">
        <w:trPr>
          <w:trHeight w:val="240"/>
        </w:trPr>
        <w:tc>
          <w:tcPr>
            <w:tcW w:w="723" w:type="dxa"/>
            <w:shd w:val="clear" w:color="auto" w:fill="auto"/>
            <w:noWrap/>
            <w:vAlign w:val="center"/>
          </w:tcPr>
          <w:p w14:paraId="70056B8A" w14:textId="051F0606" w:rsidR="008901E2" w:rsidRPr="00A705C8" w:rsidRDefault="008901E2" w:rsidP="0036050D">
            <w:pPr>
              <w:pStyle w:val="Tablesmalltext"/>
              <w:jc w:val="center"/>
              <w:rPr>
                <w:rFonts w:eastAsia="Times New Roman"/>
                <w:lang w:val="en-AU" w:eastAsia="en-AU"/>
              </w:rPr>
            </w:pPr>
            <w:r>
              <w:rPr>
                <w:rFonts w:eastAsia="Times New Roman"/>
                <w:lang w:val="en-AU" w:eastAsia="en-AU"/>
              </w:rPr>
              <w:t>R7</w:t>
            </w:r>
          </w:p>
        </w:tc>
        <w:tc>
          <w:tcPr>
            <w:tcW w:w="1485" w:type="dxa"/>
            <w:shd w:val="clear" w:color="auto" w:fill="auto"/>
            <w:noWrap/>
          </w:tcPr>
          <w:p w14:paraId="1AFB7044" w14:textId="77777777" w:rsidR="008901E2" w:rsidRPr="00A705C8" w:rsidRDefault="008901E2" w:rsidP="0036050D">
            <w:pPr>
              <w:pStyle w:val="Tablesmalltext"/>
              <w:rPr>
                <w:rFonts w:eastAsia="Times New Roman"/>
                <w:lang w:val="en-AU" w:eastAsia="en-AU"/>
              </w:rPr>
            </w:pPr>
            <w:r w:rsidRPr="00ED464A">
              <w:t>686-511-0004</w:t>
            </w:r>
          </w:p>
        </w:tc>
        <w:tc>
          <w:tcPr>
            <w:tcW w:w="1663" w:type="dxa"/>
            <w:shd w:val="clear" w:color="auto" w:fill="auto"/>
            <w:noWrap/>
          </w:tcPr>
          <w:p w14:paraId="3B0EAE8E" w14:textId="77777777" w:rsidR="008901E2" w:rsidRPr="00A705C8" w:rsidRDefault="008901E2" w:rsidP="0036050D">
            <w:pPr>
              <w:pStyle w:val="Tablesmalltext"/>
              <w:rPr>
                <w:rFonts w:eastAsia="Times New Roman"/>
                <w:lang w:val="en-AU" w:eastAsia="en-AU"/>
              </w:rPr>
            </w:pPr>
            <w:r w:rsidRPr="00ED464A">
              <w:t>Tym</w:t>
            </w:r>
            <w:r>
              <w:t xml:space="preserve"> Tym</w:t>
            </w:r>
          </w:p>
        </w:tc>
        <w:tc>
          <w:tcPr>
            <w:tcW w:w="1701" w:type="dxa"/>
          </w:tcPr>
          <w:p w14:paraId="3D4B4CDC" w14:textId="77777777" w:rsidR="008901E2" w:rsidRPr="00A705C8" w:rsidRDefault="008901E2" w:rsidP="0036050D">
            <w:pPr>
              <w:pStyle w:val="Tablesmalltext"/>
              <w:jc w:val="center"/>
              <w:rPr>
                <w:rFonts w:eastAsia="Times New Roman"/>
                <w:lang w:val="en-AU" w:eastAsia="en-AU"/>
              </w:rPr>
            </w:pPr>
            <w:r>
              <w:t>North East</w:t>
            </w:r>
          </w:p>
        </w:tc>
        <w:tc>
          <w:tcPr>
            <w:tcW w:w="1276" w:type="dxa"/>
            <w:shd w:val="clear" w:color="auto" w:fill="auto"/>
            <w:noWrap/>
          </w:tcPr>
          <w:p w14:paraId="0CD07482" w14:textId="77777777" w:rsidR="008901E2" w:rsidRPr="00A705C8" w:rsidRDefault="008901E2" w:rsidP="0036050D">
            <w:pPr>
              <w:pStyle w:val="Tablesmalltext"/>
              <w:jc w:val="center"/>
              <w:rPr>
                <w:rFonts w:eastAsia="Times New Roman"/>
                <w:lang w:val="en-AU" w:eastAsia="en-AU"/>
              </w:rPr>
            </w:pPr>
            <w:r>
              <w:t>1-400 m</w:t>
            </w:r>
          </w:p>
        </w:tc>
        <w:tc>
          <w:tcPr>
            <w:tcW w:w="1276" w:type="dxa"/>
          </w:tcPr>
          <w:p w14:paraId="341257E0" w14:textId="77777777" w:rsidR="008901E2" w:rsidRPr="00A705C8" w:rsidRDefault="008901E2" w:rsidP="0036050D">
            <w:pPr>
              <w:pStyle w:val="Tablesmalltext"/>
              <w:jc w:val="center"/>
              <w:rPr>
                <w:rFonts w:eastAsia="Times New Roman"/>
                <w:lang w:val="en-AU" w:eastAsia="en-AU"/>
              </w:rPr>
            </w:pPr>
            <w:r>
              <w:rPr>
                <w:rFonts w:eastAsia="Times New Roman"/>
                <w:lang w:val="en-AU" w:eastAsia="en-AU"/>
              </w:rPr>
              <w:t>No</w:t>
            </w:r>
          </w:p>
        </w:tc>
        <w:tc>
          <w:tcPr>
            <w:tcW w:w="2674" w:type="dxa"/>
          </w:tcPr>
          <w:p w14:paraId="3EC1EC24" w14:textId="77777777" w:rsidR="008901E2" w:rsidRPr="00A705C8" w:rsidRDefault="008901E2" w:rsidP="0036050D">
            <w:pPr>
              <w:pStyle w:val="Tablesmalltext"/>
              <w:jc w:val="center"/>
              <w:rPr>
                <w:rFonts w:eastAsia="Times New Roman"/>
                <w:lang w:val="en-AU" w:eastAsia="en-AU"/>
              </w:rPr>
            </w:pPr>
            <w:r w:rsidRPr="00096DDF">
              <w:t>Even-aged clearfell</w:t>
            </w:r>
          </w:p>
        </w:tc>
      </w:tr>
      <w:tr w:rsidR="008901E2" w:rsidRPr="001C0F84" w14:paraId="7AF7B07E" w14:textId="77777777" w:rsidTr="0036050D">
        <w:trPr>
          <w:trHeight w:val="240"/>
        </w:trPr>
        <w:tc>
          <w:tcPr>
            <w:tcW w:w="723" w:type="dxa"/>
            <w:shd w:val="clear" w:color="auto" w:fill="auto"/>
            <w:noWrap/>
            <w:vAlign w:val="center"/>
          </w:tcPr>
          <w:p w14:paraId="2913171C" w14:textId="2DFB2375" w:rsidR="008901E2" w:rsidRPr="001C0F84" w:rsidRDefault="008901E2" w:rsidP="0036050D">
            <w:pPr>
              <w:pStyle w:val="Tablesmalltext"/>
              <w:jc w:val="center"/>
              <w:rPr>
                <w:rFonts w:eastAsia="Times New Roman"/>
                <w:lang w:val="en-AU" w:eastAsia="en-AU"/>
              </w:rPr>
            </w:pPr>
            <w:r>
              <w:rPr>
                <w:rFonts w:eastAsia="Times New Roman"/>
                <w:lang w:val="en-AU" w:eastAsia="en-AU"/>
              </w:rPr>
              <w:t>R8</w:t>
            </w:r>
          </w:p>
        </w:tc>
        <w:tc>
          <w:tcPr>
            <w:tcW w:w="1485" w:type="dxa"/>
            <w:shd w:val="clear" w:color="auto" w:fill="auto"/>
            <w:noWrap/>
          </w:tcPr>
          <w:p w14:paraId="5C6A4C1C" w14:textId="77777777" w:rsidR="008901E2" w:rsidRPr="001C0F84" w:rsidRDefault="008901E2" w:rsidP="0036050D">
            <w:pPr>
              <w:pStyle w:val="Tablesmalltext"/>
              <w:rPr>
                <w:rFonts w:eastAsia="Times New Roman"/>
                <w:lang w:val="en-AU" w:eastAsia="en-AU"/>
              </w:rPr>
            </w:pPr>
            <w:r w:rsidRPr="00ED464A">
              <w:t>827-501-0022</w:t>
            </w:r>
          </w:p>
        </w:tc>
        <w:tc>
          <w:tcPr>
            <w:tcW w:w="1663" w:type="dxa"/>
            <w:shd w:val="clear" w:color="auto" w:fill="auto"/>
            <w:noWrap/>
          </w:tcPr>
          <w:p w14:paraId="74F6BE30" w14:textId="77777777" w:rsidR="008901E2" w:rsidRPr="001C0F84" w:rsidRDefault="008901E2" w:rsidP="0036050D">
            <w:pPr>
              <w:pStyle w:val="Tablesmalltext"/>
              <w:rPr>
                <w:rFonts w:eastAsia="Times New Roman"/>
                <w:lang w:val="en-AU" w:eastAsia="en-AU"/>
              </w:rPr>
            </w:pPr>
            <w:r w:rsidRPr="00ED464A">
              <w:t>Fire Exit</w:t>
            </w:r>
          </w:p>
        </w:tc>
        <w:tc>
          <w:tcPr>
            <w:tcW w:w="1701" w:type="dxa"/>
          </w:tcPr>
          <w:p w14:paraId="38EB267B" w14:textId="77777777" w:rsidR="008901E2" w:rsidRPr="001C0F84" w:rsidRDefault="008901E2" w:rsidP="0036050D">
            <w:pPr>
              <w:pStyle w:val="Tablesmalltext"/>
              <w:jc w:val="center"/>
              <w:rPr>
                <w:rFonts w:eastAsia="Times New Roman"/>
                <w:lang w:val="en-AU" w:eastAsia="en-AU"/>
              </w:rPr>
            </w:pPr>
            <w:r w:rsidRPr="001A3047">
              <w:t>East Gippsland</w:t>
            </w:r>
          </w:p>
        </w:tc>
        <w:tc>
          <w:tcPr>
            <w:tcW w:w="1276" w:type="dxa"/>
            <w:shd w:val="clear" w:color="auto" w:fill="auto"/>
            <w:noWrap/>
          </w:tcPr>
          <w:p w14:paraId="30301E04" w14:textId="77777777" w:rsidR="008901E2" w:rsidRPr="001C0F84" w:rsidRDefault="008901E2" w:rsidP="0036050D">
            <w:pPr>
              <w:pStyle w:val="Tablesmalltext"/>
              <w:jc w:val="center"/>
              <w:rPr>
                <w:rFonts w:eastAsia="Times New Roman"/>
                <w:lang w:val="en-AU" w:eastAsia="en-AU"/>
              </w:rPr>
            </w:pPr>
            <w:r>
              <w:t>&gt;400 m</w:t>
            </w:r>
          </w:p>
        </w:tc>
        <w:tc>
          <w:tcPr>
            <w:tcW w:w="1276" w:type="dxa"/>
          </w:tcPr>
          <w:p w14:paraId="40FC576B" w14:textId="77777777" w:rsidR="008901E2" w:rsidRPr="001C0F84" w:rsidRDefault="008901E2" w:rsidP="0036050D">
            <w:pPr>
              <w:pStyle w:val="Tablesmalltext"/>
              <w:jc w:val="center"/>
              <w:rPr>
                <w:rFonts w:eastAsia="Times New Roman"/>
                <w:lang w:val="en-AU" w:eastAsia="en-AU"/>
              </w:rPr>
            </w:pPr>
            <w:r>
              <w:rPr>
                <w:rFonts w:eastAsia="Times New Roman"/>
                <w:lang w:val="en-AU" w:eastAsia="en-AU"/>
              </w:rPr>
              <w:t>No</w:t>
            </w:r>
          </w:p>
        </w:tc>
        <w:tc>
          <w:tcPr>
            <w:tcW w:w="2674" w:type="dxa"/>
          </w:tcPr>
          <w:p w14:paraId="2BB28727" w14:textId="77777777" w:rsidR="008901E2" w:rsidRPr="001C0F84" w:rsidRDefault="008901E2" w:rsidP="0036050D">
            <w:pPr>
              <w:pStyle w:val="Tablesmalltext"/>
              <w:jc w:val="center"/>
              <w:rPr>
                <w:rFonts w:eastAsia="Times New Roman"/>
                <w:lang w:val="en-AU" w:eastAsia="en-AU"/>
              </w:rPr>
            </w:pPr>
            <w:r w:rsidRPr="00EB7A4B">
              <w:t>Seed tree regeneration</w:t>
            </w:r>
          </w:p>
        </w:tc>
      </w:tr>
      <w:tr w:rsidR="008901E2" w:rsidRPr="001C0F84" w14:paraId="13F0271C" w14:textId="77777777" w:rsidTr="0036050D">
        <w:trPr>
          <w:trHeight w:val="240"/>
        </w:trPr>
        <w:tc>
          <w:tcPr>
            <w:tcW w:w="723" w:type="dxa"/>
            <w:shd w:val="clear" w:color="auto" w:fill="auto"/>
            <w:noWrap/>
            <w:vAlign w:val="center"/>
          </w:tcPr>
          <w:p w14:paraId="0B3ABD00" w14:textId="79892733" w:rsidR="008901E2" w:rsidRPr="001C0F84" w:rsidRDefault="008901E2" w:rsidP="0036050D">
            <w:pPr>
              <w:pStyle w:val="Tablesmalltext"/>
              <w:jc w:val="center"/>
              <w:rPr>
                <w:rFonts w:eastAsia="Times New Roman"/>
                <w:lang w:val="en-AU" w:eastAsia="en-AU"/>
              </w:rPr>
            </w:pPr>
            <w:r>
              <w:rPr>
                <w:rFonts w:eastAsia="Times New Roman"/>
                <w:lang w:val="en-AU" w:eastAsia="en-AU"/>
              </w:rPr>
              <w:t>R9</w:t>
            </w:r>
          </w:p>
        </w:tc>
        <w:tc>
          <w:tcPr>
            <w:tcW w:w="1485" w:type="dxa"/>
            <w:shd w:val="clear" w:color="auto" w:fill="auto"/>
            <w:noWrap/>
          </w:tcPr>
          <w:p w14:paraId="677159C7" w14:textId="77777777" w:rsidR="008901E2" w:rsidRPr="001C0F84" w:rsidRDefault="008901E2" w:rsidP="0036050D">
            <w:pPr>
              <w:pStyle w:val="Tablesmalltext"/>
              <w:rPr>
                <w:rFonts w:eastAsia="Times New Roman"/>
                <w:lang w:val="en-AU" w:eastAsia="en-AU"/>
              </w:rPr>
            </w:pPr>
            <w:r w:rsidRPr="00ED464A">
              <w:t>827-501-0026</w:t>
            </w:r>
          </w:p>
        </w:tc>
        <w:tc>
          <w:tcPr>
            <w:tcW w:w="1663" w:type="dxa"/>
            <w:shd w:val="clear" w:color="auto" w:fill="auto"/>
            <w:noWrap/>
          </w:tcPr>
          <w:p w14:paraId="028E0AA7" w14:textId="77777777" w:rsidR="008901E2" w:rsidRPr="001C0F84" w:rsidRDefault="008901E2" w:rsidP="0036050D">
            <w:pPr>
              <w:pStyle w:val="Tablesmalltext"/>
              <w:rPr>
                <w:rFonts w:eastAsia="Times New Roman"/>
                <w:lang w:val="en-AU" w:eastAsia="en-AU"/>
              </w:rPr>
            </w:pPr>
            <w:r w:rsidRPr="00ED464A">
              <w:t>Tick</w:t>
            </w:r>
          </w:p>
        </w:tc>
        <w:tc>
          <w:tcPr>
            <w:tcW w:w="1701" w:type="dxa"/>
          </w:tcPr>
          <w:p w14:paraId="1E3B569A" w14:textId="77777777" w:rsidR="008901E2" w:rsidRPr="001C0F84" w:rsidRDefault="008901E2" w:rsidP="0036050D">
            <w:pPr>
              <w:pStyle w:val="Tablesmalltext"/>
              <w:jc w:val="center"/>
              <w:rPr>
                <w:rFonts w:eastAsia="Times New Roman"/>
                <w:lang w:val="en-AU" w:eastAsia="en-AU"/>
              </w:rPr>
            </w:pPr>
            <w:r>
              <w:t>East Gippsland</w:t>
            </w:r>
          </w:p>
        </w:tc>
        <w:tc>
          <w:tcPr>
            <w:tcW w:w="1276" w:type="dxa"/>
            <w:shd w:val="clear" w:color="auto" w:fill="auto"/>
            <w:noWrap/>
          </w:tcPr>
          <w:p w14:paraId="657612AF" w14:textId="77777777" w:rsidR="008901E2" w:rsidRPr="001C0F84" w:rsidRDefault="008901E2" w:rsidP="0036050D">
            <w:pPr>
              <w:pStyle w:val="Tablesmalltext"/>
              <w:jc w:val="center"/>
              <w:rPr>
                <w:rFonts w:eastAsia="Times New Roman"/>
                <w:lang w:val="en-AU" w:eastAsia="en-AU"/>
              </w:rPr>
            </w:pPr>
            <w:r>
              <w:t>&gt;400 m</w:t>
            </w:r>
          </w:p>
        </w:tc>
        <w:tc>
          <w:tcPr>
            <w:tcW w:w="1276" w:type="dxa"/>
          </w:tcPr>
          <w:p w14:paraId="7DB7B204" w14:textId="77777777" w:rsidR="008901E2" w:rsidRPr="001C0F84" w:rsidRDefault="008901E2" w:rsidP="0036050D">
            <w:pPr>
              <w:pStyle w:val="Tablesmalltext"/>
              <w:jc w:val="center"/>
              <w:rPr>
                <w:rFonts w:eastAsia="Times New Roman"/>
                <w:lang w:val="en-AU" w:eastAsia="en-AU"/>
              </w:rPr>
            </w:pPr>
            <w:r>
              <w:rPr>
                <w:rFonts w:eastAsia="Times New Roman"/>
                <w:lang w:val="en-AU" w:eastAsia="en-AU"/>
              </w:rPr>
              <w:t>No</w:t>
            </w:r>
          </w:p>
        </w:tc>
        <w:tc>
          <w:tcPr>
            <w:tcW w:w="2674" w:type="dxa"/>
          </w:tcPr>
          <w:p w14:paraId="0B35399E" w14:textId="77777777" w:rsidR="008901E2" w:rsidRPr="001C0F84" w:rsidRDefault="008901E2" w:rsidP="0036050D">
            <w:pPr>
              <w:pStyle w:val="Tablesmalltext"/>
              <w:jc w:val="center"/>
              <w:rPr>
                <w:rFonts w:eastAsia="Times New Roman"/>
                <w:lang w:val="en-AU" w:eastAsia="en-AU"/>
              </w:rPr>
            </w:pPr>
            <w:r w:rsidRPr="00EB7A4B">
              <w:t>Seed tree regeneration</w:t>
            </w:r>
          </w:p>
        </w:tc>
      </w:tr>
      <w:tr w:rsidR="008901E2" w:rsidRPr="001C0F84" w14:paraId="65BE6CF4" w14:textId="77777777" w:rsidTr="0036050D">
        <w:trPr>
          <w:trHeight w:val="240"/>
        </w:trPr>
        <w:tc>
          <w:tcPr>
            <w:tcW w:w="723" w:type="dxa"/>
            <w:shd w:val="clear" w:color="auto" w:fill="auto"/>
            <w:noWrap/>
            <w:vAlign w:val="center"/>
          </w:tcPr>
          <w:p w14:paraId="7F19264C" w14:textId="49D76D50" w:rsidR="008901E2" w:rsidRPr="001C0F84" w:rsidRDefault="008901E2" w:rsidP="0036050D">
            <w:pPr>
              <w:pStyle w:val="Tablesmalltext"/>
              <w:jc w:val="center"/>
              <w:rPr>
                <w:rFonts w:eastAsia="Times New Roman"/>
                <w:lang w:val="en-AU" w:eastAsia="en-AU"/>
              </w:rPr>
            </w:pPr>
            <w:r>
              <w:rPr>
                <w:rFonts w:eastAsia="Times New Roman"/>
                <w:lang w:val="en-AU" w:eastAsia="en-AU"/>
              </w:rPr>
              <w:t>R10</w:t>
            </w:r>
          </w:p>
        </w:tc>
        <w:tc>
          <w:tcPr>
            <w:tcW w:w="1485" w:type="dxa"/>
            <w:shd w:val="clear" w:color="auto" w:fill="auto"/>
            <w:noWrap/>
          </w:tcPr>
          <w:p w14:paraId="02DF3C9B" w14:textId="77777777" w:rsidR="008901E2" w:rsidRPr="001C0F84" w:rsidRDefault="008901E2" w:rsidP="0036050D">
            <w:pPr>
              <w:pStyle w:val="Tablesmalltext"/>
              <w:rPr>
                <w:rFonts w:eastAsia="Times New Roman"/>
                <w:lang w:val="en-AU" w:eastAsia="en-AU"/>
              </w:rPr>
            </w:pPr>
            <w:r w:rsidRPr="00ED464A">
              <w:t>836-524-0021</w:t>
            </w:r>
          </w:p>
        </w:tc>
        <w:tc>
          <w:tcPr>
            <w:tcW w:w="1663" w:type="dxa"/>
            <w:shd w:val="clear" w:color="auto" w:fill="auto"/>
            <w:noWrap/>
          </w:tcPr>
          <w:p w14:paraId="4924B7B0" w14:textId="77777777" w:rsidR="008901E2" w:rsidRPr="001C0F84" w:rsidRDefault="008901E2" w:rsidP="0036050D">
            <w:pPr>
              <w:pStyle w:val="Tablesmalltext"/>
              <w:rPr>
                <w:rFonts w:eastAsia="Times New Roman"/>
                <w:lang w:val="en-AU" w:eastAsia="en-AU"/>
              </w:rPr>
            </w:pPr>
            <w:r w:rsidRPr="00ED464A">
              <w:t>Buckskin</w:t>
            </w:r>
          </w:p>
        </w:tc>
        <w:tc>
          <w:tcPr>
            <w:tcW w:w="1701" w:type="dxa"/>
          </w:tcPr>
          <w:p w14:paraId="20A7A951" w14:textId="77777777" w:rsidR="008901E2" w:rsidRPr="001C0F84" w:rsidRDefault="008901E2" w:rsidP="0036050D">
            <w:pPr>
              <w:pStyle w:val="Tablesmalltext"/>
              <w:jc w:val="center"/>
              <w:rPr>
                <w:rFonts w:eastAsia="Times New Roman"/>
                <w:lang w:val="en-AU" w:eastAsia="en-AU"/>
              </w:rPr>
            </w:pPr>
            <w:r w:rsidRPr="001A3047">
              <w:t>East Gippsland</w:t>
            </w:r>
          </w:p>
        </w:tc>
        <w:tc>
          <w:tcPr>
            <w:tcW w:w="1276" w:type="dxa"/>
            <w:shd w:val="clear" w:color="auto" w:fill="auto"/>
            <w:noWrap/>
          </w:tcPr>
          <w:p w14:paraId="5B1752C1" w14:textId="77777777" w:rsidR="008901E2" w:rsidRPr="001C0F84" w:rsidRDefault="008901E2" w:rsidP="0036050D">
            <w:pPr>
              <w:pStyle w:val="Tablesmalltext"/>
              <w:jc w:val="center"/>
              <w:rPr>
                <w:rFonts w:eastAsia="Times New Roman"/>
                <w:lang w:val="en-AU" w:eastAsia="en-AU"/>
              </w:rPr>
            </w:pPr>
            <w:r>
              <w:t>1-400 m</w:t>
            </w:r>
          </w:p>
        </w:tc>
        <w:tc>
          <w:tcPr>
            <w:tcW w:w="1276" w:type="dxa"/>
          </w:tcPr>
          <w:p w14:paraId="28CE9726" w14:textId="77777777" w:rsidR="008901E2" w:rsidRPr="001C0F84" w:rsidRDefault="008901E2" w:rsidP="0036050D">
            <w:pPr>
              <w:pStyle w:val="Tablesmalltext"/>
              <w:jc w:val="center"/>
              <w:rPr>
                <w:rFonts w:eastAsia="Times New Roman"/>
                <w:lang w:val="en-AU" w:eastAsia="en-AU"/>
              </w:rPr>
            </w:pPr>
            <w:r>
              <w:t>Yes</w:t>
            </w:r>
          </w:p>
        </w:tc>
        <w:tc>
          <w:tcPr>
            <w:tcW w:w="2674" w:type="dxa"/>
          </w:tcPr>
          <w:p w14:paraId="188948E6" w14:textId="77777777" w:rsidR="008901E2" w:rsidRPr="001C0F84" w:rsidRDefault="008901E2" w:rsidP="0036050D">
            <w:pPr>
              <w:pStyle w:val="Tablesmalltext"/>
              <w:jc w:val="center"/>
              <w:rPr>
                <w:rFonts w:eastAsia="Times New Roman"/>
                <w:lang w:val="en-AU" w:eastAsia="en-AU"/>
              </w:rPr>
            </w:pPr>
            <w:r w:rsidRPr="00EB7A4B">
              <w:t>Seed tree regeneration</w:t>
            </w:r>
          </w:p>
        </w:tc>
      </w:tr>
    </w:tbl>
    <w:p w14:paraId="666C26EB" w14:textId="77777777" w:rsidR="0036050D" w:rsidRDefault="0036050D" w:rsidP="00367E95">
      <w:pPr>
        <w:pStyle w:val="Para0"/>
      </w:pPr>
    </w:p>
    <w:p w14:paraId="5E1DE01C" w14:textId="77777777" w:rsidR="0036050D" w:rsidRPr="002E7DC6" w:rsidRDefault="0036050D" w:rsidP="00367E95">
      <w:pPr>
        <w:pStyle w:val="Para0"/>
        <w:sectPr w:rsidR="0036050D" w:rsidRPr="002E7DC6" w:rsidSect="009B4F8F">
          <w:headerReference w:type="default" r:id="rId31"/>
          <w:footerReference w:type="default" r:id="rId32"/>
          <w:pgSz w:w="16838" w:h="11906" w:orient="landscape" w:code="9"/>
          <w:pgMar w:top="567" w:right="851" w:bottom="851" w:left="1134" w:header="567" w:footer="391" w:gutter="0"/>
          <w:cols w:space="0"/>
          <w:formProt w:val="0"/>
          <w:docGrid w:linePitch="360"/>
        </w:sectPr>
      </w:pPr>
    </w:p>
    <w:p w14:paraId="3B2B6ABD" w14:textId="77777777" w:rsidR="009B4F8F" w:rsidRDefault="009B4F8F" w:rsidP="00E74AFC">
      <w:pPr>
        <w:pStyle w:val="Para0bullet"/>
        <w:numPr>
          <w:ilvl w:val="0"/>
          <w:numId w:val="72"/>
        </w:numPr>
      </w:pPr>
      <w:r>
        <w:rPr>
          <w:i/>
        </w:rPr>
        <w:lastRenderedPageBreak/>
        <w:t>Coupe infrastructure:</w:t>
      </w:r>
      <w:r>
        <w:t xml:space="preserve"> compliance criteria developed for the audit drew on Section 2.5.2 of the Code (</w:t>
      </w:r>
      <w:r>
        <w:rPr>
          <w:i/>
        </w:rPr>
        <w:t>Coupe infrastructure</w:t>
      </w:r>
      <w:r>
        <w:t xml:space="preserve">) and related compliance elements from the MSPs relating to the rehabilitation of coupe infrastructure, including landings, snig tracks and boundary tracks. </w:t>
      </w:r>
    </w:p>
    <w:p w14:paraId="0BAAA2F7" w14:textId="77777777" w:rsidR="009B4F8F" w:rsidRPr="00781A41" w:rsidRDefault="009B4F8F" w:rsidP="00E74AFC">
      <w:pPr>
        <w:pStyle w:val="Para0bullet"/>
        <w:numPr>
          <w:ilvl w:val="0"/>
          <w:numId w:val="72"/>
        </w:numPr>
        <w:rPr>
          <w:i/>
        </w:rPr>
      </w:pPr>
      <w:r w:rsidRPr="0061155C">
        <w:rPr>
          <w:i/>
        </w:rPr>
        <w:t xml:space="preserve">Coupe </w:t>
      </w:r>
      <w:r>
        <w:rPr>
          <w:i/>
        </w:rPr>
        <w:t xml:space="preserve">planning: </w:t>
      </w:r>
      <w:r>
        <w:t>compliance criteria for the audit drew on parts of Section 2.5 of the Code (</w:t>
      </w:r>
      <w:r>
        <w:rPr>
          <w:i/>
        </w:rPr>
        <w:t>Timber Harvesting</w:t>
      </w:r>
      <w:r>
        <w:t>) relating to conformance of timber harvesting operations with coupe plans (developed as per Section 2.3 of the Code).</w:t>
      </w:r>
    </w:p>
    <w:p w14:paraId="2C3A8A17" w14:textId="77777777" w:rsidR="009B4F8F" w:rsidRPr="0061155C" w:rsidRDefault="009B4F8F" w:rsidP="00E74AFC">
      <w:pPr>
        <w:pStyle w:val="Para0bullet"/>
        <w:numPr>
          <w:ilvl w:val="0"/>
          <w:numId w:val="72"/>
        </w:numPr>
        <w:rPr>
          <w:i/>
        </w:rPr>
      </w:pPr>
      <w:r>
        <w:rPr>
          <w:i/>
        </w:rPr>
        <w:t xml:space="preserve">Forest regeneration: </w:t>
      </w:r>
      <w:r>
        <w:t>compliance criteria developed for the audit drew on Section 2.6 of the Code (</w:t>
      </w:r>
      <w:r>
        <w:rPr>
          <w:i/>
        </w:rPr>
        <w:t>Forest regeneration</w:t>
      </w:r>
      <w:r>
        <w:t>) and related compliance elements from the MSPs.</w:t>
      </w:r>
    </w:p>
    <w:p w14:paraId="5CD05C36" w14:textId="4B29D6C1" w:rsidR="009B4F8F" w:rsidRDefault="009B4F8F" w:rsidP="009B4F8F">
      <w:pPr>
        <w:pStyle w:val="Para0"/>
      </w:pPr>
      <w:r>
        <w:t>Audits considered up to 151 compliance criteria</w:t>
      </w:r>
      <w:r w:rsidR="007E0985">
        <w:rPr>
          <w:rFonts w:ascii="ZWAdobeF" w:hAnsi="ZWAdobeF" w:cs="ZWAdobeF"/>
          <w:sz w:val="2"/>
          <w:szCs w:val="2"/>
        </w:rPr>
        <w:t>6F</w:t>
      </w:r>
      <w:r>
        <w:rPr>
          <w:rStyle w:val="FootnoteReference"/>
        </w:rPr>
        <w:footnoteReference w:id="7"/>
      </w:r>
      <w:r>
        <w:t xml:space="preserve"> for harvest coupes and up to 29 criteria for regeneration coupes (see </w:t>
      </w:r>
      <w:r>
        <w:fldChar w:fldCharType="begin" w:fldLock="1"/>
      </w:r>
      <w:r>
        <w:instrText xml:space="preserve"> REF _Ref13827801 \r \h </w:instrText>
      </w:r>
      <w:r>
        <w:fldChar w:fldCharType="separate"/>
      </w:r>
      <w:r w:rsidR="005544E2">
        <w:t>Appendix A</w:t>
      </w:r>
      <w:r>
        <w:fldChar w:fldCharType="end"/>
      </w:r>
      <w:r>
        <w:t xml:space="preserve">). These were assessed, as applicable, for the target coupes in each category. </w:t>
      </w:r>
    </w:p>
    <w:p w14:paraId="406E64E0" w14:textId="1BD63629" w:rsidR="009B4F8F" w:rsidRDefault="009B4F8F" w:rsidP="009B4F8F">
      <w:pPr>
        <w:pStyle w:val="Para0"/>
      </w:pPr>
      <w:r>
        <w:t xml:space="preserve">A digital audit workbook was developed to capture assessments against all applicable criteria for each individual coupe. Assessments recorded in the workbook were based on observations by the audit team and their review of VicForests’ Forest Coupe Plan (FCP). They considered the applicability of each criterion, as well as the operations’ conformance with the audit criteria. The latter was assessed using the descriptors in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 xml:space="preserve">. </w:t>
      </w:r>
    </w:p>
    <w:p w14:paraId="6620B65F" w14:textId="471B1C5B" w:rsidR="009B4F8F" w:rsidRDefault="009B4F8F" w:rsidP="009B4F8F">
      <w:pPr>
        <w:pStyle w:val="Caption"/>
      </w:pPr>
      <w:bookmarkStart w:id="47" w:name="_Ref523302686"/>
      <w:bookmarkStart w:id="48" w:name="_Ref524947519"/>
      <w:r>
        <w:t xml:space="preserve">Table </w:t>
      </w:r>
      <w:r w:rsidR="0013561C">
        <w:fldChar w:fldCharType="begin" w:fldLock="1"/>
      </w:r>
      <w:r w:rsidR="0013561C">
        <w:instrText xml:space="preserve"> STYLEREF 1 \s </w:instrText>
      </w:r>
      <w:r w:rsidR="0013561C">
        <w:fldChar w:fldCharType="separate"/>
      </w:r>
      <w:r w:rsidR="005544E2">
        <w:rPr>
          <w:noProof/>
        </w:rPr>
        <w:t>3</w:t>
      </w:r>
      <w:r w:rsidR="0013561C">
        <w:rPr>
          <w:noProof/>
        </w:rPr>
        <w:fldChar w:fldCharType="end"/>
      </w:r>
      <w:r>
        <w:t>.</w:t>
      </w:r>
      <w:r w:rsidR="0013561C">
        <w:fldChar w:fldCharType="begin"/>
      </w:r>
      <w:r w:rsidR="0013561C">
        <w:instrText xml:space="preserve"> SEQ Table \* ARABIC \s 1 </w:instrText>
      </w:r>
      <w:r w:rsidR="0013561C">
        <w:fldChar w:fldCharType="separate"/>
      </w:r>
      <w:r w:rsidR="007E0985">
        <w:rPr>
          <w:noProof/>
        </w:rPr>
        <w:t>4</w:t>
      </w:r>
      <w:r w:rsidR="0013561C">
        <w:rPr>
          <w:noProof/>
        </w:rPr>
        <w:fldChar w:fldCharType="end"/>
      </w:r>
      <w:bookmarkEnd w:id="47"/>
      <w:r w:rsidRPr="00F36C09">
        <w:t xml:space="preserve"> </w:t>
      </w:r>
      <w:r>
        <w:t>Descriptors used to assess conformance with audit criteria</w:t>
      </w:r>
      <w:bookmarkEnd w:id="48"/>
    </w:p>
    <w:tbl>
      <w:tblPr>
        <w:tblStyle w:val="Table1"/>
        <w:tblW w:w="0" w:type="auto"/>
        <w:tblLook w:val="04A0" w:firstRow="1" w:lastRow="0" w:firstColumn="1" w:lastColumn="0" w:noHBand="0" w:noVBand="1"/>
      </w:tblPr>
      <w:tblGrid>
        <w:gridCol w:w="1761"/>
        <w:gridCol w:w="2571"/>
        <w:gridCol w:w="2578"/>
        <w:gridCol w:w="2582"/>
      </w:tblGrid>
      <w:tr w:rsidR="009B4F8F" w:rsidRPr="009B4F8F" w14:paraId="055887F7" w14:textId="77777777" w:rsidTr="009B4F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6" w:type="dxa"/>
            <w:shd w:val="clear" w:color="auto" w:fill="E5E5E5" w:themeFill="background2"/>
          </w:tcPr>
          <w:p w14:paraId="100141EA" w14:textId="77777777" w:rsidR="009B4F8F" w:rsidRPr="009B4F8F" w:rsidRDefault="009B4F8F" w:rsidP="00E24985">
            <w:pPr>
              <w:pStyle w:val="Tablesmalltext"/>
              <w:rPr>
                <w:color w:val="auto"/>
              </w:rPr>
            </w:pPr>
            <w:r w:rsidRPr="009B4F8F">
              <w:rPr>
                <w:color w:val="auto"/>
              </w:rPr>
              <w:t>Level of compliance</w:t>
            </w:r>
          </w:p>
        </w:tc>
        <w:tc>
          <w:tcPr>
            <w:tcW w:w="2661" w:type="dxa"/>
            <w:shd w:val="clear" w:color="auto" w:fill="CCFFCC"/>
          </w:tcPr>
          <w:p w14:paraId="1B4A7AF6" w14:textId="77777777" w:rsidR="009B4F8F" w:rsidRPr="009B4F8F" w:rsidRDefault="009B4F8F" w:rsidP="00E24985">
            <w:pPr>
              <w:pStyle w:val="Tablesmalltext"/>
              <w:cnfStyle w:val="100000000000" w:firstRow="1" w:lastRow="0" w:firstColumn="0" w:lastColumn="0" w:oddVBand="0" w:evenVBand="0" w:oddHBand="0" w:evenHBand="0" w:firstRowFirstColumn="0" w:firstRowLastColumn="0" w:lastRowFirstColumn="0" w:lastRowLastColumn="0"/>
              <w:rPr>
                <w:color w:val="auto"/>
              </w:rPr>
            </w:pPr>
            <w:r w:rsidRPr="009B4F8F">
              <w:rPr>
                <w:color w:val="auto"/>
              </w:rPr>
              <w:t>Fully conforms</w:t>
            </w:r>
          </w:p>
        </w:tc>
        <w:tc>
          <w:tcPr>
            <w:tcW w:w="2661" w:type="dxa"/>
            <w:shd w:val="clear" w:color="auto" w:fill="FFD8A1" w:themeFill="accent4" w:themeFillTint="66"/>
          </w:tcPr>
          <w:p w14:paraId="135BF7C0" w14:textId="77777777" w:rsidR="009B4F8F" w:rsidRPr="009B4F8F" w:rsidRDefault="009B4F8F" w:rsidP="00E24985">
            <w:pPr>
              <w:pStyle w:val="Tablesmalltext"/>
              <w:cnfStyle w:val="100000000000" w:firstRow="1" w:lastRow="0" w:firstColumn="0" w:lastColumn="0" w:oddVBand="0" w:evenVBand="0" w:oddHBand="0" w:evenHBand="0" w:firstRowFirstColumn="0" w:firstRowLastColumn="0" w:lastRowFirstColumn="0" w:lastRowLastColumn="0"/>
              <w:rPr>
                <w:b w:val="0"/>
                <w:color w:val="auto"/>
              </w:rPr>
            </w:pPr>
            <w:r w:rsidRPr="009B4F8F">
              <w:rPr>
                <w:color w:val="auto"/>
              </w:rPr>
              <w:t xml:space="preserve">Non-conforming with no environmental impact </w:t>
            </w:r>
            <w:r w:rsidRPr="009B4F8F">
              <w:rPr>
                <w:color w:val="auto"/>
              </w:rPr>
              <w:br/>
              <w:t>(part conformance)</w:t>
            </w:r>
          </w:p>
        </w:tc>
        <w:tc>
          <w:tcPr>
            <w:tcW w:w="2665" w:type="dxa"/>
            <w:shd w:val="clear" w:color="auto" w:fill="F7D4DB" w:themeFill="accent3" w:themeFillTint="33"/>
          </w:tcPr>
          <w:p w14:paraId="4A3C460F" w14:textId="77777777" w:rsidR="009B4F8F" w:rsidRPr="009B4F8F" w:rsidRDefault="009B4F8F" w:rsidP="00E24985">
            <w:pPr>
              <w:pStyle w:val="Tablesmalltext"/>
              <w:cnfStyle w:val="100000000000" w:firstRow="1" w:lastRow="0" w:firstColumn="0" w:lastColumn="0" w:oddVBand="0" w:evenVBand="0" w:oddHBand="0" w:evenHBand="0" w:firstRowFirstColumn="0" w:firstRowLastColumn="0" w:lastRowFirstColumn="0" w:lastRowLastColumn="0"/>
              <w:rPr>
                <w:color w:val="auto"/>
              </w:rPr>
            </w:pPr>
            <w:r w:rsidRPr="009B4F8F">
              <w:rPr>
                <w:color w:val="auto"/>
              </w:rPr>
              <w:t>Non-conforming with environmental impact</w:t>
            </w:r>
            <w:r w:rsidRPr="009B4F8F">
              <w:rPr>
                <w:color w:val="auto"/>
              </w:rPr>
              <w:br/>
              <w:t>(full non-conformance)</w:t>
            </w:r>
          </w:p>
        </w:tc>
      </w:tr>
      <w:tr w:rsidR="009B4F8F" w14:paraId="1D8FE6AC" w14:textId="77777777" w:rsidTr="009B4F8F">
        <w:tc>
          <w:tcPr>
            <w:cnfStyle w:val="001000000000" w:firstRow="0" w:lastRow="0" w:firstColumn="1" w:lastColumn="0" w:oddVBand="0" w:evenVBand="0" w:oddHBand="0" w:evenHBand="0" w:firstRowFirstColumn="0" w:firstRowLastColumn="0" w:lastRowFirstColumn="0" w:lastRowLastColumn="0"/>
            <w:tcW w:w="1806" w:type="dxa"/>
          </w:tcPr>
          <w:p w14:paraId="3064D264" w14:textId="77777777" w:rsidR="009B4F8F" w:rsidRPr="00FD0BB1" w:rsidRDefault="009B4F8F" w:rsidP="00E24985">
            <w:pPr>
              <w:pStyle w:val="Tablesmalltext"/>
              <w:rPr>
                <w:b/>
              </w:rPr>
            </w:pPr>
            <w:r>
              <w:rPr>
                <w:b/>
              </w:rPr>
              <w:t>Description</w:t>
            </w:r>
          </w:p>
        </w:tc>
        <w:tc>
          <w:tcPr>
            <w:tcW w:w="2661" w:type="dxa"/>
            <w:shd w:val="clear" w:color="auto" w:fill="CCFFCC"/>
          </w:tcPr>
          <w:p w14:paraId="26E820FE" w14:textId="77777777" w:rsidR="009B4F8F" w:rsidRDefault="009B4F8F" w:rsidP="00E24985">
            <w:pPr>
              <w:pStyle w:val="Tablesmalltext"/>
              <w:cnfStyle w:val="000000000000" w:firstRow="0" w:lastRow="0" w:firstColumn="0" w:lastColumn="0" w:oddVBand="0" w:evenVBand="0" w:oddHBand="0" w:evenHBand="0" w:firstRowFirstColumn="0" w:firstRowLastColumn="0" w:lastRowFirstColumn="0" w:lastRowLastColumn="0"/>
            </w:pPr>
            <w:r>
              <w:t>All requirements of the compliance element are fully satisfied.</w:t>
            </w:r>
          </w:p>
        </w:tc>
        <w:tc>
          <w:tcPr>
            <w:tcW w:w="2661" w:type="dxa"/>
            <w:shd w:val="clear" w:color="auto" w:fill="FFD8A1" w:themeFill="accent4" w:themeFillTint="66"/>
          </w:tcPr>
          <w:p w14:paraId="324681DF" w14:textId="77777777" w:rsidR="009B4F8F" w:rsidRDefault="009B4F8F" w:rsidP="00E24985">
            <w:pPr>
              <w:pStyle w:val="Tablesmalltext"/>
              <w:cnfStyle w:val="000000000000" w:firstRow="0" w:lastRow="0" w:firstColumn="0" w:lastColumn="0" w:oddVBand="0" w:evenVBand="0" w:oddHBand="0" w:evenHBand="0" w:firstRowFirstColumn="0" w:firstRowLastColumn="0" w:lastRowFirstColumn="0" w:lastRowLastColumn="0"/>
            </w:pPr>
            <w:r>
              <w:t>All requirements of the compliance element are not fully satisfied. However, the non-conformance is procedural and will pose no direct risk of harm to the environment.</w:t>
            </w:r>
          </w:p>
        </w:tc>
        <w:tc>
          <w:tcPr>
            <w:tcW w:w="2665" w:type="dxa"/>
            <w:shd w:val="clear" w:color="auto" w:fill="F7D4DB" w:themeFill="accent3" w:themeFillTint="33"/>
          </w:tcPr>
          <w:p w14:paraId="55F11A6F" w14:textId="77777777" w:rsidR="009B4F8F" w:rsidRDefault="009B4F8F" w:rsidP="00E24985">
            <w:pPr>
              <w:pStyle w:val="Tablesmalltext"/>
              <w:cnfStyle w:val="000000000000" w:firstRow="0" w:lastRow="0" w:firstColumn="0" w:lastColumn="0" w:oddVBand="0" w:evenVBand="0" w:oddHBand="0" w:evenHBand="0" w:firstRowFirstColumn="0" w:firstRowLastColumn="0" w:lastRowFirstColumn="0" w:lastRowLastColumn="0"/>
            </w:pPr>
            <w:r>
              <w:t>All requirements of the compliance element are not fully satisfied. The non-conformance has potential to pose a risk of harm to the environment.</w:t>
            </w:r>
          </w:p>
        </w:tc>
      </w:tr>
    </w:tbl>
    <w:p w14:paraId="34911FDD" w14:textId="77777777" w:rsidR="009B4F8F" w:rsidRDefault="009B4F8F" w:rsidP="009B4F8F">
      <w:pPr>
        <w:pStyle w:val="Para0"/>
      </w:pPr>
      <w:bookmarkStart w:id="49" w:name="_Toc444601486"/>
      <w:bookmarkStart w:id="50" w:name="_Toc11873332"/>
      <w:r>
        <w:t>The workbook was also used to capture the basis for any non-conformance assessment. Photographs of coupe features were taken, particularly where/if non-conformances were observed.</w:t>
      </w:r>
    </w:p>
    <w:p w14:paraId="3E8030C9" w14:textId="77777777" w:rsidR="009B4F8F" w:rsidRDefault="009B4F8F" w:rsidP="009B4F8F">
      <w:pPr>
        <w:pStyle w:val="Heading2"/>
      </w:pPr>
      <w:bookmarkStart w:id="51" w:name="_Toc21354780"/>
      <w:bookmarkStart w:id="52" w:name="_Toc33202273"/>
      <w:r>
        <w:t>Field assessments</w:t>
      </w:r>
      <w:bookmarkEnd w:id="49"/>
      <w:bookmarkEnd w:id="50"/>
      <w:bookmarkEnd w:id="51"/>
      <w:bookmarkEnd w:id="52"/>
    </w:p>
    <w:p w14:paraId="56DC5E25" w14:textId="4B03AFB3" w:rsidR="009B4F8F" w:rsidRDefault="009B4F8F" w:rsidP="009B4F8F">
      <w:pPr>
        <w:pStyle w:val="Para0"/>
      </w:pPr>
      <w:r>
        <w:t>Field assessments of relevant coupe characteristics (</w:t>
      </w:r>
      <w:r>
        <w:fldChar w:fldCharType="begin" w:fldLock="1"/>
      </w:r>
      <w:r>
        <w:instrText xml:space="preserve"> REF _Ref517669461 \h </w:instrText>
      </w:r>
      <w:r>
        <w:fldChar w:fldCharType="separate"/>
      </w:r>
      <w:r w:rsidR="005544E2">
        <w:t xml:space="preserve">Table </w:t>
      </w:r>
      <w:r w:rsidR="005544E2">
        <w:rPr>
          <w:noProof/>
        </w:rPr>
        <w:t>3</w:t>
      </w:r>
      <w:r w:rsidR="005544E2">
        <w:t>.</w:t>
      </w:r>
      <w:r w:rsidR="005544E2">
        <w:rPr>
          <w:noProof/>
        </w:rPr>
        <w:t>5</w:t>
      </w:r>
      <w:r>
        <w:fldChar w:fldCharType="end"/>
      </w:r>
      <w:r>
        <w:t>) were carried out in each of the 30 harvesting coupes. Global positioning systems (GPS) were used in most coupes to track the field team’s movements</w:t>
      </w:r>
      <w:r w:rsidR="007E0985">
        <w:rPr>
          <w:rFonts w:ascii="ZWAdobeF" w:hAnsi="ZWAdobeF" w:cs="ZWAdobeF"/>
          <w:sz w:val="2"/>
          <w:szCs w:val="2"/>
        </w:rPr>
        <w:t>7F</w:t>
      </w:r>
      <w:r>
        <w:rPr>
          <w:rStyle w:val="FootnoteReference"/>
        </w:rPr>
        <w:footnoteReference w:id="8"/>
      </w:r>
      <w:r>
        <w:t>.</w:t>
      </w:r>
    </w:p>
    <w:p w14:paraId="5F148416" w14:textId="3AAB59B6" w:rsidR="009B4F8F" w:rsidRDefault="009B4F8F" w:rsidP="009B4F8F">
      <w:pPr>
        <w:pStyle w:val="Caption"/>
      </w:pPr>
      <w:bookmarkStart w:id="53" w:name="_Ref517669461"/>
      <w:bookmarkStart w:id="54" w:name="_Ref496361375"/>
      <w:r>
        <w:t xml:space="preserve">Table </w:t>
      </w:r>
      <w:r w:rsidR="0013561C">
        <w:fldChar w:fldCharType="begin" w:fldLock="1"/>
      </w:r>
      <w:r w:rsidR="0013561C">
        <w:instrText xml:space="preserve"> STYLEREF 1 \s </w:instrText>
      </w:r>
      <w:r w:rsidR="0013561C">
        <w:fldChar w:fldCharType="separate"/>
      </w:r>
      <w:r w:rsidR="005544E2">
        <w:rPr>
          <w:noProof/>
        </w:rPr>
        <w:t>3</w:t>
      </w:r>
      <w:r w:rsidR="0013561C">
        <w:rPr>
          <w:noProof/>
        </w:rPr>
        <w:fldChar w:fldCharType="end"/>
      </w:r>
      <w:r>
        <w:t>.</w:t>
      </w:r>
      <w:r w:rsidR="0013561C">
        <w:fldChar w:fldCharType="begin"/>
      </w:r>
      <w:r w:rsidR="0013561C">
        <w:instrText xml:space="preserve"> SEQ Table \* ARABIC \s 1 </w:instrText>
      </w:r>
      <w:r w:rsidR="0013561C">
        <w:fldChar w:fldCharType="separate"/>
      </w:r>
      <w:r w:rsidR="007E0985">
        <w:rPr>
          <w:noProof/>
        </w:rPr>
        <w:t>5</w:t>
      </w:r>
      <w:r w:rsidR="0013561C">
        <w:rPr>
          <w:noProof/>
        </w:rPr>
        <w:fldChar w:fldCharType="end"/>
      </w:r>
      <w:bookmarkEnd w:id="53"/>
      <w:r w:rsidRPr="009038E7">
        <w:t xml:space="preserve"> </w:t>
      </w:r>
      <w:bookmarkEnd w:id="54"/>
      <w:r>
        <w:t>Field assessment methods for harvesting coupes</w:t>
      </w:r>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927"/>
        <w:gridCol w:w="835"/>
        <w:gridCol w:w="5772"/>
      </w:tblGrid>
      <w:tr w:rsidR="009B4F8F" w:rsidRPr="00FA0161" w14:paraId="54D3390E" w14:textId="77777777" w:rsidTr="000E5F1E">
        <w:trPr>
          <w:tblHeader/>
        </w:trPr>
        <w:tc>
          <w:tcPr>
            <w:tcW w:w="1535" w:type="pct"/>
            <w:shd w:val="clear" w:color="auto" w:fill="E5E5E5" w:themeFill="background2"/>
          </w:tcPr>
          <w:p w14:paraId="311C273F" w14:textId="77777777" w:rsidR="009B4F8F" w:rsidRPr="00FA0161" w:rsidRDefault="009B4F8F" w:rsidP="00E24985">
            <w:pPr>
              <w:pStyle w:val="Tablesmalltext"/>
              <w:rPr>
                <w:b/>
              </w:rPr>
            </w:pPr>
            <w:r>
              <w:rPr>
                <w:b/>
              </w:rPr>
              <w:t>Attribute being assessed</w:t>
            </w:r>
          </w:p>
        </w:tc>
        <w:tc>
          <w:tcPr>
            <w:tcW w:w="438" w:type="pct"/>
            <w:shd w:val="clear" w:color="auto" w:fill="E5E5E5" w:themeFill="background2"/>
          </w:tcPr>
          <w:p w14:paraId="201A5AE7" w14:textId="77777777" w:rsidR="009B4F8F" w:rsidRDefault="009B4F8F" w:rsidP="00E24985">
            <w:pPr>
              <w:pStyle w:val="Tablesmalltext"/>
              <w:rPr>
                <w:b/>
              </w:rPr>
            </w:pPr>
            <w:r>
              <w:rPr>
                <w:b/>
              </w:rPr>
              <w:t>Criteria</w:t>
            </w:r>
          </w:p>
        </w:tc>
        <w:tc>
          <w:tcPr>
            <w:tcW w:w="3027" w:type="pct"/>
            <w:shd w:val="clear" w:color="auto" w:fill="E5E5E5" w:themeFill="background2"/>
          </w:tcPr>
          <w:p w14:paraId="2E1E208B" w14:textId="77777777" w:rsidR="009B4F8F" w:rsidRPr="00FA0161" w:rsidRDefault="009B4F8F" w:rsidP="00E24985">
            <w:pPr>
              <w:pStyle w:val="Tablesmalltext"/>
              <w:rPr>
                <w:b/>
              </w:rPr>
            </w:pPr>
            <w:r>
              <w:rPr>
                <w:b/>
              </w:rPr>
              <w:t>Method</w:t>
            </w:r>
          </w:p>
        </w:tc>
      </w:tr>
      <w:tr w:rsidR="009B4F8F" w14:paraId="10ACF01E" w14:textId="77777777" w:rsidTr="00E24985">
        <w:tc>
          <w:tcPr>
            <w:tcW w:w="1535" w:type="pct"/>
          </w:tcPr>
          <w:p w14:paraId="4640AFA4" w14:textId="77777777" w:rsidR="009B4F8F" w:rsidRDefault="009B4F8F" w:rsidP="00E74AFC">
            <w:pPr>
              <w:pStyle w:val="Tablesmallnumber"/>
              <w:numPr>
                <w:ilvl w:val="0"/>
                <w:numId w:val="77"/>
              </w:numPr>
            </w:pPr>
            <w:r>
              <w:t>Waterway classification and correct provision of riparian filters and/or buffers.</w:t>
            </w:r>
          </w:p>
        </w:tc>
        <w:tc>
          <w:tcPr>
            <w:tcW w:w="438" w:type="pct"/>
          </w:tcPr>
          <w:p w14:paraId="3A9F1373" w14:textId="77777777" w:rsidR="009B4F8F" w:rsidRDefault="009B4F8F" w:rsidP="00E24985">
            <w:pPr>
              <w:pStyle w:val="Tablesmalltext"/>
            </w:pPr>
            <w:r>
              <w:t>1, 3, 5</w:t>
            </w:r>
          </w:p>
        </w:tc>
        <w:tc>
          <w:tcPr>
            <w:tcW w:w="3027" w:type="pct"/>
          </w:tcPr>
          <w:p w14:paraId="03B9F9B3" w14:textId="77777777" w:rsidR="009B4F8F" w:rsidRDefault="009B4F8F" w:rsidP="00E24985">
            <w:pPr>
              <w:pStyle w:val="Tablesmalltext"/>
            </w:pPr>
            <w:r>
              <w:t>Assessment of waterway as drainage line, temporary stream or permanent stream, based on Code definitions. Streams and widths of filters/buffers will be assessed along up to 600 m of waterway per coupe, if present. Adequacy of filter and buffer widths will be assessed with a range finder, supported by ground traverses to locate the centreline of the stream (as required).</w:t>
            </w:r>
          </w:p>
        </w:tc>
      </w:tr>
      <w:tr w:rsidR="009B4F8F" w14:paraId="2FDEA9EE" w14:textId="77777777" w:rsidTr="00E24985">
        <w:tc>
          <w:tcPr>
            <w:tcW w:w="1535" w:type="pct"/>
          </w:tcPr>
          <w:p w14:paraId="55846931" w14:textId="77777777" w:rsidR="009B4F8F" w:rsidRDefault="009B4F8F" w:rsidP="00E74AFC">
            <w:pPr>
              <w:pStyle w:val="Tablesmallnumber"/>
              <w:numPr>
                <w:ilvl w:val="0"/>
                <w:numId w:val="77"/>
              </w:numPr>
            </w:pPr>
            <w:r>
              <w:lastRenderedPageBreak/>
              <w:t>Soil erosion hazard</w:t>
            </w:r>
          </w:p>
        </w:tc>
        <w:tc>
          <w:tcPr>
            <w:tcW w:w="438" w:type="pct"/>
          </w:tcPr>
          <w:p w14:paraId="53C462C7" w14:textId="77777777" w:rsidR="009B4F8F" w:rsidRDefault="009B4F8F" w:rsidP="00E24985">
            <w:pPr>
              <w:pStyle w:val="Tablesmalltext"/>
            </w:pPr>
            <w:r>
              <w:t>2</w:t>
            </w:r>
          </w:p>
        </w:tc>
        <w:tc>
          <w:tcPr>
            <w:tcW w:w="3027" w:type="pct"/>
          </w:tcPr>
          <w:p w14:paraId="300E4E4D" w14:textId="77777777" w:rsidR="009B4F8F" w:rsidRDefault="009B4F8F" w:rsidP="00E24985">
            <w:pPr>
              <w:pStyle w:val="Tablesmalltext"/>
            </w:pPr>
            <w:r>
              <w:t>Comparison of VicForests assessment of soil erosion hazard with observations of erosion within the coupe. Soil erosion hazard will be assessed using MSP methods where evidence of soil conditions and soil erosion suggests to the auditor that the initial assessment may have been incorrect or only applicable for one of multiple soil types present within the coupe.</w:t>
            </w:r>
          </w:p>
        </w:tc>
      </w:tr>
      <w:tr w:rsidR="009B4F8F" w14:paraId="76BA5748" w14:textId="77777777" w:rsidTr="00E24985">
        <w:tc>
          <w:tcPr>
            <w:tcW w:w="1535" w:type="pct"/>
          </w:tcPr>
          <w:p w14:paraId="0C29CDA8" w14:textId="77777777" w:rsidR="009B4F8F" w:rsidRDefault="009B4F8F" w:rsidP="00E74AFC">
            <w:pPr>
              <w:pStyle w:val="Tablesmallnumber"/>
              <w:numPr>
                <w:ilvl w:val="0"/>
                <w:numId w:val="77"/>
              </w:numPr>
            </w:pPr>
            <w:r>
              <w:t>Extent to which harvesting was conducted on slopes &gt;30</w:t>
            </w:r>
            <w:r>
              <w:rPr>
                <w:rFonts w:cs="Arial"/>
              </w:rPr>
              <w:t>°</w:t>
            </w:r>
            <w:r>
              <w:t xml:space="preserve"> (or &gt;25</w:t>
            </w:r>
            <w:r>
              <w:rPr>
                <w:rFonts w:cs="Arial"/>
              </w:rPr>
              <w:t>°</w:t>
            </w:r>
            <w:r>
              <w:t xml:space="preserve"> in coupes with granite soils in East Gippsland FMA).</w:t>
            </w:r>
          </w:p>
        </w:tc>
        <w:tc>
          <w:tcPr>
            <w:tcW w:w="438" w:type="pct"/>
          </w:tcPr>
          <w:p w14:paraId="3AC3505E" w14:textId="77777777" w:rsidR="009B4F8F" w:rsidRDefault="009B4F8F" w:rsidP="00E24985">
            <w:pPr>
              <w:pStyle w:val="Tablesmalltext"/>
            </w:pPr>
            <w:r>
              <w:t>4</w:t>
            </w:r>
          </w:p>
        </w:tc>
        <w:tc>
          <w:tcPr>
            <w:tcW w:w="3027" w:type="pct"/>
          </w:tcPr>
          <w:p w14:paraId="71EEF1AC" w14:textId="77777777" w:rsidR="009B4F8F" w:rsidRDefault="009B4F8F" w:rsidP="00E24985">
            <w:pPr>
              <w:pStyle w:val="Tablesmalltext"/>
            </w:pPr>
            <w:r>
              <w:t>Visual observation, using a clinometer, if required. Supported by subsequent GIS analysis using VF lidar data, if available.</w:t>
            </w:r>
          </w:p>
        </w:tc>
      </w:tr>
      <w:tr w:rsidR="009B4F8F" w14:paraId="03D98D32" w14:textId="77777777" w:rsidTr="00E24985">
        <w:tc>
          <w:tcPr>
            <w:tcW w:w="1535" w:type="pct"/>
          </w:tcPr>
          <w:p w14:paraId="65B3527A" w14:textId="77777777" w:rsidR="009B4F8F" w:rsidRDefault="009B4F8F" w:rsidP="00E74AFC">
            <w:pPr>
              <w:pStyle w:val="Tablesmallnumber"/>
              <w:numPr>
                <w:ilvl w:val="0"/>
                <w:numId w:val="77"/>
              </w:numPr>
            </w:pPr>
            <w:r>
              <w:t>Adequacy of protection provided to soils, waterways and river health.</w:t>
            </w:r>
          </w:p>
        </w:tc>
        <w:tc>
          <w:tcPr>
            <w:tcW w:w="438" w:type="pct"/>
          </w:tcPr>
          <w:p w14:paraId="2B6FECC3" w14:textId="77777777" w:rsidR="009B4F8F" w:rsidRDefault="009B4F8F" w:rsidP="00E24985">
            <w:pPr>
              <w:pStyle w:val="Tablesmalltext"/>
            </w:pPr>
            <w:r>
              <w:t>6, 7, 8</w:t>
            </w:r>
          </w:p>
        </w:tc>
        <w:tc>
          <w:tcPr>
            <w:tcW w:w="3027" w:type="pct"/>
          </w:tcPr>
          <w:p w14:paraId="7FDAB187" w14:textId="08B428E3" w:rsidR="009B4F8F" w:rsidRDefault="00931AF4" w:rsidP="00E24985">
            <w:pPr>
              <w:pStyle w:val="Tablesmalltext"/>
            </w:pPr>
            <w:r>
              <w:t xml:space="preserve">Assessed and interpreted by the </w:t>
            </w:r>
            <w:r w:rsidR="009B4F8F">
              <w:t>auditors, based on the presence of excessive disturbance and/or activities which are not compliant with elements of the regulatory framework. Considers in-coupe roads (ICR) and coupe infrastructure (snig tracks [ST] and landings).</w:t>
            </w:r>
          </w:p>
        </w:tc>
      </w:tr>
      <w:tr w:rsidR="009B4F8F" w14:paraId="12E1B9B1" w14:textId="77777777" w:rsidTr="00E24985">
        <w:tc>
          <w:tcPr>
            <w:tcW w:w="1535" w:type="pct"/>
          </w:tcPr>
          <w:p w14:paraId="4C0A6219" w14:textId="77777777" w:rsidR="009B4F8F" w:rsidRDefault="009B4F8F" w:rsidP="00E74AFC">
            <w:pPr>
              <w:pStyle w:val="Tablesmallnumber"/>
              <w:numPr>
                <w:ilvl w:val="0"/>
                <w:numId w:val="76"/>
              </w:numPr>
            </w:pPr>
            <w:r>
              <w:t>Presence of in-coupe roads or snig tracks in riparian habitats.</w:t>
            </w:r>
          </w:p>
        </w:tc>
        <w:tc>
          <w:tcPr>
            <w:tcW w:w="438" w:type="pct"/>
          </w:tcPr>
          <w:p w14:paraId="456235FE" w14:textId="77777777" w:rsidR="009B4F8F" w:rsidRDefault="009B4F8F" w:rsidP="00E24985">
            <w:pPr>
              <w:pStyle w:val="Tablesmalltext"/>
            </w:pPr>
            <w:r>
              <w:t>7</w:t>
            </w:r>
          </w:p>
        </w:tc>
        <w:tc>
          <w:tcPr>
            <w:tcW w:w="3027" w:type="pct"/>
          </w:tcPr>
          <w:p w14:paraId="63BE341A" w14:textId="77777777" w:rsidR="009B4F8F" w:rsidRDefault="009B4F8F" w:rsidP="00E24985">
            <w:pPr>
              <w:pStyle w:val="Tablesmalltext"/>
            </w:pPr>
            <w:r>
              <w:t>Visual observations and auditors’ interpretations of the reasonable practicability of alternative placements which avoided riparian areas.</w:t>
            </w:r>
          </w:p>
        </w:tc>
      </w:tr>
      <w:tr w:rsidR="009B4F8F" w14:paraId="76B8879F" w14:textId="77777777" w:rsidTr="00E24985">
        <w:tc>
          <w:tcPr>
            <w:tcW w:w="1535" w:type="pct"/>
          </w:tcPr>
          <w:p w14:paraId="789D7285" w14:textId="77777777" w:rsidR="009B4F8F" w:rsidRDefault="009B4F8F" w:rsidP="00E74AFC">
            <w:pPr>
              <w:pStyle w:val="Tablesmallnumber"/>
              <w:numPr>
                <w:ilvl w:val="0"/>
                <w:numId w:val="76"/>
              </w:numPr>
            </w:pPr>
            <w:r>
              <w:t>Waterway crossings and culverts.</w:t>
            </w:r>
          </w:p>
        </w:tc>
        <w:tc>
          <w:tcPr>
            <w:tcW w:w="438" w:type="pct"/>
          </w:tcPr>
          <w:p w14:paraId="4B3F5380" w14:textId="77777777" w:rsidR="009B4F8F" w:rsidRDefault="009B4F8F" w:rsidP="00E24985">
            <w:pPr>
              <w:pStyle w:val="Tablesmalltext"/>
            </w:pPr>
            <w:r>
              <w:t>7</w:t>
            </w:r>
          </w:p>
        </w:tc>
        <w:tc>
          <w:tcPr>
            <w:tcW w:w="3027" w:type="pct"/>
          </w:tcPr>
          <w:p w14:paraId="577320A7" w14:textId="77777777" w:rsidR="009B4F8F" w:rsidRDefault="009B4F8F" w:rsidP="00E24985">
            <w:pPr>
              <w:pStyle w:val="Tablesmalltext"/>
            </w:pPr>
            <w:r>
              <w:t>Assessment of culverts, embankments and road drainage against MSP requirements. Observations and auditors’ interpretation of crossings in which the culvert had been removed. Observations of sediment entry into the waterway.</w:t>
            </w:r>
          </w:p>
        </w:tc>
      </w:tr>
      <w:tr w:rsidR="009B4F8F" w14:paraId="2DDFDCC7" w14:textId="77777777" w:rsidTr="00E24985">
        <w:tc>
          <w:tcPr>
            <w:tcW w:w="1535" w:type="pct"/>
          </w:tcPr>
          <w:p w14:paraId="2037E09D" w14:textId="77777777" w:rsidR="009B4F8F" w:rsidRDefault="009B4F8F" w:rsidP="00E74AFC">
            <w:pPr>
              <w:pStyle w:val="Tablesmallnumber"/>
              <w:numPr>
                <w:ilvl w:val="0"/>
                <w:numId w:val="76"/>
              </w:numPr>
            </w:pPr>
            <w:r>
              <w:t>Habitat trees.</w:t>
            </w:r>
          </w:p>
        </w:tc>
        <w:tc>
          <w:tcPr>
            <w:tcW w:w="438" w:type="pct"/>
          </w:tcPr>
          <w:p w14:paraId="1AB0B8A2" w14:textId="77777777" w:rsidR="009B4F8F" w:rsidRDefault="009B4F8F" w:rsidP="00E24985">
            <w:pPr>
              <w:pStyle w:val="Tablesmalltext"/>
            </w:pPr>
            <w:r>
              <w:t>9, 10, 11, 12, 13</w:t>
            </w:r>
          </w:p>
        </w:tc>
        <w:tc>
          <w:tcPr>
            <w:tcW w:w="3027" w:type="pct"/>
          </w:tcPr>
          <w:p w14:paraId="08A7F147" w14:textId="77777777" w:rsidR="009B4F8F" w:rsidRDefault="009B4F8F" w:rsidP="00E24985">
            <w:pPr>
              <w:pStyle w:val="Tablesmalltext"/>
            </w:pPr>
            <w:r>
              <w:t xml:space="preserve">Assessment of the density and distribution of habitat trees, their location in relation to other habitat and their potential to develop hollows. </w:t>
            </w:r>
          </w:p>
        </w:tc>
      </w:tr>
      <w:tr w:rsidR="009B4F8F" w14:paraId="35415B84" w14:textId="77777777" w:rsidTr="00E24985">
        <w:tc>
          <w:tcPr>
            <w:tcW w:w="1535" w:type="pct"/>
          </w:tcPr>
          <w:p w14:paraId="002589AD" w14:textId="77777777" w:rsidR="009B4F8F" w:rsidRDefault="009B4F8F" w:rsidP="00E74AFC">
            <w:pPr>
              <w:pStyle w:val="Tablesmallnumber"/>
              <w:numPr>
                <w:ilvl w:val="0"/>
                <w:numId w:val="76"/>
              </w:numPr>
            </w:pPr>
            <w:r>
              <w:t>Linear reserve SPZ (EG only)</w:t>
            </w:r>
          </w:p>
        </w:tc>
        <w:tc>
          <w:tcPr>
            <w:tcW w:w="438" w:type="pct"/>
          </w:tcPr>
          <w:p w14:paraId="3B1F5AFC" w14:textId="77777777" w:rsidR="009B4F8F" w:rsidRDefault="009B4F8F" w:rsidP="00E24985">
            <w:pPr>
              <w:pStyle w:val="Tablesmalltext"/>
            </w:pPr>
            <w:r>
              <w:t>11, 18</w:t>
            </w:r>
          </w:p>
        </w:tc>
        <w:tc>
          <w:tcPr>
            <w:tcW w:w="3027" w:type="pct"/>
          </w:tcPr>
          <w:p w14:paraId="3CF244AC" w14:textId="77777777" w:rsidR="009B4F8F" w:rsidRDefault="009B4F8F" w:rsidP="00E24985">
            <w:pPr>
              <w:pStyle w:val="Tablesmalltext"/>
            </w:pPr>
            <w:r>
              <w:t>Appropriateness of ICR construction through SPZ linear reserve (if present), maintenance of canopy closure over road.</w:t>
            </w:r>
          </w:p>
        </w:tc>
      </w:tr>
      <w:tr w:rsidR="009B4F8F" w14:paraId="5BC84EE2" w14:textId="77777777" w:rsidTr="00E24985">
        <w:tc>
          <w:tcPr>
            <w:tcW w:w="1535" w:type="pct"/>
          </w:tcPr>
          <w:p w14:paraId="2760B969" w14:textId="77777777" w:rsidR="009B4F8F" w:rsidRDefault="009B4F8F" w:rsidP="00E74AFC">
            <w:pPr>
              <w:pStyle w:val="Tablesmallnumber"/>
              <w:numPr>
                <w:ilvl w:val="0"/>
                <w:numId w:val="76"/>
              </w:numPr>
            </w:pPr>
            <w:r>
              <w:t>If listed threatened fauna or flora are recorded as being present, whether prescribed management actions been followed.</w:t>
            </w:r>
          </w:p>
        </w:tc>
        <w:tc>
          <w:tcPr>
            <w:tcW w:w="438" w:type="pct"/>
          </w:tcPr>
          <w:p w14:paraId="44B5BE8C" w14:textId="77777777" w:rsidR="009B4F8F" w:rsidRDefault="009B4F8F" w:rsidP="00E24985">
            <w:pPr>
              <w:pStyle w:val="Tablesmalltext"/>
            </w:pPr>
            <w:r>
              <w:t>14</w:t>
            </w:r>
          </w:p>
        </w:tc>
        <w:tc>
          <w:tcPr>
            <w:tcW w:w="3027" w:type="pct"/>
          </w:tcPr>
          <w:p w14:paraId="0B5BCCB1" w14:textId="77777777" w:rsidR="009B4F8F" w:rsidRDefault="009B4F8F" w:rsidP="00E24985">
            <w:pPr>
              <w:pStyle w:val="Tablesmalltext"/>
            </w:pPr>
            <w:r>
              <w:t>Comparison of observed coupe conditions with management actions specified in the MSP Planning Standards and forest coupe plan (FCP). In EG FMA have any disturbances in SMZ follows the agreed approach?</w:t>
            </w:r>
          </w:p>
        </w:tc>
      </w:tr>
      <w:tr w:rsidR="009B4F8F" w14:paraId="0BF80138" w14:textId="77777777" w:rsidTr="00E24985">
        <w:tc>
          <w:tcPr>
            <w:tcW w:w="1535" w:type="pct"/>
          </w:tcPr>
          <w:p w14:paraId="2E8710DD" w14:textId="77777777" w:rsidR="009B4F8F" w:rsidRDefault="009B4F8F" w:rsidP="00E74AFC">
            <w:pPr>
              <w:pStyle w:val="Tablesmallnumber"/>
              <w:numPr>
                <w:ilvl w:val="0"/>
                <w:numId w:val="76"/>
              </w:numPr>
            </w:pPr>
            <w:r>
              <w:t>Harvesting in Box Ironbark forests in Gippsland and EG FMAs</w:t>
            </w:r>
          </w:p>
        </w:tc>
        <w:tc>
          <w:tcPr>
            <w:tcW w:w="438" w:type="pct"/>
          </w:tcPr>
          <w:p w14:paraId="0E9EC32F" w14:textId="77777777" w:rsidR="009B4F8F" w:rsidRDefault="009B4F8F" w:rsidP="00E24985">
            <w:pPr>
              <w:pStyle w:val="Tablesmalltext"/>
            </w:pPr>
            <w:r>
              <w:t>15</w:t>
            </w:r>
          </w:p>
        </w:tc>
        <w:tc>
          <w:tcPr>
            <w:tcW w:w="3027" w:type="pct"/>
          </w:tcPr>
          <w:p w14:paraId="7BB28DD4" w14:textId="77777777" w:rsidR="009B4F8F" w:rsidRDefault="009B4F8F" w:rsidP="00E24985">
            <w:pPr>
              <w:pStyle w:val="Tablesmalltext"/>
            </w:pPr>
            <w:r>
              <w:t>Exclusion of selective harvesting, regeneration approach.</w:t>
            </w:r>
          </w:p>
        </w:tc>
      </w:tr>
      <w:tr w:rsidR="009B4F8F" w14:paraId="5C815961" w14:textId="77777777" w:rsidTr="00E24985">
        <w:tc>
          <w:tcPr>
            <w:tcW w:w="1535" w:type="pct"/>
          </w:tcPr>
          <w:p w14:paraId="445376EB" w14:textId="77777777" w:rsidR="009B4F8F" w:rsidRDefault="009B4F8F" w:rsidP="00E74AFC">
            <w:pPr>
              <w:pStyle w:val="Tablesmallnumber"/>
              <w:numPr>
                <w:ilvl w:val="0"/>
                <w:numId w:val="76"/>
              </w:numPr>
            </w:pPr>
            <w:r>
              <w:t>Harvesting and/or road construction in or near heathland or montane riparian thicket (MRT) if present within or near the coupe.</w:t>
            </w:r>
          </w:p>
        </w:tc>
        <w:tc>
          <w:tcPr>
            <w:tcW w:w="438" w:type="pct"/>
          </w:tcPr>
          <w:p w14:paraId="5105EA57" w14:textId="77777777" w:rsidR="009B4F8F" w:rsidRDefault="009B4F8F" w:rsidP="00E24985">
            <w:pPr>
              <w:pStyle w:val="Tablesmalltext"/>
            </w:pPr>
            <w:r>
              <w:t>16</w:t>
            </w:r>
          </w:p>
        </w:tc>
        <w:tc>
          <w:tcPr>
            <w:tcW w:w="3027" w:type="pct"/>
          </w:tcPr>
          <w:p w14:paraId="6AFBE4B1" w14:textId="77777777" w:rsidR="009B4F8F" w:rsidRDefault="009B4F8F" w:rsidP="00E24985">
            <w:pPr>
              <w:pStyle w:val="Tablesmalltext"/>
            </w:pPr>
            <w:r>
              <w:t>Confirmation of the presence of the vegetation community and observation of its proximity to ICRs. Auditors’ assessment as to the reasonable practicability of alternative road location if the road entered the protected vegetation community. Presence of harvesting in or in proximity to heathlands or MRT.</w:t>
            </w:r>
          </w:p>
        </w:tc>
      </w:tr>
      <w:tr w:rsidR="009B4F8F" w14:paraId="768C7A7A" w14:textId="77777777" w:rsidTr="00E24985">
        <w:tc>
          <w:tcPr>
            <w:tcW w:w="1535" w:type="pct"/>
          </w:tcPr>
          <w:p w14:paraId="694EBA79" w14:textId="77777777" w:rsidR="009B4F8F" w:rsidRDefault="009B4F8F" w:rsidP="00E74AFC">
            <w:pPr>
              <w:pStyle w:val="Tablesmallnumber"/>
              <w:numPr>
                <w:ilvl w:val="0"/>
                <w:numId w:val="76"/>
              </w:numPr>
            </w:pPr>
            <w:r>
              <w:t>Old growth forest (OGF)</w:t>
            </w:r>
          </w:p>
        </w:tc>
        <w:tc>
          <w:tcPr>
            <w:tcW w:w="438" w:type="pct"/>
          </w:tcPr>
          <w:p w14:paraId="0C54A4CD" w14:textId="77777777" w:rsidR="009B4F8F" w:rsidRDefault="009B4F8F" w:rsidP="00E24985">
            <w:pPr>
              <w:pStyle w:val="Tablesmalltext"/>
            </w:pPr>
            <w:r>
              <w:t>17</w:t>
            </w:r>
          </w:p>
        </w:tc>
        <w:tc>
          <w:tcPr>
            <w:tcW w:w="3027" w:type="pct"/>
          </w:tcPr>
          <w:p w14:paraId="26431514" w14:textId="77777777" w:rsidR="009B4F8F" w:rsidRDefault="009B4F8F" w:rsidP="00E24985">
            <w:pPr>
              <w:pStyle w:val="Tablesmalltext"/>
            </w:pPr>
            <w:r>
              <w:t>Provision of buffers around verified OGF within Leadbeater’s Possum (LBP) range.</w:t>
            </w:r>
          </w:p>
        </w:tc>
      </w:tr>
      <w:tr w:rsidR="009B4F8F" w14:paraId="566F7A7A" w14:textId="77777777" w:rsidTr="00E24985">
        <w:tc>
          <w:tcPr>
            <w:tcW w:w="1535" w:type="pct"/>
          </w:tcPr>
          <w:p w14:paraId="06438ED6" w14:textId="77777777" w:rsidR="009B4F8F" w:rsidRDefault="009B4F8F" w:rsidP="00E74AFC">
            <w:pPr>
              <w:pStyle w:val="Tablesmallnumber"/>
              <w:numPr>
                <w:ilvl w:val="0"/>
                <w:numId w:val="76"/>
              </w:numPr>
            </w:pPr>
            <w:r>
              <w:t>Rainforest buffers.</w:t>
            </w:r>
          </w:p>
        </w:tc>
        <w:tc>
          <w:tcPr>
            <w:tcW w:w="438" w:type="pct"/>
          </w:tcPr>
          <w:p w14:paraId="68CB6C99" w14:textId="77777777" w:rsidR="009B4F8F" w:rsidRDefault="009B4F8F" w:rsidP="00E24985">
            <w:pPr>
              <w:pStyle w:val="Tablesmalltext"/>
            </w:pPr>
            <w:r>
              <w:t>18</w:t>
            </w:r>
          </w:p>
        </w:tc>
        <w:tc>
          <w:tcPr>
            <w:tcW w:w="3027" w:type="pct"/>
          </w:tcPr>
          <w:p w14:paraId="5F122703" w14:textId="77777777" w:rsidR="009B4F8F" w:rsidRDefault="009B4F8F" w:rsidP="00E24985">
            <w:pPr>
              <w:pStyle w:val="Tablesmalltext"/>
            </w:pPr>
            <w:r>
              <w:t>Identification of rainforest stands, as per MSP definitions. Assessment of provision of any required buffers as per MSP compliance requirements. Assessed for up to 600 m length of rainforest boundary in each coupe.</w:t>
            </w:r>
          </w:p>
        </w:tc>
      </w:tr>
      <w:tr w:rsidR="009B4F8F" w14:paraId="30B2948D" w14:textId="77777777" w:rsidTr="00E24985">
        <w:tc>
          <w:tcPr>
            <w:tcW w:w="1535" w:type="pct"/>
          </w:tcPr>
          <w:p w14:paraId="0DBA72BD" w14:textId="77777777" w:rsidR="009B4F8F" w:rsidRDefault="009B4F8F" w:rsidP="00E74AFC">
            <w:pPr>
              <w:pStyle w:val="Tablesmallnumber"/>
              <w:numPr>
                <w:ilvl w:val="0"/>
                <w:numId w:val="76"/>
              </w:numPr>
            </w:pPr>
            <w:r>
              <w:t>Protection of exclusion areas</w:t>
            </w:r>
          </w:p>
        </w:tc>
        <w:tc>
          <w:tcPr>
            <w:tcW w:w="438" w:type="pct"/>
          </w:tcPr>
          <w:p w14:paraId="44D07D06" w14:textId="77777777" w:rsidR="009B4F8F" w:rsidRDefault="009B4F8F" w:rsidP="00E24985">
            <w:pPr>
              <w:pStyle w:val="Tablesmalltext"/>
            </w:pPr>
            <w:r>
              <w:t>19, 31</w:t>
            </w:r>
          </w:p>
        </w:tc>
        <w:tc>
          <w:tcPr>
            <w:tcW w:w="3027" w:type="pct"/>
          </w:tcPr>
          <w:p w14:paraId="0D592A25" w14:textId="77777777" w:rsidR="009B4F8F" w:rsidRDefault="009B4F8F" w:rsidP="00E24985">
            <w:pPr>
              <w:pStyle w:val="Tablesmalltext"/>
            </w:pPr>
            <w:r>
              <w:t>Identification and assessment of any effect of harvesting operation (including roading, regeneration burning and machinery movement) on exclusion areas, including SPZ.</w:t>
            </w:r>
          </w:p>
        </w:tc>
      </w:tr>
      <w:tr w:rsidR="009B4F8F" w14:paraId="176A8662" w14:textId="77777777" w:rsidTr="00E24985">
        <w:tc>
          <w:tcPr>
            <w:tcW w:w="1535" w:type="pct"/>
          </w:tcPr>
          <w:p w14:paraId="4DF9A729" w14:textId="77777777" w:rsidR="009B4F8F" w:rsidRDefault="009B4F8F" w:rsidP="00E74AFC">
            <w:pPr>
              <w:pStyle w:val="Tablesmallnumber"/>
              <w:numPr>
                <w:ilvl w:val="0"/>
                <w:numId w:val="77"/>
              </w:numPr>
            </w:pPr>
            <w:r>
              <w:t>Myrtle Wilt risk.</w:t>
            </w:r>
          </w:p>
        </w:tc>
        <w:tc>
          <w:tcPr>
            <w:tcW w:w="438" w:type="pct"/>
          </w:tcPr>
          <w:p w14:paraId="7D8EA3BC" w14:textId="77777777" w:rsidR="009B4F8F" w:rsidRDefault="009B4F8F" w:rsidP="00E24985">
            <w:pPr>
              <w:pStyle w:val="Tablesmalltext"/>
            </w:pPr>
            <w:r>
              <w:t>21</w:t>
            </w:r>
          </w:p>
        </w:tc>
        <w:tc>
          <w:tcPr>
            <w:tcW w:w="3027" w:type="pct"/>
          </w:tcPr>
          <w:p w14:paraId="642C6D50" w14:textId="77777777" w:rsidR="009B4F8F" w:rsidRDefault="009B4F8F" w:rsidP="00E24985">
            <w:pPr>
              <w:pStyle w:val="Tablesmalltext"/>
            </w:pPr>
            <w:r>
              <w:t>Observation of harvesting related damage to or wounding of Myrtle Beech trees, in applicable coupes.</w:t>
            </w:r>
          </w:p>
        </w:tc>
      </w:tr>
      <w:tr w:rsidR="009B4F8F" w14:paraId="6E1EDDDB" w14:textId="77777777" w:rsidTr="00E24985">
        <w:tc>
          <w:tcPr>
            <w:tcW w:w="1535" w:type="pct"/>
          </w:tcPr>
          <w:p w14:paraId="6CB21BCA" w14:textId="77777777" w:rsidR="009B4F8F" w:rsidRDefault="009B4F8F" w:rsidP="00E74AFC">
            <w:pPr>
              <w:pStyle w:val="Tablesmallnumber"/>
              <w:numPr>
                <w:ilvl w:val="0"/>
                <w:numId w:val="77"/>
              </w:numPr>
            </w:pPr>
            <w:r>
              <w:t>In-coupe road clearing width.</w:t>
            </w:r>
          </w:p>
        </w:tc>
        <w:tc>
          <w:tcPr>
            <w:tcW w:w="438" w:type="pct"/>
          </w:tcPr>
          <w:p w14:paraId="07E10B73" w14:textId="77777777" w:rsidR="009B4F8F" w:rsidRDefault="009B4F8F" w:rsidP="00E24985">
            <w:pPr>
              <w:pStyle w:val="Tablesmalltext"/>
            </w:pPr>
            <w:r>
              <w:t>23</w:t>
            </w:r>
          </w:p>
        </w:tc>
        <w:tc>
          <w:tcPr>
            <w:tcW w:w="3027" w:type="pct"/>
          </w:tcPr>
          <w:p w14:paraId="5F80E004" w14:textId="77777777" w:rsidR="009B4F8F" w:rsidRDefault="009B4F8F" w:rsidP="00E24985">
            <w:pPr>
              <w:pStyle w:val="Tablesmalltext"/>
            </w:pPr>
            <w:r>
              <w:t>For in-coupe roads through retained vegetation, assess whether clearing width was consistent with MSP requirements.</w:t>
            </w:r>
          </w:p>
        </w:tc>
      </w:tr>
      <w:tr w:rsidR="009B4F8F" w14:paraId="1A3F04DA" w14:textId="77777777" w:rsidTr="00E24985">
        <w:tc>
          <w:tcPr>
            <w:tcW w:w="1535" w:type="pct"/>
          </w:tcPr>
          <w:p w14:paraId="313203AF" w14:textId="77777777" w:rsidR="009B4F8F" w:rsidRDefault="009B4F8F" w:rsidP="00E74AFC">
            <w:pPr>
              <w:pStyle w:val="Tablesmallnumber"/>
              <w:numPr>
                <w:ilvl w:val="0"/>
                <w:numId w:val="77"/>
              </w:numPr>
            </w:pPr>
            <w:r>
              <w:t>In-coupe road construction</w:t>
            </w:r>
          </w:p>
        </w:tc>
        <w:tc>
          <w:tcPr>
            <w:tcW w:w="438" w:type="pct"/>
          </w:tcPr>
          <w:p w14:paraId="66C4246B" w14:textId="77777777" w:rsidR="009B4F8F" w:rsidRDefault="009B4F8F" w:rsidP="00E24985">
            <w:pPr>
              <w:pStyle w:val="Tablesmalltext"/>
            </w:pPr>
            <w:r>
              <w:t>24, 26</w:t>
            </w:r>
          </w:p>
        </w:tc>
        <w:tc>
          <w:tcPr>
            <w:tcW w:w="3027" w:type="pct"/>
          </w:tcPr>
          <w:p w14:paraId="0DB60087" w14:textId="77777777" w:rsidR="009B4F8F" w:rsidRDefault="009B4F8F" w:rsidP="00E24985">
            <w:pPr>
              <w:pStyle w:val="Tablesmalltext"/>
            </w:pPr>
            <w:r>
              <w:t xml:space="preserve">Assessment of whether road construction follows any documented plan or design. Identification of any evidence that road construction was inconsistent </w:t>
            </w:r>
            <w:r>
              <w:lastRenderedPageBreak/>
              <w:t>with need to minimise risk of erosion and water quality impact. Identification of any evidence that table drains were constructed by subsequent excavation. Assessment of the appropriateness of the intensity of earthworks for ICRs. Observation and auditors’ interpretation of the adequacy of road maintenance and any road closure works.</w:t>
            </w:r>
          </w:p>
        </w:tc>
      </w:tr>
      <w:tr w:rsidR="009B4F8F" w14:paraId="220A201D" w14:textId="77777777" w:rsidTr="00E24985">
        <w:tc>
          <w:tcPr>
            <w:tcW w:w="1535" w:type="pct"/>
          </w:tcPr>
          <w:p w14:paraId="7EA9CF72" w14:textId="77777777" w:rsidR="009B4F8F" w:rsidRDefault="009B4F8F" w:rsidP="00E74AFC">
            <w:pPr>
              <w:pStyle w:val="Tablesmallnumber"/>
              <w:numPr>
                <w:ilvl w:val="0"/>
                <w:numId w:val="77"/>
              </w:numPr>
            </w:pPr>
            <w:r>
              <w:lastRenderedPageBreak/>
              <w:t>Fill batters</w:t>
            </w:r>
          </w:p>
        </w:tc>
        <w:tc>
          <w:tcPr>
            <w:tcW w:w="438" w:type="pct"/>
          </w:tcPr>
          <w:p w14:paraId="538847B7" w14:textId="77777777" w:rsidR="009B4F8F" w:rsidRDefault="009B4F8F" w:rsidP="00E24985">
            <w:pPr>
              <w:pStyle w:val="Tablesmalltext"/>
            </w:pPr>
            <w:r>
              <w:t>25</w:t>
            </w:r>
          </w:p>
        </w:tc>
        <w:tc>
          <w:tcPr>
            <w:tcW w:w="3027" w:type="pct"/>
          </w:tcPr>
          <w:p w14:paraId="2E3428B3" w14:textId="77777777" w:rsidR="009B4F8F" w:rsidRDefault="009B4F8F" w:rsidP="00E24985">
            <w:pPr>
              <w:pStyle w:val="Tablesmalltext"/>
            </w:pPr>
            <w:r>
              <w:t>Evidence of soil movement and instability. Observation of instances where fill batters cover parts or all of base of live trees to be retained post-harvest.</w:t>
            </w:r>
          </w:p>
        </w:tc>
      </w:tr>
      <w:tr w:rsidR="009B4F8F" w14:paraId="55DF8971" w14:textId="77777777" w:rsidTr="00E24985">
        <w:tc>
          <w:tcPr>
            <w:tcW w:w="1535" w:type="pct"/>
          </w:tcPr>
          <w:p w14:paraId="797EBE24" w14:textId="77777777" w:rsidR="009B4F8F" w:rsidRDefault="009B4F8F" w:rsidP="00E74AFC">
            <w:pPr>
              <w:pStyle w:val="Tablesmallnumber"/>
              <w:numPr>
                <w:ilvl w:val="0"/>
                <w:numId w:val="77"/>
              </w:numPr>
            </w:pPr>
            <w:r>
              <w:t>Road drainage</w:t>
            </w:r>
          </w:p>
        </w:tc>
        <w:tc>
          <w:tcPr>
            <w:tcW w:w="438" w:type="pct"/>
          </w:tcPr>
          <w:p w14:paraId="0E516178" w14:textId="77777777" w:rsidR="009B4F8F" w:rsidRDefault="009B4F8F" w:rsidP="00E24985">
            <w:pPr>
              <w:pStyle w:val="Tablesmalltext"/>
            </w:pPr>
            <w:r>
              <w:t>26</w:t>
            </w:r>
          </w:p>
        </w:tc>
        <w:tc>
          <w:tcPr>
            <w:tcW w:w="3027" w:type="pct"/>
          </w:tcPr>
          <w:p w14:paraId="6314EBC5" w14:textId="77777777" w:rsidR="009B4F8F" w:rsidRDefault="009B4F8F" w:rsidP="00E24985">
            <w:pPr>
              <w:pStyle w:val="Tablesmalltext"/>
            </w:pPr>
            <w:r>
              <w:t xml:space="preserve">Compliance with MSP drain spacing requirements, based on soil erosion hazard and gradient, for full length of in-coupe road. Assessment of effectiveness of drainage and appropriateness of drainage disposal, considering Code and MSP requirements. </w:t>
            </w:r>
          </w:p>
          <w:p w14:paraId="34A5C0BB" w14:textId="77777777" w:rsidR="009B4F8F" w:rsidRDefault="009B4F8F" w:rsidP="00E24985">
            <w:pPr>
              <w:pStyle w:val="Tablesmalltext"/>
            </w:pPr>
            <w:r>
              <w:t>Conformance of culvert construction and management with MSP requirements.</w:t>
            </w:r>
          </w:p>
        </w:tc>
      </w:tr>
      <w:tr w:rsidR="009B4F8F" w14:paraId="69B69541" w14:textId="77777777" w:rsidTr="00E24985">
        <w:tc>
          <w:tcPr>
            <w:tcW w:w="1535" w:type="pct"/>
          </w:tcPr>
          <w:p w14:paraId="7BA8A723" w14:textId="77777777" w:rsidR="009B4F8F" w:rsidRDefault="009B4F8F" w:rsidP="00E74AFC">
            <w:pPr>
              <w:pStyle w:val="Tablesmallnumber"/>
              <w:numPr>
                <w:ilvl w:val="0"/>
                <w:numId w:val="77"/>
              </w:numPr>
            </w:pPr>
            <w:r>
              <w:t>Disturbance to stream beds</w:t>
            </w:r>
          </w:p>
        </w:tc>
        <w:tc>
          <w:tcPr>
            <w:tcW w:w="438" w:type="pct"/>
          </w:tcPr>
          <w:p w14:paraId="1020E9EC" w14:textId="77777777" w:rsidR="009B4F8F" w:rsidRDefault="009B4F8F" w:rsidP="00E24985">
            <w:pPr>
              <w:pStyle w:val="Tablesmalltext"/>
            </w:pPr>
            <w:r>
              <w:t>27</w:t>
            </w:r>
          </w:p>
        </w:tc>
        <w:tc>
          <w:tcPr>
            <w:tcW w:w="3027" w:type="pct"/>
          </w:tcPr>
          <w:p w14:paraId="59BAAE1E" w14:textId="77777777" w:rsidR="009B4F8F" w:rsidRDefault="009B4F8F" w:rsidP="00E24985">
            <w:pPr>
              <w:pStyle w:val="Tablesmalltext"/>
            </w:pPr>
            <w:r>
              <w:t>Appropriateness and avoidability of disturbance to stream beds during and following waterway crossing (WWX) construction and removal.</w:t>
            </w:r>
          </w:p>
        </w:tc>
      </w:tr>
      <w:tr w:rsidR="009B4F8F" w14:paraId="1096131B" w14:textId="77777777" w:rsidTr="00E24985">
        <w:tc>
          <w:tcPr>
            <w:tcW w:w="1535" w:type="pct"/>
          </w:tcPr>
          <w:p w14:paraId="1C88CF15" w14:textId="77777777" w:rsidR="009B4F8F" w:rsidRDefault="009B4F8F" w:rsidP="00E74AFC">
            <w:pPr>
              <w:pStyle w:val="Tablesmallnumber"/>
              <w:numPr>
                <w:ilvl w:val="0"/>
                <w:numId w:val="77"/>
              </w:numPr>
            </w:pPr>
            <w:r>
              <w:t>ICR and (WWX) closure</w:t>
            </w:r>
          </w:p>
        </w:tc>
        <w:tc>
          <w:tcPr>
            <w:tcW w:w="438" w:type="pct"/>
          </w:tcPr>
          <w:p w14:paraId="477D24C2" w14:textId="77777777" w:rsidR="009B4F8F" w:rsidRDefault="009B4F8F" w:rsidP="00E24985">
            <w:pPr>
              <w:pStyle w:val="Tablesmalltext"/>
            </w:pPr>
            <w:r>
              <w:t>28</w:t>
            </w:r>
          </w:p>
        </w:tc>
        <w:tc>
          <w:tcPr>
            <w:tcW w:w="3027" w:type="pct"/>
          </w:tcPr>
          <w:p w14:paraId="26F7EEEF" w14:textId="77777777" w:rsidR="009B4F8F" w:rsidRDefault="009B4F8F" w:rsidP="00E24985">
            <w:pPr>
              <w:pStyle w:val="Tablesmalltext"/>
            </w:pPr>
            <w:r>
              <w:t>Have any WWXs that are no longer required been removed and rehabilitated as per MSP requirements. Has an ICR that is no longer required been closed permanently?</w:t>
            </w:r>
          </w:p>
        </w:tc>
      </w:tr>
      <w:tr w:rsidR="009B4F8F" w14:paraId="3C9119C6" w14:textId="77777777" w:rsidTr="00E24985">
        <w:tc>
          <w:tcPr>
            <w:tcW w:w="1535" w:type="pct"/>
          </w:tcPr>
          <w:p w14:paraId="6867A2D6" w14:textId="77777777" w:rsidR="009B4F8F" w:rsidRDefault="009B4F8F" w:rsidP="00E74AFC">
            <w:pPr>
              <w:pStyle w:val="Tablesmallnumber"/>
              <w:numPr>
                <w:ilvl w:val="0"/>
                <w:numId w:val="77"/>
              </w:numPr>
            </w:pPr>
            <w:r>
              <w:t>Coupe management</w:t>
            </w:r>
          </w:p>
        </w:tc>
        <w:tc>
          <w:tcPr>
            <w:tcW w:w="438" w:type="pct"/>
          </w:tcPr>
          <w:p w14:paraId="6ADED623" w14:textId="77777777" w:rsidR="009B4F8F" w:rsidRDefault="009B4F8F" w:rsidP="00E24985">
            <w:pPr>
              <w:pStyle w:val="Tablesmalltext"/>
            </w:pPr>
            <w:r>
              <w:t>30</w:t>
            </w:r>
          </w:p>
        </w:tc>
        <w:tc>
          <w:tcPr>
            <w:tcW w:w="3027" w:type="pct"/>
          </w:tcPr>
          <w:p w14:paraId="01C9FA39" w14:textId="77777777" w:rsidR="009B4F8F" w:rsidRDefault="009B4F8F" w:rsidP="00E24985">
            <w:pPr>
              <w:pStyle w:val="Tablesmalltext"/>
            </w:pPr>
            <w:r>
              <w:t>Observation of the consistency between the FCP and the timber harvesting operation.</w:t>
            </w:r>
          </w:p>
        </w:tc>
      </w:tr>
      <w:tr w:rsidR="009B4F8F" w14:paraId="048219BD" w14:textId="77777777" w:rsidTr="00E24985">
        <w:tc>
          <w:tcPr>
            <w:tcW w:w="1535" w:type="pct"/>
          </w:tcPr>
          <w:p w14:paraId="25969C32" w14:textId="77777777" w:rsidR="009B4F8F" w:rsidRDefault="009B4F8F" w:rsidP="00E74AFC">
            <w:pPr>
              <w:pStyle w:val="Tablesmallnumber"/>
              <w:numPr>
                <w:ilvl w:val="0"/>
                <w:numId w:val="77"/>
              </w:numPr>
            </w:pPr>
            <w:r>
              <w:t>Coupe infrastructure</w:t>
            </w:r>
          </w:p>
        </w:tc>
        <w:tc>
          <w:tcPr>
            <w:tcW w:w="438" w:type="pct"/>
          </w:tcPr>
          <w:p w14:paraId="1DF2FDC9" w14:textId="77777777" w:rsidR="009B4F8F" w:rsidRDefault="009B4F8F" w:rsidP="00E24985">
            <w:pPr>
              <w:pStyle w:val="Tablesmalltext"/>
            </w:pPr>
            <w:r>
              <w:t>32</w:t>
            </w:r>
          </w:p>
        </w:tc>
        <w:tc>
          <w:tcPr>
            <w:tcW w:w="3027" w:type="pct"/>
          </w:tcPr>
          <w:p w14:paraId="0DFED6C6" w14:textId="77777777" w:rsidR="009B4F8F" w:rsidRDefault="009B4F8F" w:rsidP="00E24985">
            <w:pPr>
              <w:pStyle w:val="Tablesmalltext"/>
            </w:pPr>
            <w:r>
              <w:t>Assess if ST have been progressively rehabilitated and rehabilitated in a way that prevents soil movement into streams and consistent with MSP requirements. Assess adequacy of ST and boundary track (BT) drainage and its conformance to MSP requirements. Assess up to 400 m length (each) of ST and BT. Assess adequacy of landing rehabilitation, including removal of cording, bark and slash.</w:t>
            </w:r>
          </w:p>
        </w:tc>
      </w:tr>
    </w:tbl>
    <w:p w14:paraId="0E2216CB" w14:textId="28782D1C" w:rsidR="009B4F8F" w:rsidRDefault="009B4F8F" w:rsidP="009B4F8F">
      <w:pPr>
        <w:pStyle w:val="Para0"/>
      </w:pPr>
      <w:r>
        <w:t xml:space="preserve">Field assessments were also carried out in the 10 target regeneration coupes, based on the procedures outlined in </w:t>
      </w:r>
      <w:r>
        <w:fldChar w:fldCharType="begin" w:fldLock="1"/>
      </w:r>
      <w:r>
        <w:instrText xml:space="preserve"> REF _Ref4758712 \h </w:instrText>
      </w:r>
      <w:r>
        <w:fldChar w:fldCharType="separate"/>
      </w:r>
      <w:r w:rsidR="005544E2" w:rsidRPr="009038E7">
        <w:t>Table</w:t>
      </w:r>
      <w:r w:rsidR="005544E2">
        <w:t xml:space="preserve"> </w:t>
      </w:r>
      <w:r w:rsidR="005544E2">
        <w:rPr>
          <w:noProof/>
        </w:rPr>
        <w:t>3</w:t>
      </w:r>
      <w:r w:rsidR="005544E2">
        <w:t>.</w:t>
      </w:r>
      <w:r w:rsidR="005544E2">
        <w:rPr>
          <w:noProof/>
        </w:rPr>
        <w:t>6</w:t>
      </w:r>
      <w:r>
        <w:fldChar w:fldCharType="end"/>
      </w:r>
      <w:r>
        <w:t>. GPS were again used, in most cases, to track the field team’s movements through the coupe.</w:t>
      </w:r>
    </w:p>
    <w:p w14:paraId="4CD126E3" w14:textId="01A4945B" w:rsidR="009B4F8F" w:rsidRDefault="009B4F8F" w:rsidP="009B4F8F">
      <w:pPr>
        <w:pStyle w:val="Caption"/>
      </w:pPr>
      <w:bookmarkStart w:id="55" w:name="_Ref4758712"/>
      <w:r w:rsidRPr="009038E7">
        <w:t>Table</w:t>
      </w:r>
      <w:r>
        <w:t xml:space="preserve"> </w:t>
      </w:r>
      <w:r w:rsidR="0013561C">
        <w:fldChar w:fldCharType="begin" w:fldLock="1"/>
      </w:r>
      <w:r w:rsidR="0013561C">
        <w:instrText xml:space="preserve"> STYLEREF 1 \s </w:instrText>
      </w:r>
      <w:r w:rsidR="0013561C">
        <w:fldChar w:fldCharType="separate"/>
      </w:r>
      <w:r w:rsidR="005544E2">
        <w:rPr>
          <w:noProof/>
        </w:rPr>
        <w:t>3</w:t>
      </w:r>
      <w:r w:rsidR="0013561C">
        <w:rPr>
          <w:noProof/>
        </w:rPr>
        <w:fldChar w:fldCharType="end"/>
      </w:r>
      <w:r>
        <w:t>.</w:t>
      </w:r>
      <w:r w:rsidR="0013561C">
        <w:fldChar w:fldCharType="begin"/>
      </w:r>
      <w:r w:rsidR="0013561C">
        <w:instrText xml:space="preserve"> SEQ Table \* ARABIC \s 1 </w:instrText>
      </w:r>
      <w:r w:rsidR="0013561C">
        <w:fldChar w:fldCharType="separate"/>
      </w:r>
      <w:r w:rsidR="007E0985">
        <w:rPr>
          <w:noProof/>
        </w:rPr>
        <w:t>6</w:t>
      </w:r>
      <w:r w:rsidR="0013561C">
        <w:rPr>
          <w:noProof/>
        </w:rPr>
        <w:fldChar w:fldCharType="end"/>
      </w:r>
      <w:bookmarkEnd w:id="55"/>
      <w:r w:rsidRPr="009038E7">
        <w:t xml:space="preserve"> </w:t>
      </w:r>
      <w:r>
        <w:t>Field assessment methods for regeneration coupes</w:t>
      </w:r>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927"/>
        <w:gridCol w:w="835"/>
        <w:gridCol w:w="5772"/>
      </w:tblGrid>
      <w:tr w:rsidR="009B4F8F" w:rsidRPr="00FA0161" w14:paraId="6C7B9FD5" w14:textId="77777777" w:rsidTr="000E5F1E">
        <w:trPr>
          <w:tblHeader/>
        </w:trPr>
        <w:tc>
          <w:tcPr>
            <w:tcW w:w="1535" w:type="pct"/>
            <w:shd w:val="clear" w:color="auto" w:fill="E5E5E5" w:themeFill="background2"/>
          </w:tcPr>
          <w:p w14:paraId="0ECDB4B3" w14:textId="77777777" w:rsidR="009B4F8F" w:rsidRPr="00FA0161" w:rsidRDefault="009B4F8F" w:rsidP="00E24985">
            <w:pPr>
              <w:pStyle w:val="Tablesmalltext"/>
              <w:rPr>
                <w:b/>
              </w:rPr>
            </w:pPr>
            <w:bookmarkStart w:id="56" w:name="_Hlk5170924"/>
            <w:r>
              <w:rPr>
                <w:b/>
              </w:rPr>
              <w:t>Attribute being assessed</w:t>
            </w:r>
          </w:p>
        </w:tc>
        <w:tc>
          <w:tcPr>
            <w:tcW w:w="438" w:type="pct"/>
            <w:shd w:val="clear" w:color="auto" w:fill="E5E5E5" w:themeFill="background2"/>
          </w:tcPr>
          <w:p w14:paraId="0499EF87" w14:textId="77777777" w:rsidR="009B4F8F" w:rsidRDefault="009B4F8F" w:rsidP="00E24985">
            <w:pPr>
              <w:pStyle w:val="Tablesmalltext"/>
              <w:rPr>
                <w:b/>
              </w:rPr>
            </w:pPr>
            <w:r>
              <w:rPr>
                <w:b/>
              </w:rPr>
              <w:t>Criteria</w:t>
            </w:r>
          </w:p>
        </w:tc>
        <w:tc>
          <w:tcPr>
            <w:tcW w:w="3028" w:type="pct"/>
            <w:shd w:val="clear" w:color="auto" w:fill="E5E5E5" w:themeFill="background2"/>
          </w:tcPr>
          <w:p w14:paraId="2086BFDF" w14:textId="77777777" w:rsidR="009B4F8F" w:rsidRPr="00FA0161" w:rsidRDefault="009B4F8F" w:rsidP="00E24985">
            <w:pPr>
              <w:pStyle w:val="Tablesmalltext"/>
              <w:rPr>
                <w:b/>
              </w:rPr>
            </w:pPr>
            <w:r>
              <w:rPr>
                <w:b/>
              </w:rPr>
              <w:t>Method</w:t>
            </w:r>
          </w:p>
        </w:tc>
      </w:tr>
      <w:tr w:rsidR="009B4F8F" w14:paraId="731D7314" w14:textId="77777777" w:rsidTr="00E24985">
        <w:tc>
          <w:tcPr>
            <w:tcW w:w="1535" w:type="pct"/>
          </w:tcPr>
          <w:p w14:paraId="5DAF95B4" w14:textId="77777777" w:rsidR="009B4F8F" w:rsidRDefault="009B4F8F" w:rsidP="00E74AFC">
            <w:pPr>
              <w:pStyle w:val="Tablesmallnumber"/>
              <w:numPr>
                <w:ilvl w:val="0"/>
                <w:numId w:val="78"/>
              </w:numPr>
            </w:pPr>
            <w:r>
              <w:t>Coupe stocking</w:t>
            </w:r>
          </w:p>
        </w:tc>
        <w:tc>
          <w:tcPr>
            <w:tcW w:w="438" w:type="pct"/>
          </w:tcPr>
          <w:p w14:paraId="340F06D0" w14:textId="77777777" w:rsidR="009B4F8F" w:rsidRDefault="009B4F8F" w:rsidP="00E24985">
            <w:pPr>
              <w:pStyle w:val="Tablesmalltext"/>
            </w:pPr>
            <w:r>
              <w:t>33</w:t>
            </w:r>
          </w:p>
        </w:tc>
        <w:tc>
          <w:tcPr>
            <w:tcW w:w="3028" w:type="pct"/>
          </w:tcPr>
          <w:p w14:paraId="3F852D08" w14:textId="3D546FFC" w:rsidR="009B4F8F" w:rsidRDefault="00931AF4" w:rsidP="00E24985">
            <w:pPr>
              <w:pStyle w:val="Tablesmalltext"/>
            </w:pPr>
            <w:r>
              <w:t>Success of coupe regeneration</w:t>
            </w:r>
            <w:r w:rsidR="009B4F8F">
              <w:t xml:space="preserve"> compared with MSP requirements. Stocking assessed at a minimum of 50 random locations in each coupe, using 2.27 m radius sampling plots.</w:t>
            </w:r>
          </w:p>
        </w:tc>
      </w:tr>
      <w:tr w:rsidR="009B4F8F" w14:paraId="0A79F851" w14:textId="77777777" w:rsidTr="00E24985">
        <w:tc>
          <w:tcPr>
            <w:tcW w:w="1535" w:type="pct"/>
          </w:tcPr>
          <w:p w14:paraId="4BD4CB0A" w14:textId="77777777" w:rsidR="009B4F8F" w:rsidRDefault="009B4F8F" w:rsidP="00E74AFC">
            <w:pPr>
              <w:pStyle w:val="Tablesmallnumber"/>
              <w:numPr>
                <w:ilvl w:val="0"/>
                <w:numId w:val="78"/>
              </w:numPr>
            </w:pPr>
            <w:r>
              <w:t>Protection of harvest exclusion areas</w:t>
            </w:r>
          </w:p>
        </w:tc>
        <w:tc>
          <w:tcPr>
            <w:tcW w:w="438" w:type="pct"/>
          </w:tcPr>
          <w:p w14:paraId="3D7E1361" w14:textId="77777777" w:rsidR="009B4F8F" w:rsidRDefault="009B4F8F" w:rsidP="00E24985">
            <w:pPr>
              <w:pStyle w:val="Tablesmalltext"/>
            </w:pPr>
            <w:r>
              <w:t>34, 31</w:t>
            </w:r>
          </w:p>
        </w:tc>
        <w:tc>
          <w:tcPr>
            <w:tcW w:w="3028" w:type="pct"/>
          </w:tcPr>
          <w:p w14:paraId="28BA346D" w14:textId="77777777" w:rsidR="009B4F8F" w:rsidRDefault="009B4F8F" w:rsidP="00E24985">
            <w:pPr>
              <w:pStyle w:val="Tablesmalltext"/>
            </w:pPr>
            <w:r>
              <w:t>Identify any evidence that regeneration activities (including rough heaping) have protected harvesting exclusion areas and riparian buffers and filters.</w:t>
            </w:r>
          </w:p>
        </w:tc>
      </w:tr>
      <w:tr w:rsidR="009B4F8F" w14:paraId="125FB1B6" w14:textId="77777777" w:rsidTr="00E24985">
        <w:tc>
          <w:tcPr>
            <w:tcW w:w="1535" w:type="pct"/>
          </w:tcPr>
          <w:p w14:paraId="0437F02E" w14:textId="77777777" w:rsidR="009B4F8F" w:rsidRDefault="009B4F8F" w:rsidP="00E74AFC">
            <w:pPr>
              <w:pStyle w:val="Tablesmallnumber"/>
              <w:numPr>
                <w:ilvl w:val="0"/>
                <w:numId w:val="78"/>
              </w:numPr>
            </w:pPr>
            <w:r>
              <w:t>Rehabilitation of coupe infrastructure</w:t>
            </w:r>
          </w:p>
        </w:tc>
        <w:tc>
          <w:tcPr>
            <w:tcW w:w="438" w:type="pct"/>
          </w:tcPr>
          <w:p w14:paraId="7105C363" w14:textId="77777777" w:rsidR="009B4F8F" w:rsidRDefault="009B4F8F" w:rsidP="00E24985">
            <w:pPr>
              <w:pStyle w:val="Tablesmalltext"/>
            </w:pPr>
            <w:r>
              <w:t>32</w:t>
            </w:r>
          </w:p>
        </w:tc>
        <w:tc>
          <w:tcPr>
            <w:tcW w:w="3028" w:type="pct"/>
          </w:tcPr>
          <w:p w14:paraId="0525B364" w14:textId="77777777" w:rsidR="009B4F8F" w:rsidRDefault="009B4F8F" w:rsidP="00E24985">
            <w:pPr>
              <w:pStyle w:val="Tablesmalltext"/>
            </w:pPr>
            <w:r>
              <w:t>Assess adequacy of ST, BT and landing rehabilitation.</w:t>
            </w:r>
          </w:p>
        </w:tc>
      </w:tr>
      <w:tr w:rsidR="009B4F8F" w14:paraId="710F19A7" w14:textId="77777777" w:rsidTr="00E24985">
        <w:tc>
          <w:tcPr>
            <w:tcW w:w="1535" w:type="pct"/>
          </w:tcPr>
          <w:p w14:paraId="7C31574C" w14:textId="77777777" w:rsidR="009B4F8F" w:rsidRDefault="009B4F8F" w:rsidP="00E74AFC">
            <w:pPr>
              <w:pStyle w:val="Tablesmallnumber"/>
              <w:numPr>
                <w:ilvl w:val="0"/>
                <w:numId w:val="78"/>
              </w:numPr>
            </w:pPr>
            <w:r>
              <w:t>Rehabilitation of WWX</w:t>
            </w:r>
          </w:p>
        </w:tc>
        <w:tc>
          <w:tcPr>
            <w:tcW w:w="438" w:type="pct"/>
          </w:tcPr>
          <w:p w14:paraId="0BEF0A0E" w14:textId="77777777" w:rsidR="009B4F8F" w:rsidRDefault="009B4F8F" w:rsidP="00E24985">
            <w:pPr>
              <w:pStyle w:val="Tablesmalltext"/>
            </w:pPr>
            <w:r>
              <w:t>28</w:t>
            </w:r>
          </w:p>
        </w:tc>
        <w:tc>
          <w:tcPr>
            <w:tcW w:w="3028" w:type="pct"/>
          </w:tcPr>
          <w:p w14:paraId="6C616FE8" w14:textId="77777777" w:rsidR="009B4F8F" w:rsidRDefault="009B4F8F" w:rsidP="00E24985">
            <w:pPr>
              <w:pStyle w:val="Tablesmalltext"/>
            </w:pPr>
            <w:r>
              <w:t>Assess whether structures preventing closed roads draining into the site of former WWXs are operating effectively. Assess if former WWX sites have been effectively stabilised and rehabilitated, to avoid soil movement into the waterway.</w:t>
            </w:r>
          </w:p>
        </w:tc>
      </w:tr>
    </w:tbl>
    <w:bookmarkEnd w:id="56"/>
    <w:p w14:paraId="6B581DF7" w14:textId="420C3756" w:rsidR="009B4F8F" w:rsidRDefault="009B4F8F" w:rsidP="009B4F8F">
      <w:pPr>
        <w:pStyle w:val="Para0"/>
      </w:pPr>
      <w:r>
        <w:t xml:space="preserve">Each audit criterion for both the harvesting and regeneration audit components was assessed as to its applicability to the coupe in question. That assessment was based on documentary evidence in VicForests’ coupe files or related records and observations by the field audit team. Coupes were assessed to either fully, </w:t>
      </w:r>
      <w:r>
        <w:lastRenderedPageBreak/>
        <w:t xml:space="preserve">partly or not conform with the criterion,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 The workbook was used to capture the basis for the assessment. Photographs of coupe features were taken, particularly where/if non-conformances were observed.</w:t>
      </w:r>
    </w:p>
    <w:p w14:paraId="2E828824" w14:textId="77777777" w:rsidR="009B4F8F" w:rsidRDefault="009B4F8F" w:rsidP="009B4F8F">
      <w:pPr>
        <w:pStyle w:val="Heading2"/>
      </w:pPr>
      <w:bookmarkStart w:id="57" w:name="_Ref425438428"/>
      <w:bookmarkStart w:id="58" w:name="_Ref425439462"/>
      <w:bookmarkStart w:id="59" w:name="_Ref514231275"/>
      <w:bookmarkStart w:id="60" w:name="_Toc514240548"/>
      <w:bookmarkStart w:id="61" w:name="_Toc11873333"/>
      <w:bookmarkStart w:id="62" w:name="_Toc21354781"/>
      <w:bookmarkStart w:id="63" w:name="_Toc33202274"/>
      <w:r>
        <w:t>Environmental impact assessment</w:t>
      </w:r>
      <w:bookmarkEnd w:id="57"/>
      <w:bookmarkEnd w:id="58"/>
      <w:bookmarkEnd w:id="59"/>
      <w:bookmarkEnd w:id="60"/>
      <w:bookmarkEnd w:id="61"/>
      <w:bookmarkEnd w:id="62"/>
      <w:bookmarkEnd w:id="63"/>
    </w:p>
    <w:p w14:paraId="60AD86D9" w14:textId="2CDDE3FF" w:rsidR="009B4F8F" w:rsidRDefault="009B4F8F" w:rsidP="009B4F8F">
      <w:pPr>
        <w:pStyle w:val="Para0"/>
      </w:pPr>
      <w:r>
        <w:t>The EIA tool provided by DELWP (</w:t>
      </w:r>
      <w:r>
        <w:fldChar w:fldCharType="begin" w:fldLock="1"/>
      </w:r>
      <w:r>
        <w:instrText xml:space="preserve"> REF _Ref13845696 \r \h </w:instrText>
      </w:r>
      <w:r>
        <w:fldChar w:fldCharType="separate"/>
      </w:r>
      <w:r w:rsidR="005544E2">
        <w:t>Appendix B</w:t>
      </w:r>
      <w:r>
        <w:fldChar w:fldCharType="end"/>
      </w:r>
      <w:r>
        <w:t>) was used to assess the potential environmental impacts of any instances of non-conformance with audit criteria and the regulatory framework for timber harvesting. The tool assesses potential environmental impact based on:</w:t>
      </w:r>
    </w:p>
    <w:p w14:paraId="7C1B0E64" w14:textId="77777777" w:rsidR="009B4F8F" w:rsidRDefault="009B4F8F" w:rsidP="00E74AFC">
      <w:pPr>
        <w:pStyle w:val="Para0bullet"/>
        <w:numPr>
          <w:ilvl w:val="0"/>
          <w:numId w:val="72"/>
        </w:numPr>
      </w:pPr>
      <w:r>
        <w:rPr>
          <w:i/>
        </w:rPr>
        <w:t xml:space="preserve">Extent and location of impact: </w:t>
      </w:r>
      <w:r>
        <w:t>an auditor’s assessment based on one or more of several factors:</w:t>
      </w:r>
    </w:p>
    <w:p w14:paraId="3504112F" w14:textId="77777777" w:rsidR="009B4F8F" w:rsidRDefault="009B4F8F" w:rsidP="00E74AFC">
      <w:pPr>
        <w:pStyle w:val="Para1dash"/>
        <w:numPr>
          <w:ilvl w:val="0"/>
          <w:numId w:val="79"/>
        </w:numPr>
        <w:spacing w:after="0"/>
        <w:ind w:left="850"/>
      </w:pPr>
      <w:r>
        <w:t>Proportion of the harvestable coupe area affected by the non-conformance</w:t>
      </w:r>
    </w:p>
    <w:p w14:paraId="7813FF7A" w14:textId="77777777" w:rsidR="009B4F8F" w:rsidRDefault="009B4F8F" w:rsidP="00E74AFC">
      <w:pPr>
        <w:pStyle w:val="Para1dash"/>
        <w:numPr>
          <w:ilvl w:val="0"/>
          <w:numId w:val="79"/>
        </w:numPr>
        <w:spacing w:after="0"/>
        <w:ind w:left="850"/>
      </w:pPr>
      <w:r>
        <w:t>Length of in-coupe road without conforming drainage</w:t>
      </w:r>
    </w:p>
    <w:p w14:paraId="323CEF7F" w14:textId="77777777" w:rsidR="009B4F8F" w:rsidRDefault="009B4F8F" w:rsidP="00E74AFC">
      <w:pPr>
        <w:pStyle w:val="Para1dash"/>
        <w:numPr>
          <w:ilvl w:val="0"/>
          <w:numId w:val="79"/>
        </w:numPr>
        <w:ind w:left="850"/>
      </w:pPr>
      <w:r>
        <w:t>The number and/or extent of incidences of inappropriate disturbances (i.e. disturbances to planned timber harvesting exclusions areas which are not permitted by the Code or MSPs) to waterways, riparian buffers or filters or other areas within or adjacent to the gross coupe area.</w:t>
      </w:r>
    </w:p>
    <w:p w14:paraId="66BC9E7F" w14:textId="77777777" w:rsidR="009B4F8F" w:rsidRPr="003054E7" w:rsidRDefault="009B4F8F" w:rsidP="00E74AFC">
      <w:pPr>
        <w:pStyle w:val="Para0bullet"/>
        <w:numPr>
          <w:ilvl w:val="0"/>
          <w:numId w:val="72"/>
        </w:numPr>
        <w:rPr>
          <w:i/>
        </w:rPr>
      </w:pPr>
      <w:r w:rsidRPr="003054E7">
        <w:rPr>
          <w:i/>
        </w:rPr>
        <w:t>Duration of impact</w:t>
      </w:r>
      <w:r>
        <w:rPr>
          <w:i/>
        </w:rPr>
        <w:t>/recovery time</w:t>
      </w:r>
      <w:r w:rsidRPr="003054E7">
        <w:rPr>
          <w:i/>
        </w:rPr>
        <w:t xml:space="preserve">: </w:t>
      </w:r>
      <w:r>
        <w:t>an assessment by the auditor of the likely</w:t>
      </w:r>
      <w:r w:rsidR="00606D88">
        <w:t xml:space="preserve"> </w:t>
      </w:r>
      <w:r>
        <w:t>time required for the coupe to recover from any impact or disturbance associated with the non-conformance incident.</w:t>
      </w:r>
    </w:p>
    <w:p w14:paraId="6D19534A" w14:textId="77777777" w:rsidR="009B4F8F" w:rsidRPr="00D82921" w:rsidRDefault="009B4F8F" w:rsidP="00E74AFC">
      <w:pPr>
        <w:pStyle w:val="Para0bullet"/>
        <w:numPr>
          <w:ilvl w:val="0"/>
          <w:numId w:val="72"/>
        </w:numPr>
        <w:rPr>
          <w:i/>
        </w:rPr>
      </w:pPr>
      <w:r>
        <w:rPr>
          <w:i/>
        </w:rPr>
        <w:t xml:space="preserve">Values affected: </w:t>
      </w:r>
      <w:r>
        <w:t xml:space="preserve">an assessment based on the value or environmental aspect experiencing or potentially experiencing an impact stemming from the non-conformance. General forest areas are valued less than riparian or rainforest buffers and SPZ, for example. </w:t>
      </w:r>
    </w:p>
    <w:p w14:paraId="7F9D1FF6" w14:textId="77777777" w:rsidR="009B4F8F" w:rsidRPr="003054E7" w:rsidRDefault="009B4F8F" w:rsidP="009B4F8F">
      <w:pPr>
        <w:pStyle w:val="Para0"/>
      </w:pPr>
      <w:r>
        <w:t xml:space="preserve">The overall five-point EIA rating is based on the total score for each component. Ratings may range between negligible and severe. </w:t>
      </w:r>
    </w:p>
    <w:p w14:paraId="49E017BA" w14:textId="43169A1B" w:rsidR="009B4F8F" w:rsidRDefault="009B4F8F" w:rsidP="009B4F8F">
      <w:pPr>
        <w:pStyle w:val="Para0"/>
      </w:pPr>
      <w:r w:rsidRPr="00D34F38">
        <w:t xml:space="preserve">If </w:t>
      </w:r>
      <w:r>
        <w:t>a</w:t>
      </w:r>
      <w:r w:rsidRPr="00D34F38">
        <w:t xml:space="preserve"> non-conformance did not directly pose a risk of harm to the environment, it was assessed as non-conforming with no environmental impact,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rsidRPr="00D34F38">
        <w:t>.</w:t>
      </w:r>
    </w:p>
    <w:p w14:paraId="36E34747" w14:textId="77777777" w:rsidR="00054E16" w:rsidRPr="00B20902" w:rsidRDefault="00054E16" w:rsidP="009B4F8F">
      <w:pPr>
        <w:pStyle w:val="Para0"/>
      </w:pPr>
    </w:p>
    <w:p w14:paraId="3BC34454" w14:textId="77777777" w:rsidR="00EF769B" w:rsidRDefault="00EF769B" w:rsidP="00EF769B">
      <w:pPr>
        <w:pStyle w:val="Heading1"/>
      </w:pPr>
      <w:bookmarkStart w:id="64" w:name="_Toc21354782"/>
      <w:bookmarkStart w:id="65" w:name="_Toc33202275"/>
      <w:r>
        <w:lastRenderedPageBreak/>
        <w:t>Audit results</w:t>
      </w:r>
      <w:bookmarkEnd w:id="64"/>
      <w:bookmarkEnd w:id="65"/>
    </w:p>
    <w:p w14:paraId="4D211CDD" w14:textId="321CEAFB" w:rsidR="00EF769B" w:rsidRDefault="00EF769B" w:rsidP="00EF769B">
      <w:pPr>
        <w:pStyle w:val="Para0"/>
      </w:pPr>
      <w:r>
        <w:t xml:space="preserve">The following discussion summarises the results of the assessments of conformance with compliance criteria based on mandatory elements of the regulatory framework for timber harvesting in State forests, as listed in </w:t>
      </w:r>
      <w:r>
        <w:fldChar w:fldCharType="begin" w:fldLock="1"/>
      </w:r>
      <w:r>
        <w:instrText xml:space="preserve"> REF _Ref13827801 \r \h </w:instrText>
      </w:r>
      <w:r>
        <w:fldChar w:fldCharType="separate"/>
      </w:r>
      <w:r w:rsidR="005544E2">
        <w:t>Appendix A</w:t>
      </w:r>
      <w:r>
        <w:fldChar w:fldCharType="end"/>
      </w:r>
      <w:r>
        <w:t xml:space="preserve">. Overall results are presented first, with those for each compliance theme and sub-theme following. </w:t>
      </w:r>
      <w:r w:rsidRPr="009E147A">
        <w:t xml:space="preserve">As the coupe selection method </w:t>
      </w:r>
      <w:r>
        <w:t>wa</w:t>
      </w:r>
      <w:r w:rsidRPr="009E147A">
        <w:t xml:space="preserve">s risk-based, rather than random, these results </w:t>
      </w:r>
      <w:r w:rsidR="00931AF4">
        <w:t>are not</w:t>
      </w:r>
      <w:r w:rsidRPr="009E147A">
        <w:t xml:space="preserve"> statistically representative of VicForests’ operations overall. </w:t>
      </w:r>
    </w:p>
    <w:p w14:paraId="0A5D15AB" w14:textId="5377BE85" w:rsidR="00EF769B" w:rsidRDefault="00EF769B" w:rsidP="00EF769B">
      <w:pPr>
        <w:pStyle w:val="Para0"/>
      </w:pPr>
      <w:r>
        <w:t xml:space="preserve">Due to space constraints in the figures, coupes are represented by the number assigned in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 xml:space="preserve"> or </w:t>
      </w:r>
      <w:r>
        <w:fldChar w:fldCharType="begin" w:fldLock="1"/>
      </w:r>
      <w:r>
        <w:instrText xml:space="preserve"> REF _Ref13842356 \h </w:instrText>
      </w:r>
      <w:r>
        <w:fldChar w:fldCharType="separate"/>
      </w:r>
      <w:r w:rsidR="005544E2">
        <w:t xml:space="preserve">Table </w:t>
      </w:r>
      <w:r w:rsidR="005544E2">
        <w:rPr>
          <w:noProof/>
        </w:rPr>
        <w:t>3</w:t>
      </w:r>
      <w:r w:rsidR="005544E2">
        <w:t>.</w:t>
      </w:r>
      <w:r w:rsidR="005544E2">
        <w:rPr>
          <w:noProof/>
        </w:rPr>
        <w:t>3</w:t>
      </w:r>
      <w:r>
        <w:fldChar w:fldCharType="end"/>
      </w:r>
      <w:r>
        <w:t xml:space="preserve"> for harvesting and regeneration coupes, respectively. In the narrative accompanying these figures, coupes are referred to by that number (rather than the TRP coupe number) and the coupe name.</w:t>
      </w:r>
    </w:p>
    <w:p w14:paraId="3014EA42" w14:textId="77777777" w:rsidR="00EF769B" w:rsidRDefault="00EF769B" w:rsidP="00EF769B">
      <w:pPr>
        <w:pStyle w:val="Heading2"/>
      </w:pPr>
      <w:bookmarkStart w:id="66" w:name="_Toc21354783"/>
      <w:bookmarkStart w:id="67" w:name="_Toc33202276"/>
      <w:r>
        <w:t>Overall compliance findings</w:t>
      </w:r>
      <w:bookmarkEnd w:id="66"/>
      <w:bookmarkEnd w:id="67"/>
    </w:p>
    <w:p w14:paraId="2D6BB51A" w14:textId="77777777" w:rsidR="00EF769B" w:rsidRDefault="00EF769B" w:rsidP="00EF769B">
      <w:pPr>
        <w:pStyle w:val="Heading3"/>
      </w:pPr>
      <w:bookmarkStart w:id="68" w:name="_Toc21354784"/>
      <w:bookmarkStart w:id="69" w:name="_Toc33202277"/>
      <w:r>
        <w:t>Harvest coupes</w:t>
      </w:r>
      <w:bookmarkEnd w:id="68"/>
      <w:bookmarkEnd w:id="69"/>
    </w:p>
    <w:p w14:paraId="180F7918" w14:textId="6D5C719A" w:rsidR="00EF769B" w:rsidRDefault="00EF769B" w:rsidP="00EF769B">
      <w:pPr>
        <w:pStyle w:val="Para0"/>
      </w:pPr>
      <w:r>
        <w:t>A total of 151 criteria were identified from the various compliance elements applicable to timber harvesting coupes (</w:t>
      </w:r>
      <w:r>
        <w:fldChar w:fldCharType="begin" w:fldLock="1"/>
      </w:r>
      <w:r>
        <w:instrText xml:space="preserve"> REF _Ref13827801 \r \h </w:instrText>
      </w:r>
      <w:r>
        <w:fldChar w:fldCharType="separate"/>
      </w:r>
      <w:r w:rsidR="005544E2">
        <w:t>Appendix A</w:t>
      </w:r>
      <w:r>
        <w:fldChar w:fldCharType="end"/>
      </w:r>
      <w:r>
        <w:t xml:space="preserve">). Of these, 28 criteria did not actually apply to any of the selected coupes. The overall level of full conformance with applicable audit criteria ranged between </w:t>
      </w:r>
      <w:r w:rsidR="00855E89">
        <w:t>6</w:t>
      </w:r>
      <w:r w:rsidR="00EA731D">
        <w:t>1</w:t>
      </w:r>
      <w:r>
        <w:t xml:space="preserve">% (28 Vox) and </w:t>
      </w:r>
      <w:r w:rsidR="00855E89">
        <w:t>9</w:t>
      </w:r>
      <w:r w:rsidR="00EA731D">
        <w:t>8</w:t>
      </w:r>
      <w:r>
        <w:t>% (</w:t>
      </w:r>
      <w:r w:rsidR="00855E89">
        <w:t>11 No Doubt</w:t>
      </w:r>
      <w:r>
        <w:t xml:space="preserve">), with the average being </w:t>
      </w:r>
      <w:r w:rsidR="00855E89">
        <w:t>8</w:t>
      </w:r>
      <w:r w:rsidR="00EA731D">
        <w:t>4</w:t>
      </w:r>
      <w:r>
        <w:t>% (</w:t>
      </w:r>
      <w:r>
        <w:fldChar w:fldCharType="begin" w:fldLock="1"/>
      </w:r>
      <w:r>
        <w:instrText xml:space="preserve"> REF _Ref497121148 \h </w:instrText>
      </w:r>
      <w:r>
        <w:fldChar w:fldCharType="separate"/>
      </w:r>
      <w:r w:rsidR="005544E2">
        <w:t xml:space="preserve">Figure </w:t>
      </w:r>
      <w:r w:rsidR="005544E2">
        <w:rPr>
          <w:noProof/>
        </w:rPr>
        <w:t>4</w:t>
      </w:r>
      <w:r w:rsidR="005544E2">
        <w:t>.</w:t>
      </w:r>
      <w:r w:rsidR="005544E2">
        <w:rPr>
          <w:noProof/>
        </w:rPr>
        <w:t>1</w:t>
      </w:r>
      <w:r>
        <w:fldChar w:fldCharType="end"/>
      </w:r>
      <w:r>
        <w:t>). Harvesting operations in none of the 30 coupes fully complied with all applicable audit criteria. Some of the non-conformances identified in 26 of the 30 coupes had potential for environmental impact (EI).</w:t>
      </w:r>
    </w:p>
    <w:p w14:paraId="13DA26F8" w14:textId="50C7F7F7" w:rsidR="000E5F1E" w:rsidRDefault="000E5F1E" w:rsidP="000E5F1E">
      <w:pPr>
        <w:pStyle w:val="Para0"/>
      </w:pPr>
      <w:r>
        <w:fldChar w:fldCharType="begin" w:fldLock="1"/>
      </w:r>
      <w:r>
        <w:instrText xml:space="preserve"> REF _Ref497121148 \h </w:instrText>
      </w:r>
      <w:r>
        <w:fldChar w:fldCharType="separate"/>
      </w:r>
      <w:r w:rsidR="005544E2">
        <w:t xml:space="preserve">Figure </w:t>
      </w:r>
      <w:r w:rsidR="005544E2">
        <w:rPr>
          <w:noProof/>
        </w:rPr>
        <w:t>4</w:t>
      </w:r>
      <w:r w:rsidR="005544E2">
        <w:t>.</w:t>
      </w:r>
      <w:r w:rsidR="005544E2">
        <w:rPr>
          <w:noProof/>
        </w:rPr>
        <w:t>1</w:t>
      </w:r>
      <w:r>
        <w:fldChar w:fldCharType="end"/>
      </w:r>
      <w:r>
        <w:t xml:space="preserve"> also shows the actual number of incidents resulting in non-conformance with one or more audit criteria</w:t>
      </w:r>
      <w:r w:rsidR="007E0985">
        <w:rPr>
          <w:rFonts w:ascii="ZWAdobeF" w:hAnsi="ZWAdobeF" w:cs="ZWAdobeF"/>
          <w:sz w:val="2"/>
          <w:szCs w:val="2"/>
        </w:rPr>
        <w:t>8F</w:t>
      </w:r>
      <w:r>
        <w:rPr>
          <w:rStyle w:val="FootnoteReference"/>
        </w:rPr>
        <w:footnoteReference w:id="9"/>
      </w:r>
      <w:r>
        <w:t xml:space="preserve">. These ranged between zero (4 coupes, as above) and seven (23 Pilcrow), with an average of 2.3 incidents per coupe. </w:t>
      </w:r>
      <w:r w:rsidRPr="009C2130">
        <w:t>A list of the incidents leading to assessments of non-</w:t>
      </w:r>
      <w:r>
        <w:t>conformance</w:t>
      </w:r>
      <w:r w:rsidRPr="009C2130">
        <w:t xml:space="preserve"> with audit criteria and the regulatory framework for timber harvesting is given in</w:t>
      </w:r>
      <w:r>
        <w:t xml:space="preserve"> </w:t>
      </w:r>
      <w:r>
        <w:fldChar w:fldCharType="begin" w:fldLock="1"/>
      </w:r>
      <w:r>
        <w:instrText xml:space="preserve"> REF _Ref21343207 \r \h </w:instrText>
      </w:r>
      <w:r>
        <w:fldChar w:fldCharType="separate"/>
      </w:r>
      <w:r w:rsidR="005544E2">
        <w:t>Appendix C</w:t>
      </w:r>
      <w:r>
        <w:fldChar w:fldCharType="end"/>
      </w:r>
      <w:r w:rsidRPr="009C2130">
        <w:t>.</w:t>
      </w:r>
    </w:p>
    <w:p w14:paraId="3315A128" w14:textId="45ECB951" w:rsidR="000E5F1E" w:rsidRDefault="000E5F1E" w:rsidP="000E5F1E">
      <w:pPr>
        <w:pStyle w:val="Para0"/>
      </w:pPr>
      <w:r>
        <w:t>The EIA tool (</w:t>
      </w:r>
      <w:r>
        <w:fldChar w:fldCharType="begin" w:fldLock="1"/>
      </w:r>
      <w:r>
        <w:instrText xml:space="preserve"> REF _Ref13845696 \r \h </w:instrText>
      </w:r>
      <w:r>
        <w:fldChar w:fldCharType="separate"/>
      </w:r>
      <w:r w:rsidR="005544E2">
        <w:t>Appendix B</w:t>
      </w:r>
      <w:r>
        <w:fldChar w:fldCharType="end"/>
      </w:r>
      <w:r>
        <w:t>) was used to assess the potential EI associated with each non-conformance incident</w:t>
      </w:r>
      <w:r w:rsidR="007E0985">
        <w:rPr>
          <w:rFonts w:ascii="ZWAdobeF" w:hAnsi="ZWAdobeF" w:cs="ZWAdobeF"/>
          <w:sz w:val="2"/>
          <w:szCs w:val="2"/>
        </w:rPr>
        <w:t>9F</w:t>
      </w:r>
      <w:r>
        <w:rPr>
          <w:rStyle w:val="FootnoteReference"/>
        </w:rPr>
        <w:footnoteReference w:id="10"/>
      </w:r>
      <w:r>
        <w:t>. This ranged between negligible and major (</w:t>
      </w:r>
      <w:r>
        <w:fldChar w:fldCharType="begin" w:fldLock="1"/>
      </w:r>
      <w:r>
        <w:instrText xml:space="preserve"> REF _Ref497121148 \h </w:instrText>
      </w:r>
      <w:r>
        <w:fldChar w:fldCharType="separate"/>
      </w:r>
      <w:r w:rsidR="005544E2">
        <w:t xml:space="preserve">Figure </w:t>
      </w:r>
      <w:r w:rsidR="005544E2">
        <w:rPr>
          <w:noProof/>
        </w:rPr>
        <w:t>4</w:t>
      </w:r>
      <w:r w:rsidR="005544E2">
        <w:t>.</w:t>
      </w:r>
      <w:r w:rsidR="005544E2">
        <w:rPr>
          <w:noProof/>
        </w:rPr>
        <w:t>1</w:t>
      </w:r>
      <w:r>
        <w:fldChar w:fldCharType="end"/>
      </w:r>
      <w:r>
        <w:t>). Non-conformances which were assessed to have major environmental impact (EI) were detected in six of the 3</w:t>
      </w:r>
      <w:r w:rsidR="00855E89">
        <w:t>0</w:t>
      </w:r>
      <w:r>
        <w:t xml:space="preserve"> harvest coupes included in the audit. These related to waterway crossings, regeneration burns escaping into what were intended to be unharvested buffers and construction of tracks into SPZs.</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5640B18F" w14:textId="77777777" w:rsidTr="00EA73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4A54E9C" w14:textId="05F639FC" w:rsidR="00EF769B" w:rsidRDefault="00EA731D" w:rsidP="00E24985">
            <w:pPr>
              <w:pStyle w:val="Tablesmalltext"/>
              <w:rPr>
                <w:b w:val="0"/>
              </w:rPr>
            </w:pPr>
            <w:r>
              <w:rPr>
                <w:noProof/>
              </w:rPr>
              <w:drawing>
                <wp:inline distT="0" distB="0" distL="0" distR="0" wp14:anchorId="3E73DDCA" wp14:editId="58B62835">
                  <wp:extent cx="5965825" cy="1782417"/>
                  <wp:effectExtent l="0" t="0" r="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11728"/>
                          <a:stretch/>
                        </pic:blipFill>
                        <pic:spPr bwMode="auto">
                          <a:xfrm>
                            <a:off x="0" y="0"/>
                            <a:ext cx="5969796" cy="1783603"/>
                          </a:xfrm>
                          <a:prstGeom prst="rect">
                            <a:avLst/>
                          </a:prstGeom>
                          <a:noFill/>
                          <a:ln>
                            <a:noFill/>
                          </a:ln>
                          <a:extLst>
                            <a:ext uri="{53640926-AAD7-44D8-BBD7-CCE9431645EC}">
                              <a14:shadowObscured xmlns:a14="http://schemas.microsoft.com/office/drawing/2010/main"/>
                            </a:ext>
                          </a:extLst>
                        </pic:spPr>
                      </pic:pic>
                    </a:graphicData>
                  </a:graphic>
                </wp:inline>
              </w:drawing>
            </w:r>
          </w:p>
          <w:p w14:paraId="74C575AF" w14:textId="7D60C154" w:rsidR="00EF769B" w:rsidRPr="0088246D" w:rsidRDefault="00EF769B" w:rsidP="00E24985">
            <w:pPr>
              <w:pStyle w:val="Tablesmalltext"/>
              <w:rPr>
                <w:b w:val="0"/>
              </w:rPr>
            </w:pPr>
            <w:r>
              <w:t xml:space="preserve">a) Level of conformance with audit criteria and number of non-conformance incidents with assessable environmental impact. Conformance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rsidR="007E076D">
              <w:t>, with not full compliance including all criteria with which the coupe did not fully comply, regardless of the potential for environmental impact</w:t>
            </w:r>
            <w:r>
              <w:t>.</w:t>
            </w:r>
          </w:p>
        </w:tc>
      </w:tr>
      <w:tr w:rsidR="00EF769B" w14:paraId="47B6D08C" w14:textId="77777777" w:rsidTr="00EA731D">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0AE8A5E0" w14:textId="6520E6F9" w:rsidR="00EF769B" w:rsidRDefault="00855E89" w:rsidP="00E24985">
            <w:pPr>
              <w:pStyle w:val="Tablesmalltext"/>
            </w:pPr>
            <w:r>
              <w:rPr>
                <w:noProof/>
              </w:rPr>
              <w:lastRenderedPageBreak/>
              <w:drawing>
                <wp:inline distT="0" distB="0" distL="0" distR="0" wp14:anchorId="17CF5967" wp14:editId="320971D7">
                  <wp:extent cx="5943600" cy="18177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58068" cy="1822160"/>
                          </a:xfrm>
                          <a:prstGeom prst="rect">
                            <a:avLst/>
                          </a:prstGeom>
                          <a:noFill/>
                        </pic:spPr>
                      </pic:pic>
                    </a:graphicData>
                  </a:graphic>
                </wp:inline>
              </w:drawing>
            </w:r>
          </w:p>
          <w:p w14:paraId="1A303D92" w14:textId="77777777" w:rsidR="00EF769B" w:rsidRPr="000C339E" w:rsidRDefault="00EF769B" w:rsidP="00E24985">
            <w:pPr>
              <w:pStyle w:val="Tablesmalltext"/>
              <w:rPr>
                <w:b/>
              </w:rPr>
            </w:pPr>
            <w:r w:rsidRPr="000C339E">
              <w:rPr>
                <w:b/>
              </w:rPr>
              <w:t xml:space="preserve">b) Number of </w:t>
            </w:r>
            <w:r w:rsidRPr="00FB08EC">
              <w:rPr>
                <w:b/>
              </w:rPr>
              <w:t xml:space="preserve">compliance </w:t>
            </w:r>
            <w:r w:rsidRPr="000C339E">
              <w:rPr>
                <w:b/>
              </w:rPr>
              <w:t>criteria with assessable environmental impacts and the assessed level of impact for each instance of non-</w:t>
            </w:r>
            <w:r>
              <w:rPr>
                <w:b/>
              </w:rPr>
              <w:t>conformance</w:t>
            </w:r>
            <w:r w:rsidRPr="000C339E">
              <w:rPr>
                <w:b/>
              </w:rPr>
              <w:t>.</w:t>
            </w:r>
          </w:p>
        </w:tc>
      </w:tr>
    </w:tbl>
    <w:p w14:paraId="4B6B61C7" w14:textId="483A894F" w:rsidR="00EF769B" w:rsidRDefault="00EF769B" w:rsidP="00EF769B">
      <w:pPr>
        <w:pStyle w:val="Caption"/>
        <w:keepNext w:val="0"/>
        <w:spacing w:before="120"/>
      </w:pPr>
      <w:bookmarkStart w:id="70" w:name="_Ref497121148"/>
      <w:bookmarkStart w:id="71" w:name="_Ref19875142"/>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1</w:t>
      </w:r>
      <w:r w:rsidR="0013561C">
        <w:rPr>
          <w:noProof/>
        </w:rPr>
        <w:fldChar w:fldCharType="end"/>
      </w:r>
      <w:bookmarkEnd w:id="70"/>
      <w:r>
        <w:t xml:space="preserve"> Overall compliance findings and assessed environmental impact for instances of non-conformance for harvest coupes. The x-axis refers to the coupe numbers, as per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w:t>
      </w:r>
      <w:bookmarkEnd w:id="71"/>
    </w:p>
    <w:p w14:paraId="18DAD357" w14:textId="77777777" w:rsidR="00EF769B" w:rsidRDefault="00EF769B" w:rsidP="00EF769B">
      <w:pPr>
        <w:pStyle w:val="Heading3"/>
      </w:pPr>
      <w:bookmarkStart w:id="72" w:name="_Ref16178521"/>
      <w:bookmarkStart w:id="73" w:name="_Toc21354785"/>
      <w:bookmarkStart w:id="74" w:name="_Toc33202278"/>
      <w:r>
        <w:t>Regeneration coupes</w:t>
      </w:r>
      <w:bookmarkEnd w:id="72"/>
      <w:bookmarkEnd w:id="73"/>
      <w:bookmarkEnd w:id="74"/>
    </w:p>
    <w:p w14:paraId="1DEA7A30" w14:textId="404C20AD" w:rsidR="00EF769B" w:rsidRDefault="00EF769B" w:rsidP="00EF769B">
      <w:pPr>
        <w:pStyle w:val="Para0"/>
      </w:pPr>
      <w:r>
        <w:t>A total of 29 criteria were identified from the various compliance elements applicable to regeneration coupes (</w:t>
      </w:r>
      <w:r>
        <w:fldChar w:fldCharType="begin" w:fldLock="1"/>
      </w:r>
      <w:r>
        <w:instrText xml:space="preserve"> REF _Ref13827801 \r \h </w:instrText>
      </w:r>
      <w:r>
        <w:fldChar w:fldCharType="separate"/>
      </w:r>
      <w:r w:rsidR="005544E2">
        <w:t>Appendix A</w:t>
      </w:r>
      <w:r>
        <w:fldChar w:fldCharType="end"/>
      </w:r>
      <w:r w:rsidR="007E0985">
        <w:rPr>
          <w:rFonts w:ascii="ZWAdobeF" w:hAnsi="ZWAdobeF" w:cs="ZWAdobeF"/>
          <w:sz w:val="2"/>
          <w:szCs w:val="2"/>
        </w:rPr>
        <w:t>10F</w:t>
      </w:r>
      <w:r>
        <w:rPr>
          <w:rStyle w:val="FootnoteReference"/>
        </w:rPr>
        <w:footnoteReference w:id="11"/>
      </w:r>
      <w:r>
        <w:t xml:space="preserve">), </w:t>
      </w:r>
      <w:r w:rsidR="00855E89">
        <w:t>five</w:t>
      </w:r>
      <w:r>
        <w:t xml:space="preserve"> of which were not applicable to any of the coupes included in this component of the audit. The overall level of full conformance with applicable audit criteria ranged between </w:t>
      </w:r>
      <w:r w:rsidR="00855E89">
        <w:t>73</w:t>
      </w:r>
      <w:r>
        <w:t xml:space="preserve">% (R1 Lil John) and 100% (R4 Behind the Gate), with the average being </w:t>
      </w:r>
      <w:r w:rsidR="00855E89">
        <w:t>90</w:t>
      </w:r>
      <w:r>
        <w:t>% (</w:t>
      </w:r>
      <w:r>
        <w:fldChar w:fldCharType="begin" w:fldLock="1"/>
      </w:r>
      <w:r>
        <w:instrText xml:space="preserve"> REF _Ref11871868 \h </w:instrText>
      </w:r>
      <w:r>
        <w:fldChar w:fldCharType="separate"/>
      </w:r>
      <w:r w:rsidR="005544E2">
        <w:t xml:space="preserve">Figure </w:t>
      </w:r>
      <w:r w:rsidR="005544E2">
        <w:rPr>
          <w:noProof/>
        </w:rPr>
        <w:t>4</w:t>
      </w:r>
      <w:r w:rsidR="005544E2">
        <w:t>.</w:t>
      </w:r>
      <w:r w:rsidR="005544E2">
        <w:rPr>
          <w:noProof/>
        </w:rPr>
        <w:t>2</w:t>
      </w:r>
      <w:r>
        <w:fldChar w:fldCharType="end"/>
      </w:r>
      <w:r>
        <w:t xml:space="preserve">). Operations on only one of the 10 regeneration coupes (R4 Behind the Gate) were found to fully conform with </w:t>
      </w:r>
      <w:r w:rsidR="00855E89">
        <w:t xml:space="preserve">all </w:t>
      </w:r>
      <w:r>
        <w:t>applicable audit criteria. The number of non-conformance incidents per coupe ranged between zero and two, with an average of 0.5 per coupe (</w:t>
      </w:r>
      <w:r>
        <w:fldChar w:fldCharType="begin" w:fldLock="1"/>
      </w:r>
      <w:r>
        <w:instrText xml:space="preserve"> REF _Ref11871868 \h </w:instrText>
      </w:r>
      <w:r>
        <w:fldChar w:fldCharType="separate"/>
      </w:r>
      <w:r w:rsidR="005544E2">
        <w:t xml:space="preserve">Figure </w:t>
      </w:r>
      <w:r w:rsidR="005544E2">
        <w:rPr>
          <w:noProof/>
        </w:rPr>
        <w:t>4</w:t>
      </w:r>
      <w:r w:rsidR="005544E2">
        <w:t>.</w:t>
      </w:r>
      <w:r w:rsidR="005544E2">
        <w:rPr>
          <w:noProof/>
        </w:rPr>
        <w:t>2</w:t>
      </w:r>
      <w:r>
        <w:fldChar w:fldCharType="end"/>
      </w:r>
      <w:r>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503103D3"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475E4526" w14:textId="5997EED7" w:rsidR="00EF769B" w:rsidRDefault="00855E89" w:rsidP="00E24985">
            <w:pPr>
              <w:pStyle w:val="Tablesmalltext"/>
              <w:rPr>
                <w:b w:val="0"/>
              </w:rPr>
            </w:pPr>
            <w:r>
              <w:rPr>
                <w:noProof/>
              </w:rPr>
              <w:drawing>
                <wp:inline distT="0" distB="0" distL="0" distR="0" wp14:anchorId="6E4AC35B" wp14:editId="2D65EC58">
                  <wp:extent cx="6276975" cy="1881131"/>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5">
                            <a:extLst>
                              <a:ext uri="{28A0092B-C50C-407E-A947-70E740481C1C}">
                                <a14:useLocalDpi xmlns:a14="http://schemas.microsoft.com/office/drawing/2010/main" val="0"/>
                              </a:ext>
                            </a:extLst>
                          </a:blip>
                          <a:srcRect t="12082" b="1"/>
                          <a:stretch/>
                        </pic:blipFill>
                        <pic:spPr bwMode="auto">
                          <a:xfrm>
                            <a:off x="0" y="0"/>
                            <a:ext cx="6285118" cy="1883571"/>
                          </a:xfrm>
                          <a:prstGeom prst="rect">
                            <a:avLst/>
                          </a:prstGeom>
                          <a:noFill/>
                          <a:ln>
                            <a:noFill/>
                          </a:ln>
                          <a:extLst>
                            <a:ext uri="{53640926-AAD7-44D8-BBD7-CCE9431645EC}">
                              <a14:shadowObscured xmlns:a14="http://schemas.microsoft.com/office/drawing/2010/main"/>
                            </a:ext>
                          </a:extLst>
                        </pic:spPr>
                      </pic:pic>
                    </a:graphicData>
                  </a:graphic>
                </wp:inline>
              </w:drawing>
            </w:r>
          </w:p>
          <w:p w14:paraId="068FA81D" w14:textId="0145CA2D" w:rsidR="00EF769B" w:rsidRPr="0088246D" w:rsidRDefault="00EF769B" w:rsidP="00E24985">
            <w:pPr>
              <w:pStyle w:val="Tablesmalltext"/>
              <w:rPr>
                <w:b w:val="0"/>
              </w:rPr>
            </w:pPr>
            <w:r>
              <w:t xml:space="preserve">a) Level of conformance with audit criteria and number of non-conformance incidents with assessable environmental impact. </w:t>
            </w:r>
            <w:r w:rsidR="007E076D">
              <w:t xml:space="preserve">Conformance as per </w:t>
            </w:r>
            <w:r w:rsidR="007E076D">
              <w:fldChar w:fldCharType="begin" w:fldLock="1"/>
            </w:r>
            <w:r w:rsidR="007E076D">
              <w:instrText xml:space="preserve"> REF _Ref523302686 \h </w:instrText>
            </w:r>
            <w:r w:rsidR="007E076D">
              <w:fldChar w:fldCharType="separate"/>
            </w:r>
            <w:r w:rsidR="005544E2">
              <w:t xml:space="preserve">Table </w:t>
            </w:r>
            <w:r w:rsidR="005544E2">
              <w:rPr>
                <w:noProof/>
              </w:rPr>
              <w:t>3</w:t>
            </w:r>
            <w:r w:rsidR="005544E2">
              <w:t>.</w:t>
            </w:r>
            <w:r w:rsidR="005544E2">
              <w:rPr>
                <w:noProof/>
              </w:rPr>
              <w:t>4</w:t>
            </w:r>
            <w:r w:rsidR="007E076D">
              <w:fldChar w:fldCharType="end"/>
            </w:r>
            <w:r w:rsidR="007E076D">
              <w:t>, with not full compliance including all criteria with which the coupe did not fully comply, regardless of the potential for environmental impact.</w:t>
            </w:r>
          </w:p>
        </w:tc>
      </w:tr>
      <w:tr w:rsidR="00EF769B" w14:paraId="18DA4BDD" w14:textId="77777777" w:rsidTr="00E24985">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036CA4B3" w14:textId="12C6C015" w:rsidR="00EF769B" w:rsidRDefault="00855E89" w:rsidP="00E24985">
            <w:pPr>
              <w:pStyle w:val="Tablesmalltext"/>
            </w:pPr>
            <w:r>
              <w:rPr>
                <w:noProof/>
              </w:rPr>
              <w:lastRenderedPageBreak/>
              <w:drawing>
                <wp:inline distT="0" distB="0" distL="0" distR="0" wp14:anchorId="67EED81B" wp14:editId="12DDF6C7">
                  <wp:extent cx="5724525" cy="175073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4232" cy="1756762"/>
                          </a:xfrm>
                          <a:prstGeom prst="rect">
                            <a:avLst/>
                          </a:prstGeom>
                          <a:noFill/>
                        </pic:spPr>
                      </pic:pic>
                    </a:graphicData>
                  </a:graphic>
                </wp:inline>
              </w:drawing>
            </w:r>
          </w:p>
          <w:p w14:paraId="79F721D8" w14:textId="77777777" w:rsidR="00EF769B" w:rsidRPr="000C339E" w:rsidRDefault="00EF769B" w:rsidP="00E24985">
            <w:pPr>
              <w:pStyle w:val="Tablesmalltext"/>
              <w:rPr>
                <w:b/>
              </w:rPr>
            </w:pPr>
            <w:r w:rsidRPr="000C339E">
              <w:rPr>
                <w:b/>
              </w:rPr>
              <w:t xml:space="preserve">b) Number of </w:t>
            </w:r>
            <w:r w:rsidRPr="00FB08EC">
              <w:rPr>
                <w:b/>
              </w:rPr>
              <w:t xml:space="preserve">compliance </w:t>
            </w:r>
            <w:r w:rsidRPr="000C339E">
              <w:rPr>
                <w:b/>
              </w:rPr>
              <w:t>criteria with assessable environmental impacts and the assessed level of impact for each instance of non-</w:t>
            </w:r>
            <w:r>
              <w:rPr>
                <w:b/>
              </w:rPr>
              <w:t>conformance</w:t>
            </w:r>
            <w:r w:rsidRPr="000C339E">
              <w:rPr>
                <w:b/>
              </w:rPr>
              <w:t>.</w:t>
            </w:r>
          </w:p>
        </w:tc>
      </w:tr>
    </w:tbl>
    <w:p w14:paraId="099D2273" w14:textId="087617C1" w:rsidR="00EF769B" w:rsidRDefault="00EF769B" w:rsidP="00EF769B">
      <w:pPr>
        <w:pStyle w:val="Caption"/>
        <w:keepNext w:val="0"/>
        <w:spacing w:before="120"/>
      </w:pPr>
      <w:bookmarkStart w:id="75" w:name="_Ref11871868"/>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2</w:t>
      </w:r>
      <w:r w:rsidR="0013561C">
        <w:rPr>
          <w:noProof/>
        </w:rPr>
        <w:fldChar w:fldCharType="end"/>
      </w:r>
      <w:bookmarkEnd w:id="75"/>
      <w:r>
        <w:t xml:space="preserve"> Overall compliance findings and assessed environmental impact for instances of non-conformance for regeneration coupes. The x-axis refers to the coupe numbers, as per </w:t>
      </w:r>
      <w:r>
        <w:fldChar w:fldCharType="begin" w:fldLock="1"/>
      </w:r>
      <w:r>
        <w:instrText xml:space="preserve"> REF _Ref13842356 \h </w:instrText>
      </w:r>
      <w:r>
        <w:fldChar w:fldCharType="separate"/>
      </w:r>
      <w:r w:rsidR="005544E2">
        <w:t xml:space="preserve">Table </w:t>
      </w:r>
      <w:r w:rsidR="005544E2">
        <w:rPr>
          <w:noProof/>
        </w:rPr>
        <w:t>3</w:t>
      </w:r>
      <w:r w:rsidR="005544E2">
        <w:t>.</w:t>
      </w:r>
      <w:r w:rsidR="005544E2">
        <w:rPr>
          <w:noProof/>
        </w:rPr>
        <w:t>3</w:t>
      </w:r>
      <w:r>
        <w:fldChar w:fldCharType="end"/>
      </w:r>
      <w:r>
        <w:t>.</w:t>
      </w:r>
    </w:p>
    <w:p w14:paraId="6C3F3BFD" w14:textId="6731A8AB" w:rsidR="00EF769B" w:rsidRPr="009E6D98" w:rsidRDefault="00EF769B" w:rsidP="00EF769B">
      <w:pPr>
        <w:pStyle w:val="Para0"/>
      </w:pPr>
      <w:r>
        <w:t>The EIA tool (</w:t>
      </w:r>
      <w:r>
        <w:fldChar w:fldCharType="begin" w:fldLock="1"/>
      </w:r>
      <w:r>
        <w:instrText xml:space="preserve"> REF _Ref13845696 \r \h </w:instrText>
      </w:r>
      <w:r>
        <w:fldChar w:fldCharType="separate"/>
      </w:r>
      <w:r w:rsidR="005544E2">
        <w:t>Appendix B</w:t>
      </w:r>
      <w:r>
        <w:fldChar w:fldCharType="end"/>
      </w:r>
      <w:r>
        <w:t>) was used to assess the potential EI associated with each non-conformance incident. This ranged between negligible and major (</w:t>
      </w:r>
      <w:r>
        <w:fldChar w:fldCharType="begin" w:fldLock="1"/>
      </w:r>
      <w:r>
        <w:instrText xml:space="preserve"> REF _Ref11871868 \h </w:instrText>
      </w:r>
      <w:r>
        <w:fldChar w:fldCharType="separate"/>
      </w:r>
      <w:r w:rsidR="005544E2">
        <w:t xml:space="preserve">Figure </w:t>
      </w:r>
      <w:r w:rsidR="005544E2">
        <w:rPr>
          <w:noProof/>
        </w:rPr>
        <w:t>4</w:t>
      </w:r>
      <w:r w:rsidR="005544E2">
        <w:t>.</w:t>
      </w:r>
      <w:r w:rsidR="005544E2">
        <w:rPr>
          <w:noProof/>
        </w:rPr>
        <w:t>2</w:t>
      </w:r>
      <w:r>
        <w:fldChar w:fldCharType="end"/>
      </w:r>
      <w:r>
        <w:t xml:space="preserve">). Non-conformances with major potential EI were only assessed for R1 Lil John. This related to a regeneration burn that breached containment and affected an adjacent SPZ. </w:t>
      </w:r>
    </w:p>
    <w:p w14:paraId="50ED4B2D" w14:textId="77777777" w:rsidR="00EF769B" w:rsidRDefault="00EF769B" w:rsidP="00EF769B">
      <w:pPr>
        <w:pStyle w:val="Para0"/>
      </w:pPr>
      <w:r>
        <w:t>Seven of the 10 regeneration coupes were assessed to be adequately stocked. R6 Bottom End and R7 Tym Tym were both poorly stocked throughout, despite generally having what appeared to be receptive seed beds. R1 Lil John was also assessed to not be adequately stocked overall, however significant areas within the coupe were adequately stocked.</w:t>
      </w:r>
    </w:p>
    <w:p w14:paraId="3A69D756" w14:textId="77777777" w:rsidR="00EF769B" w:rsidRPr="004372B6" w:rsidRDefault="00EF769B" w:rsidP="00EF769B">
      <w:pPr>
        <w:pStyle w:val="Heading2"/>
      </w:pPr>
      <w:bookmarkStart w:id="76" w:name="_Toc21354786"/>
      <w:bookmarkStart w:id="77" w:name="_Toc33202279"/>
      <w:r>
        <w:t>Harvest coupes: environmental compliance theme</w:t>
      </w:r>
      <w:bookmarkEnd w:id="76"/>
      <w:bookmarkEnd w:id="77"/>
    </w:p>
    <w:p w14:paraId="0976DDDB" w14:textId="77777777" w:rsidR="00EF769B" w:rsidRDefault="00EF769B" w:rsidP="00EF769B">
      <w:pPr>
        <w:pStyle w:val="Para0"/>
      </w:pPr>
      <w:r>
        <w:t>The environmental compliance theme included three main groups of compliance element and audit criteria, those relating to soil, water and biodiversity values. Several roading compliance elements and criteria were also applicable to this theme.</w:t>
      </w:r>
    </w:p>
    <w:p w14:paraId="3029C558" w14:textId="77777777" w:rsidR="00EF769B" w:rsidRDefault="00EF769B" w:rsidP="00EF769B">
      <w:pPr>
        <w:pStyle w:val="Heading3"/>
      </w:pPr>
      <w:bookmarkStart w:id="78" w:name="_Ref497128366"/>
      <w:bookmarkStart w:id="79" w:name="_Toc14273625"/>
      <w:bookmarkStart w:id="80" w:name="_Toc21354787"/>
      <w:bookmarkStart w:id="81" w:name="_Toc33202280"/>
      <w:r>
        <w:t>Compliance elements related to the protection of forest soils</w:t>
      </w:r>
      <w:bookmarkEnd w:id="78"/>
      <w:bookmarkEnd w:id="79"/>
      <w:bookmarkEnd w:id="80"/>
      <w:bookmarkEnd w:id="81"/>
    </w:p>
    <w:p w14:paraId="4D848FF1" w14:textId="4DE595E2" w:rsidR="00EF769B" w:rsidRDefault="00EF769B" w:rsidP="00EF769B">
      <w:pPr>
        <w:pStyle w:val="Para0"/>
      </w:pPr>
      <w:r>
        <w:t>Compliance elements related to the protection of forest soils (</w:t>
      </w:r>
      <w:r>
        <w:fldChar w:fldCharType="begin" w:fldLock="1"/>
      </w:r>
      <w:r>
        <w:instrText xml:space="preserve"> REF _Ref13827801 \r \h </w:instrText>
      </w:r>
      <w:r>
        <w:fldChar w:fldCharType="separate"/>
      </w:r>
      <w:r w:rsidR="005544E2">
        <w:t>Appendix A</w:t>
      </w:r>
      <w:r>
        <w:fldChar w:fldCharType="end"/>
      </w:r>
      <w:r>
        <w:t xml:space="preserve">) primarily relate to the avoidance of erosion or mass soil movement, as well as to mitigating the risk of entry of sediments into waterways, should they be mobilised. The entry of mobilised sediments into waterways is primarily dealt with under the water sub-theme (Section </w:t>
      </w:r>
      <w:r>
        <w:fldChar w:fldCharType="begin" w:fldLock="1"/>
      </w:r>
      <w:r>
        <w:instrText xml:space="preserve"> REF _Ref961472 \r \h </w:instrText>
      </w:r>
      <w:r>
        <w:fldChar w:fldCharType="separate"/>
      </w:r>
      <w:r w:rsidR="005544E2">
        <w:t>4.2.2</w:t>
      </w:r>
      <w:r>
        <w:fldChar w:fldCharType="end"/>
      </w:r>
      <w:r>
        <w:t>). The avoidance of erosion and mass movement of soils is achieved by:</w:t>
      </w:r>
    </w:p>
    <w:p w14:paraId="7192FB9F" w14:textId="77777777" w:rsidR="00EF769B" w:rsidRDefault="00EF769B" w:rsidP="00EF769B">
      <w:pPr>
        <w:pStyle w:val="Para0bullet"/>
      </w:pPr>
      <w:r>
        <w:t>Assessing and understanding soil erosion hazard within the coupe and adjusting operations accordingly</w:t>
      </w:r>
    </w:p>
    <w:p w14:paraId="2ECBF242" w14:textId="35F1FC57" w:rsidR="00EF769B" w:rsidRDefault="00EF769B" w:rsidP="00EF769B">
      <w:pPr>
        <w:pStyle w:val="Para0bullet"/>
      </w:pPr>
      <w:r>
        <w:t>Not harvesting in excessively steep areas</w:t>
      </w:r>
      <w:r w:rsidR="007E0985">
        <w:rPr>
          <w:rFonts w:ascii="ZWAdobeF" w:hAnsi="ZWAdobeF" w:cs="ZWAdobeF"/>
          <w:sz w:val="2"/>
          <w:szCs w:val="2"/>
        </w:rPr>
        <w:t>11F</w:t>
      </w:r>
      <w:r>
        <w:rPr>
          <w:rStyle w:val="FootnoteReference"/>
        </w:rPr>
        <w:footnoteReference w:id="12"/>
      </w:r>
    </w:p>
    <w:p w14:paraId="61198C3E" w14:textId="77777777" w:rsidR="00EF769B" w:rsidRDefault="00EF769B" w:rsidP="00EF769B">
      <w:pPr>
        <w:pStyle w:val="Para0bullet"/>
      </w:pPr>
      <w:r>
        <w:t xml:space="preserve">Application of seasonal closures to coupes in water supply catchments to reduce the risk of mobilising sediment when harvesting or snigging machinery would disturb wet soils </w:t>
      </w:r>
    </w:p>
    <w:p w14:paraId="2C25FE31" w14:textId="77777777" w:rsidR="00EF769B" w:rsidRPr="004E1B1F" w:rsidRDefault="00EF769B" w:rsidP="00EF769B">
      <w:pPr>
        <w:pStyle w:val="Para0bullet"/>
      </w:pPr>
      <w:r>
        <w:t>Appropriate location, construction, maintenance, closure and/or removal of in-coupe roads, road drainage and road or snig track waterway crossings.</w:t>
      </w:r>
    </w:p>
    <w:p w14:paraId="48956535" w14:textId="7CFBF747" w:rsidR="00EF769B" w:rsidRDefault="00EF769B" w:rsidP="00EF769B">
      <w:pPr>
        <w:pStyle w:val="Para0"/>
      </w:pPr>
      <w:r>
        <w:lastRenderedPageBreak/>
        <w:t>A total of 25 audit criteria were relevant to the protection of forest soils, two of which were not applicable to any of the target coupes. The average level of full conformance with applicable criteria was found to be 7</w:t>
      </w:r>
      <w:r w:rsidR="006F777E">
        <w:t>4</w:t>
      </w:r>
      <w:r>
        <w:t>%, with the level of conformance ranging between 46% (5 Creepy) and 100% (</w:t>
      </w:r>
      <w:r w:rsidR="006F777E">
        <w:t>5</w:t>
      </w:r>
      <w:r>
        <w:t xml:space="preserve"> coupes; </w:t>
      </w:r>
      <w:r>
        <w:fldChar w:fldCharType="begin" w:fldLock="1"/>
      </w:r>
      <w:r>
        <w:instrText xml:space="preserve"> REF _Ref497124419 \h </w:instrText>
      </w:r>
      <w:r>
        <w:fldChar w:fldCharType="separate"/>
      </w:r>
      <w:r w:rsidR="005544E2">
        <w:t xml:space="preserve">Figure </w:t>
      </w:r>
      <w:r w:rsidR="005544E2">
        <w:rPr>
          <w:noProof/>
        </w:rPr>
        <w:t>4</w:t>
      </w:r>
      <w:r w:rsidR="005544E2">
        <w:t>.</w:t>
      </w:r>
      <w:r w:rsidR="005544E2">
        <w:rPr>
          <w:noProof/>
        </w:rPr>
        <w:t>3</w:t>
      </w:r>
      <w:r>
        <w:fldChar w:fldCharType="end"/>
      </w:r>
      <w:r>
        <w:t xml:space="preserve">). The assessed environmental impact (EI) associated with non-conformances ranged between negligible and major.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264820A3" w14:textId="77777777" w:rsidTr="007B2F0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1C8A8198" w14:textId="092CB1F8" w:rsidR="00EF769B" w:rsidRDefault="00855E89" w:rsidP="00E24985">
            <w:pPr>
              <w:pStyle w:val="Tablesmalltext"/>
              <w:rPr>
                <w:b w:val="0"/>
              </w:rPr>
            </w:pPr>
            <w:r>
              <w:rPr>
                <w:noProof/>
              </w:rPr>
              <w:drawing>
                <wp:inline distT="0" distB="0" distL="0" distR="0" wp14:anchorId="65D49F12" wp14:editId="7B921658">
                  <wp:extent cx="6067425" cy="1803969"/>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7">
                            <a:extLst>
                              <a:ext uri="{28A0092B-C50C-407E-A947-70E740481C1C}">
                                <a14:useLocalDpi xmlns:a14="http://schemas.microsoft.com/office/drawing/2010/main" val="0"/>
                              </a:ext>
                            </a:extLst>
                          </a:blip>
                          <a:srcRect t="13260"/>
                          <a:stretch/>
                        </pic:blipFill>
                        <pic:spPr bwMode="auto">
                          <a:xfrm>
                            <a:off x="0" y="0"/>
                            <a:ext cx="6087497" cy="1809937"/>
                          </a:xfrm>
                          <a:prstGeom prst="rect">
                            <a:avLst/>
                          </a:prstGeom>
                          <a:noFill/>
                          <a:ln>
                            <a:noFill/>
                          </a:ln>
                          <a:extLst>
                            <a:ext uri="{53640926-AAD7-44D8-BBD7-CCE9431645EC}">
                              <a14:shadowObscured xmlns:a14="http://schemas.microsoft.com/office/drawing/2010/main"/>
                            </a:ext>
                          </a:extLst>
                        </pic:spPr>
                      </pic:pic>
                    </a:graphicData>
                  </a:graphic>
                </wp:inline>
              </w:drawing>
            </w:r>
          </w:p>
          <w:p w14:paraId="089A6602" w14:textId="7BB949D0" w:rsidR="00EF769B" w:rsidRPr="0088246D" w:rsidRDefault="00EF769B" w:rsidP="00E24985">
            <w:pPr>
              <w:pStyle w:val="Tablesmalltext"/>
              <w:rPr>
                <w:b w:val="0"/>
              </w:rPr>
            </w:pPr>
            <w:r>
              <w:t xml:space="preserve">a) Level of conformance with audit criteria. Conformance definitions (Full, Non-no EI, Non-EI)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w:t>
            </w:r>
          </w:p>
        </w:tc>
      </w:tr>
      <w:tr w:rsidR="00EF769B" w14:paraId="30DF347F" w14:textId="77777777" w:rsidTr="007B2F0C">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3818D2C0" w14:textId="753C6DA2" w:rsidR="00EF769B" w:rsidRDefault="00855E89" w:rsidP="00E24985">
            <w:pPr>
              <w:pStyle w:val="Tablesmalltext"/>
            </w:pPr>
            <w:r>
              <w:rPr>
                <w:noProof/>
              </w:rPr>
              <w:drawing>
                <wp:inline distT="0" distB="0" distL="0" distR="0" wp14:anchorId="6261D197" wp14:editId="4DFD22EE">
                  <wp:extent cx="6019800" cy="14361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8">
                            <a:extLst>
                              <a:ext uri="{28A0092B-C50C-407E-A947-70E740481C1C}">
                                <a14:useLocalDpi xmlns:a14="http://schemas.microsoft.com/office/drawing/2010/main" val="0"/>
                              </a:ext>
                            </a:extLst>
                          </a:blip>
                          <a:srcRect t="16027"/>
                          <a:stretch/>
                        </pic:blipFill>
                        <pic:spPr bwMode="auto">
                          <a:xfrm>
                            <a:off x="0" y="0"/>
                            <a:ext cx="6032756" cy="1439231"/>
                          </a:xfrm>
                          <a:prstGeom prst="rect">
                            <a:avLst/>
                          </a:prstGeom>
                          <a:noFill/>
                          <a:ln>
                            <a:noFill/>
                          </a:ln>
                          <a:extLst>
                            <a:ext uri="{53640926-AAD7-44D8-BBD7-CCE9431645EC}">
                              <a14:shadowObscured xmlns:a14="http://schemas.microsoft.com/office/drawing/2010/main"/>
                            </a:ext>
                          </a:extLst>
                        </pic:spPr>
                      </pic:pic>
                    </a:graphicData>
                  </a:graphic>
                </wp:inline>
              </w:drawing>
            </w:r>
          </w:p>
          <w:p w14:paraId="2B59D8CF" w14:textId="2870D3CE" w:rsidR="00EF769B" w:rsidRPr="00451DC9" w:rsidRDefault="00EF769B" w:rsidP="00E24985">
            <w:pPr>
              <w:pStyle w:val="Tablesmalltext"/>
              <w:rPr>
                <w:b/>
              </w:rPr>
            </w:pPr>
            <w:r w:rsidRPr="00451DC9">
              <w:rPr>
                <w:b/>
              </w:rPr>
              <w:t>b) Number of compliance criteria with assessable environmental impacts and the assessed level of impact for each instance of non-</w:t>
            </w:r>
            <w:r>
              <w:rPr>
                <w:b/>
              </w:rPr>
              <w:t>conformance</w:t>
            </w:r>
            <w:r w:rsidRPr="00451DC9">
              <w:rPr>
                <w:b/>
              </w:rPr>
              <w:t>.</w:t>
            </w:r>
          </w:p>
        </w:tc>
      </w:tr>
    </w:tbl>
    <w:p w14:paraId="7DEDC7EC" w14:textId="0EDC501B" w:rsidR="00EF769B" w:rsidRDefault="00EF769B" w:rsidP="00EF769B">
      <w:pPr>
        <w:pStyle w:val="Caption"/>
        <w:keepNext w:val="0"/>
        <w:spacing w:before="120"/>
      </w:pPr>
      <w:bookmarkStart w:id="82" w:name="_Ref497124419"/>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w:instrText>
      </w:r>
      <w:r w:rsidR="0013561C">
        <w:instrText xml:space="preserve"> ARABIC \s 1 </w:instrText>
      </w:r>
      <w:r w:rsidR="0013561C">
        <w:fldChar w:fldCharType="separate"/>
      </w:r>
      <w:r w:rsidR="007E0985">
        <w:rPr>
          <w:noProof/>
        </w:rPr>
        <w:t>3</w:t>
      </w:r>
      <w:r w:rsidR="0013561C">
        <w:rPr>
          <w:noProof/>
        </w:rPr>
        <w:fldChar w:fldCharType="end"/>
      </w:r>
      <w:bookmarkEnd w:id="82"/>
      <w:r>
        <w:t xml:space="preserve"> Compliance findings and assessed environmental impact for instances of non-conformance for criteria applicable to the protection of forest soils. The x-axis refers to the coupe numbers, as per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w:t>
      </w:r>
    </w:p>
    <w:p w14:paraId="6B1B50AC" w14:textId="77777777" w:rsidR="007B2F0C" w:rsidRDefault="007B2F0C" w:rsidP="007B2F0C">
      <w:pPr>
        <w:pStyle w:val="Para0"/>
      </w:pPr>
      <w:r>
        <w:t>Non-conformance incidents resulting in actual or potential environmental impacts on forest soils were identified in 23 coupes. The types of incidents resulting in assessed EI of moderate or major included:</w:t>
      </w:r>
    </w:p>
    <w:p w14:paraId="11F2BC04" w14:textId="77777777" w:rsidR="007B2F0C" w:rsidRPr="007D2F44" w:rsidRDefault="007B2F0C" w:rsidP="007B2F0C">
      <w:pPr>
        <w:pStyle w:val="Para0bullet"/>
        <w:numPr>
          <w:ilvl w:val="0"/>
          <w:numId w:val="72"/>
        </w:numPr>
        <w:rPr>
          <w:i/>
        </w:rPr>
      </w:pPr>
      <w:r w:rsidRPr="007D2F44">
        <w:rPr>
          <w:i/>
        </w:rPr>
        <w:t>Major potential EI:</w:t>
      </w:r>
    </w:p>
    <w:p w14:paraId="2823A944" w14:textId="6796D686" w:rsidR="007B2F0C" w:rsidRDefault="007B2F0C" w:rsidP="007B2F0C">
      <w:pPr>
        <w:pStyle w:val="Para1dash"/>
      </w:pPr>
      <w:r>
        <w:t>A culvert (5 Creepy) was constructed so that its outlet projected above the downstream bed of a permanent stream, leading to erosion and sediment mobilisation (</w:t>
      </w:r>
      <w:r>
        <w:fldChar w:fldCharType="begin" w:fldLock="1"/>
      </w:r>
      <w:r>
        <w:instrText xml:space="preserve"> REF _Ref523842499 \h </w:instrText>
      </w:r>
      <w:r>
        <w:fldChar w:fldCharType="separate"/>
      </w:r>
      <w:r w:rsidR="005544E2" w:rsidRPr="009038E7">
        <w:t xml:space="preserve">Figure </w:t>
      </w:r>
      <w:r w:rsidR="005544E2">
        <w:rPr>
          <w:noProof/>
        </w:rPr>
        <w:t>4</w:t>
      </w:r>
      <w:r w:rsidR="005544E2">
        <w:t>.</w:t>
      </w:r>
      <w:r w:rsidR="005544E2">
        <w:rPr>
          <w:noProof/>
        </w:rPr>
        <w:t>4</w:t>
      </w:r>
      <w:r>
        <w:fldChar w:fldCharType="end"/>
      </w:r>
      <w:r>
        <w:t>)</w:t>
      </w:r>
    </w:p>
    <w:p w14:paraId="7B2157F0" w14:textId="3BF89DCB" w:rsidR="007B2F0C" w:rsidRDefault="007B2F0C" w:rsidP="007B2F0C">
      <w:pPr>
        <w:pStyle w:val="Para1dash"/>
      </w:pPr>
      <w:r>
        <w:t>A regeneration burn (14 Fairway) affected a significant area of a planned riparian buffer, removed understorey vegetation and exposed soils in this sensitive area to the risk of erosion (</w:t>
      </w:r>
      <w:r>
        <w:fldChar w:fldCharType="begin" w:fldLock="1"/>
      </w:r>
      <w:r>
        <w:instrText xml:space="preserve"> REF _Ref523842499 \h </w:instrText>
      </w:r>
      <w:r>
        <w:fldChar w:fldCharType="separate"/>
      </w:r>
      <w:r w:rsidR="005544E2" w:rsidRPr="009038E7">
        <w:t xml:space="preserve">Figure </w:t>
      </w:r>
      <w:r w:rsidR="005544E2">
        <w:rPr>
          <w:noProof/>
        </w:rPr>
        <w:t>4</w:t>
      </w:r>
      <w:r w:rsidR="005544E2">
        <w:t>.</w:t>
      </w:r>
      <w:r w:rsidR="005544E2">
        <w:rPr>
          <w:noProof/>
        </w:rPr>
        <w:t>4</w:t>
      </w:r>
      <w:r>
        <w:fldChar w:fldCharType="end"/>
      </w:r>
      <w:r>
        <w:t>).</w:t>
      </w:r>
    </w:p>
    <w:p w14:paraId="493781E8" w14:textId="77777777" w:rsidR="007B2F0C" w:rsidRDefault="007B2F0C" w:rsidP="007B2F0C">
      <w:pPr>
        <w:pStyle w:val="Para1"/>
        <w:spacing w:before="120"/>
      </w:pPr>
      <w:r>
        <w:t>In both cases, the level of assessed EI results from the sensitivity of the locations in which the non-conformance incidents occurred and the risk posed to soils and water quality. At the time of the audit, the actual environmental effect of the non-conformance incidents on forest soils was minimal.</w:t>
      </w:r>
    </w:p>
    <w:p w14:paraId="717F7486" w14:textId="77777777" w:rsidR="007B2F0C" w:rsidRPr="007D2F44" w:rsidRDefault="007B2F0C" w:rsidP="007B2F0C">
      <w:pPr>
        <w:pStyle w:val="Para0bullet"/>
        <w:numPr>
          <w:ilvl w:val="0"/>
          <w:numId w:val="72"/>
        </w:numPr>
        <w:rPr>
          <w:i/>
        </w:rPr>
      </w:pPr>
      <w:r w:rsidRPr="007D2F44">
        <w:rPr>
          <w:i/>
        </w:rPr>
        <w:t>Moderate potential EI:</w:t>
      </w:r>
    </w:p>
    <w:p w14:paraId="41A63151" w14:textId="0514BFCF" w:rsidR="007B2F0C" w:rsidRDefault="007B2F0C" w:rsidP="007B2F0C">
      <w:pPr>
        <w:pStyle w:val="Para1dash"/>
      </w:pPr>
      <w:r>
        <w:t>Long lengths of in-coupe road (23 Pilcrow, 28 Vox) without effective drainage (in excess of MSP prescriptions), resulting in erosion of the road surface</w:t>
      </w:r>
      <w:r w:rsidR="007E0985">
        <w:rPr>
          <w:rFonts w:ascii="ZWAdobeF" w:hAnsi="ZWAdobeF" w:cs="ZWAdobeF"/>
          <w:sz w:val="2"/>
          <w:szCs w:val="2"/>
        </w:rPr>
        <w:t>12F</w:t>
      </w:r>
      <w:r>
        <w:rPr>
          <w:rStyle w:val="FootnoteReference"/>
        </w:rPr>
        <w:footnoteReference w:id="13"/>
      </w:r>
      <w:r>
        <w:t xml:space="preserve"> and significant quantities of road sediment </w:t>
      </w:r>
      <w:r>
        <w:lastRenderedPageBreak/>
        <w:t>being deposited into waterways (</w:t>
      </w:r>
      <w:r>
        <w:fldChar w:fldCharType="begin" w:fldLock="1"/>
      </w:r>
      <w:r>
        <w:instrText xml:space="preserve"> REF _Ref523842499 \h </w:instrText>
      </w:r>
      <w:r>
        <w:fldChar w:fldCharType="separate"/>
      </w:r>
      <w:r w:rsidR="005544E2" w:rsidRPr="009038E7">
        <w:t xml:space="preserve">Figure </w:t>
      </w:r>
      <w:r w:rsidR="005544E2">
        <w:rPr>
          <w:noProof/>
        </w:rPr>
        <w:t>4</w:t>
      </w:r>
      <w:r w:rsidR="005544E2">
        <w:t>.</w:t>
      </w:r>
      <w:r w:rsidR="005544E2">
        <w:rPr>
          <w:noProof/>
        </w:rPr>
        <w:t>4</w:t>
      </w:r>
      <w:r>
        <w:fldChar w:fldCharType="end"/>
      </w:r>
      <w:r>
        <w:t xml:space="preserve">). Assessed EI is considered by the auditors to reflect the actual level of environmental impact of the non-conformance incident. </w:t>
      </w:r>
    </w:p>
    <w:p w14:paraId="1FBEB4FD" w14:textId="77777777" w:rsidR="007B2F0C" w:rsidRDefault="007B2F0C" w:rsidP="007B2F0C">
      <w:pPr>
        <w:pStyle w:val="Para1dash"/>
      </w:pPr>
      <w:r>
        <w:t>Several snig track crossings (7 The Wolfman) ran through drainage line filter strips in circumstances where there were reasonably practicable alternatives to this. The assessed EI was considered by the auditor to be more consistent with the sensitivity of the environment than the level of impact on forest soils.</w:t>
      </w:r>
    </w:p>
    <w:p w14:paraId="526F4FD8" w14:textId="7232091A" w:rsidR="00A26E59" w:rsidRPr="00A26E59" w:rsidRDefault="007B2F0C" w:rsidP="007B2F0C">
      <w:pPr>
        <w:pStyle w:val="Para1dash"/>
      </w:pPr>
      <w:r>
        <w:t>Many sections of snig track (18 Mulloway) without effective drainage (as per VicForests Utilisation Procedures), resulting in potential for and actual erosion and sediment movement.</w:t>
      </w:r>
    </w:p>
    <w:tbl>
      <w:tblPr>
        <w:tblStyle w:val="Table1"/>
        <w:tblW w:w="98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06"/>
        <w:gridCol w:w="2977"/>
        <w:gridCol w:w="3827"/>
      </w:tblGrid>
      <w:tr w:rsidR="00EF769B" w14:paraId="72B06564"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10" w:type="dxa"/>
            <w:gridSpan w:val="3"/>
            <w:shd w:val="clear" w:color="auto" w:fill="auto"/>
          </w:tcPr>
          <w:p w14:paraId="494B8EC1" w14:textId="77777777" w:rsidR="00EF769B" w:rsidRDefault="00EF769B" w:rsidP="00E24985">
            <w:pPr>
              <w:pStyle w:val="Tablesmalltext"/>
              <w:jc w:val="center"/>
            </w:pPr>
            <w:r>
              <w:rPr>
                <w:noProof/>
              </w:rPr>
              <w:drawing>
                <wp:inline distT="0" distB="0" distL="0" distR="0" wp14:anchorId="595E012D" wp14:editId="065FF56A">
                  <wp:extent cx="6122104" cy="27241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8783" cy="2727122"/>
                          </a:xfrm>
                          <a:prstGeom prst="rect">
                            <a:avLst/>
                          </a:prstGeom>
                          <a:noFill/>
                        </pic:spPr>
                      </pic:pic>
                    </a:graphicData>
                  </a:graphic>
                </wp:inline>
              </w:drawing>
            </w:r>
          </w:p>
        </w:tc>
      </w:tr>
      <w:tr w:rsidR="00EF769B" w14:paraId="52FB6D44" w14:textId="77777777" w:rsidTr="00E24985">
        <w:tc>
          <w:tcPr>
            <w:cnfStyle w:val="001000000000" w:firstRow="0" w:lastRow="0" w:firstColumn="1" w:lastColumn="0" w:oddVBand="0" w:evenVBand="0" w:oddHBand="0" w:evenHBand="0" w:firstRowFirstColumn="0" w:firstRowLastColumn="0" w:lastRowFirstColumn="0" w:lastRowLastColumn="0"/>
            <w:tcW w:w="3006" w:type="dxa"/>
            <w:shd w:val="clear" w:color="auto" w:fill="auto"/>
          </w:tcPr>
          <w:p w14:paraId="742EA104" w14:textId="6519AF60" w:rsidR="00EF769B" w:rsidRPr="007439BA" w:rsidRDefault="00EF769B" w:rsidP="00E24985">
            <w:pPr>
              <w:pStyle w:val="Tablesmalltext"/>
            </w:pPr>
            <w:r>
              <w:t>The outlet of this culvert on 5 Creepy projects almost 1 m above the downstream bed of the permanent stream and has resulted in some (minor) erosion. The assessed major EI relates to the sensitivity of this location rather than the actual level of impact</w:t>
            </w:r>
          </w:p>
        </w:tc>
        <w:tc>
          <w:tcPr>
            <w:tcW w:w="2977" w:type="dxa"/>
            <w:shd w:val="clear" w:color="auto" w:fill="auto"/>
          </w:tcPr>
          <w:p w14:paraId="3BE401AD" w14:textId="3E442C1E" w:rsidR="00EF769B" w:rsidRPr="007439BA" w:rsidRDefault="00EF769B" w:rsidP="00E24985">
            <w:pPr>
              <w:pStyle w:val="Tablesmalltext"/>
              <w:ind w:left="-14"/>
              <w:cnfStyle w:val="000000000000" w:firstRow="0" w:lastRow="0" w:firstColumn="0" w:lastColumn="0" w:oddVBand="0" w:evenVBand="0" w:oddHBand="0" w:evenHBand="0" w:firstRowFirstColumn="0" w:firstRowLastColumn="0" w:lastRowFirstColumn="0" w:lastRowLastColumn="0"/>
            </w:pPr>
            <w:r>
              <w:t>The regeneration burn in 14 Fairway burnt significant areas of the planned riparian buffer. This destroyed groundcover and poses a risk of soil erosion and sediment transport into the buffered waterway</w:t>
            </w:r>
            <w:r w:rsidRPr="007439BA">
              <w:t>.</w:t>
            </w:r>
            <w:r>
              <w:t xml:space="preserve"> Again, the assessed major EI relates to the sensitivity of the location in which the non-conformance occurred.</w:t>
            </w:r>
          </w:p>
        </w:tc>
        <w:tc>
          <w:tcPr>
            <w:tcW w:w="3827" w:type="dxa"/>
            <w:shd w:val="clear" w:color="auto" w:fill="auto"/>
          </w:tcPr>
          <w:p w14:paraId="352120FE" w14:textId="77AF0DFE" w:rsidR="00EF769B" w:rsidRPr="007439BA" w:rsidRDefault="00EF769B" w:rsidP="00E24985">
            <w:pPr>
              <w:pStyle w:val="Tablesmalltext"/>
              <w:cnfStyle w:val="000000000000" w:firstRow="0" w:lastRow="0" w:firstColumn="0" w:lastColumn="0" w:oddVBand="0" w:evenVBand="0" w:oddHBand="0" w:evenHBand="0" w:firstRowFirstColumn="0" w:firstRowLastColumn="0" w:lastRowFirstColumn="0" w:lastRowLastColumn="0"/>
            </w:pPr>
            <w:r>
              <w:t>Lack of effective drainage of this in-coupe road in 23 Pilcrow resulted in drainage from several hundred metres of road informally running across the embankment of a waterway crossing, leading to erosion of the road surface and embankment and deposition of significant quantities of sediment into a temporary stream. Assessed EI was moderate.</w:t>
            </w:r>
          </w:p>
        </w:tc>
      </w:tr>
    </w:tbl>
    <w:p w14:paraId="129B9E00" w14:textId="532BBD75" w:rsidR="00EF769B" w:rsidRDefault="00EF769B" w:rsidP="00EF769B">
      <w:pPr>
        <w:pStyle w:val="Caption"/>
      </w:pPr>
      <w:bookmarkStart w:id="83" w:name="_Ref523842499"/>
      <w:r w:rsidRPr="009038E7">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4</w:t>
      </w:r>
      <w:r w:rsidR="0013561C">
        <w:rPr>
          <w:noProof/>
        </w:rPr>
        <w:fldChar w:fldCharType="end"/>
      </w:r>
      <w:bookmarkEnd w:id="83"/>
      <w:r w:rsidRPr="009038E7">
        <w:t xml:space="preserve">: </w:t>
      </w:r>
      <w:r>
        <w:t>Examples of non-conformance incidents with potential or actual environmental impacts on forest soils.</w:t>
      </w:r>
    </w:p>
    <w:p w14:paraId="770926BC" w14:textId="77777777" w:rsidR="00EF769B" w:rsidRDefault="00EF769B" w:rsidP="00EF769B">
      <w:pPr>
        <w:pStyle w:val="Heading3"/>
      </w:pPr>
      <w:bookmarkStart w:id="84" w:name="_Ref961472"/>
      <w:bookmarkStart w:id="85" w:name="_Toc14273626"/>
      <w:bookmarkStart w:id="86" w:name="_Toc21354788"/>
      <w:bookmarkStart w:id="87" w:name="_Toc33202281"/>
      <w:r>
        <w:t>Compliance elements related to the protection of water flows, water quality and river health</w:t>
      </w:r>
      <w:bookmarkEnd w:id="84"/>
      <w:bookmarkEnd w:id="85"/>
      <w:bookmarkEnd w:id="86"/>
      <w:bookmarkEnd w:id="87"/>
    </w:p>
    <w:p w14:paraId="351FF81A" w14:textId="30ADD07E" w:rsidR="00EF769B" w:rsidRDefault="00EF769B" w:rsidP="00EF769B">
      <w:pPr>
        <w:pStyle w:val="Para0"/>
      </w:pPr>
      <w:r>
        <w:t>Compliance elements relevant to this theme (</w:t>
      </w:r>
      <w:r>
        <w:fldChar w:fldCharType="begin" w:fldLock="1"/>
      </w:r>
      <w:r>
        <w:instrText xml:space="preserve"> REF _Ref13827801 \r \h </w:instrText>
      </w:r>
      <w:r>
        <w:fldChar w:fldCharType="separate"/>
      </w:r>
      <w:r w:rsidR="005544E2">
        <w:t>Appendix A</w:t>
      </w:r>
      <w:r>
        <w:fldChar w:fldCharType="end"/>
      </w:r>
      <w:r>
        <w:t>) seek to protect water flows, water quality and river health by:</w:t>
      </w:r>
    </w:p>
    <w:p w14:paraId="267DD663" w14:textId="77777777" w:rsidR="00EF769B" w:rsidRDefault="00EF769B" w:rsidP="00E74AFC">
      <w:pPr>
        <w:pStyle w:val="Para0bullet"/>
        <w:numPr>
          <w:ilvl w:val="0"/>
          <w:numId w:val="72"/>
        </w:numPr>
      </w:pPr>
      <w:r>
        <w:t>Classifying waterways present in the coupe and applying at least the minimum width of filters and/or buffers required</w:t>
      </w:r>
    </w:p>
    <w:p w14:paraId="44965EBE" w14:textId="77777777" w:rsidR="00EF769B" w:rsidRDefault="00EF769B" w:rsidP="00E74AFC">
      <w:pPr>
        <w:pStyle w:val="Para0bullet"/>
        <w:numPr>
          <w:ilvl w:val="0"/>
          <w:numId w:val="72"/>
        </w:numPr>
      </w:pPr>
      <w:r>
        <w:t>Application of seasonal closures to reduce the risk of sediment mobilisation during wet weather in water supply catchments</w:t>
      </w:r>
    </w:p>
    <w:p w14:paraId="57BD8380" w14:textId="77777777" w:rsidR="00EF769B" w:rsidRPr="004E1B1F" w:rsidRDefault="00EF769B" w:rsidP="00E74AFC">
      <w:pPr>
        <w:pStyle w:val="Para0bullet"/>
        <w:numPr>
          <w:ilvl w:val="0"/>
          <w:numId w:val="72"/>
        </w:numPr>
      </w:pPr>
      <w:r>
        <w:t>Appropriate design, construction and maintenance of in-coupe roads, road drainage and waterway crossings.</w:t>
      </w:r>
    </w:p>
    <w:p w14:paraId="1C6AB598" w14:textId="77777777" w:rsidR="00EF769B" w:rsidRDefault="00EF769B" w:rsidP="00EF769B">
      <w:pPr>
        <w:pStyle w:val="Para0"/>
      </w:pPr>
      <w:r>
        <w:lastRenderedPageBreak/>
        <w:t xml:space="preserve">Many of the compliance requirements (and criteria) are also applicable to the protection of forest soils and to the management of impacts from in-coupe road construction. A total of 45 audit criteria were relevant to this theme, two of which were not applicable to any of the target coupes. </w:t>
      </w:r>
    </w:p>
    <w:p w14:paraId="44C557DE" w14:textId="09B0A562" w:rsidR="00EF769B" w:rsidRDefault="00EF769B" w:rsidP="00EF769B">
      <w:pPr>
        <w:pStyle w:val="Para0"/>
      </w:pPr>
      <w:r>
        <w:t xml:space="preserve">The average level of full conformance with applicable criteria was found to be </w:t>
      </w:r>
      <w:r w:rsidR="006F777E">
        <w:t>81</w:t>
      </w:r>
      <w:r>
        <w:t>%, with the level of conformance ranging between 36% (28 Vox) and 100% (</w:t>
      </w:r>
      <w:r w:rsidR="006F777E">
        <w:t>four coupes</w:t>
      </w:r>
      <w:r>
        <w:t>). The assessed EI associated with non-conformances ranged between negligible and major (</w:t>
      </w:r>
      <w:r>
        <w:fldChar w:fldCharType="begin" w:fldLock="1"/>
      </w:r>
      <w:r>
        <w:instrText xml:space="preserve"> REF _Ref497144360 \h </w:instrText>
      </w:r>
      <w:r>
        <w:fldChar w:fldCharType="separate"/>
      </w:r>
      <w:r w:rsidR="005544E2">
        <w:t xml:space="preserve">Figure </w:t>
      </w:r>
      <w:r w:rsidR="005544E2">
        <w:rPr>
          <w:noProof/>
        </w:rPr>
        <w:t>4</w:t>
      </w:r>
      <w:r w:rsidR="005544E2">
        <w:t>.</w:t>
      </w:r>
      <w:r w:rsidR="005544E2">
        <w:rPr>
          <w:noProof/>
        </w:rPr>
        <w:t>5</w:t>
      </w:r>
      <w:r>
        <w:fldChar w:fldCharType="end"/>
      </w:r>
      <w:r>
        <w:t xml:space="preserve">). Non-conformances which were assessed to have major EI were identified on </w:t>
      </w:r>
      <w:r w:rsidR="006F777E">
        <w:t>six</w:t>
      </w:r>
      <w:r>
        <w:t xml:space="preserve"> coupes (5 Creepy, </w:t>
      </w:r>
      <w:r w:rsidR="006F777E">
        <w:t>6 Emine</w:t>
      </w:r>
      <w:r w:rsidR="00B7271B">
        <w:t>m</w:t>
      </w:r>
      <w:r w:rsidR="006F777E">
        <w:t xml:space="preserve">, </w:t>
      </w:r>
      <w:r>
        <w:t>14 Fairway, 16 Lady Lavery, 18 Mulloway</w:t>
      </w:r>
      <w:r w:rsidRPr="00014E21">
        <w:t xml:space="preserve"> </w:t>
      </w:r>
      <w:r>
        <w:t>and 23 Pilcrow). Water-related non-conformances with EI were observed in 25 of the 30 harvest coupes included in this component of the audit.</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28764252"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61C8BCB5" w14:textId="5C4168DD" w:rsidR="00EF769B" w:rsidRDefault="00554A7B" w:rsidP="00E24985">
            <w:pPr>
              <w:pStyle w:val="Tablesmalltext"/>
              <w:rPr>
                <w:b w:val="0"/>
              </w:rPr>
            </w:pPr>
            <w:r>
              <w:rPr>
                <w:noProof/>
              </w:rPr>
              <w:drawing>
                <wp:inline distT="0" distB="0" distL="0" distR="0" wp14:anchorId="3C142481" wp14:editId="43DD1AA6">
                  <wp:extent cx="6057900" cy="1827523"/>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a:extLst>
                              <a:ext uri="{28A0092B-C50C-407E-A947-70E740481C1C}">
                                <a14:useLocalDpi xmlns:a14="http://schemas.microsoft.com/office/drawing/2010/main" val="0"/>
                              </a:ext>
                            </a:extLst>
                          </a:blip>
                          <a:srcRect t="11278"/>
                          <a:stretch/>
                        </pic:blipFill>
                        <pic:spPr bwMode="auto">
                          <a:xfrm>
                            <a:off x="0" y="0"/>
                            <a:ext cx="6080873" cy="1834453"/>
                          </a:xfrm>
                          <a:prstGeom prst="rect">
                            <a:avLst/>
                          </a:prstGeom>
                          <a:noFill/>
                          <a:ln>
                            <a:noFill/>
                          </a:ln>
                          <a:extLst>
                            <a:ext uri="{53640926-AAD7-44D8-BBD7-CCE9431645EC}">
                              <a14:shadowObscured xmlns:a14="http://schemas.microsoft.com/office/drawing/2010/main"/>
                            </a:ext>
                          </a:extLst>
                        </pic:spPr>
                      </pic:pic>
                    </a:graphicData>
                  </a:graphic>
                </wp:inline>
              </w:drawing>
            </w:r>
          </w:p>
          <w:p w14:paraId="6CFC5C85" w14:textId="012703F9" w:rsidR="00EF769B" w:rsidRPr="0088246D" w:rsidRDefault="00EF769B" w:rsidP="00E24985">
            <w:pPr>
              <w:pStyle w:val="Tablesmalltext"/>
              <w:rPr>
                <w:b w:val="0"/>
              </w:rPr>
            </w:pPr>
            <w:r>
              <w:t xml:space="preserve">a) Level of conformance with audit criteria. Conformance definitions (Full, Non-no EI, Non-EI)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w:t>
            </w:r>
          </w:p>
        </w:tc>
      </w:tr>
      <w:tr w:rsidR="00EF769B" w14:paraId="458AB6B4" w14:textId="77777777" w:rsidTr="00E24985">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5BDAFBC2" w14:textId="50B46231" w:rsidR="00EF769B" w:rsidRDefault="006F777E" w:rsidP="00E24985">
            <w:pPr>
              <w:pStyle w:val="Tablesmalltext"/>
            </w:pPr>
            <w:r>
              <w:rPr>
                <w:noProof/>
              </w:rPr>
              <w:drawing>
                <wp:inline distT="0" distB="0" distL="0" distR="0" wp14:anchorId="0A754940" wp14:editId="72B742C3">
                  <wp:extent cx="6057900" cy="147500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1">
                            <a:extLst>
                              <a:ext uri="{28A0092B-C50C-407E-A947-70E740481C1C}">
                                <a14:useLocalDpi xmlns:a14="http://schemas.microsoft.com/office/drawing/2010/main" val="0"/>
                              </a:ext>
                            </a:extLst>
                          </a:blip>
                          <a:srcRect t="15326"/>
                          <a:stretch/>
                        </pic:blipFill>
                        <pic:spPr bwMode="auto">
                          <a:xfrm>
                            <a:off x="0" y="0"/>
                            <a:ext cx="6073258" cy="1478741"/>
                          </a:xfrm>
                          <a:prstGeom prst="rect">
                            <a:avLst/>
                          </a:prstGeom>
                          <a:noFill/>
                          <a:ln>
                            <a:noFill/>
                          </a:ln>
                          <a:extLst>
                            <a:ext uri="{53640926-AAD7-44D8-BBD7-CCE9431645EC}">
                              <a14:shadowObscured xmlns:a14="http://schemas.microsoft.com/office/drawing/2010/main"/>
                            </a:ext>
                          </a:extLst>
                        </pic:spPr>
                      </pic:pic>
                    </a:graphicData>
                  </a:graphic>
                </wp:inline>
              </w:drawing>
            </w:r>
          </w:p>
          <w:p w14:paraId="7AF9359D" w14:textId="5F433D5E" w:rsidR="00EF769B" w:rsidRPr="00451DC9" w:rsidRDefault="00EF769B" w:rsidP="00E24985">
            <w:pPr>
              <w:pStyle w:val="Tablesmalltext"/>
              <w:rPr>
                <w:b/>
              </w:rPr>
            </w:pPr>
            <w:r w:rsidRPr="00451DC9">
              <w:rPr>
                <w:b/>
              </w:rPr>
              <w:t>b) Number of compliance criteria with assessable environmental impacts and the assessed level of impact for each instance of non-</w:t>
            </w:r>
            <w:r>
              <w:rPr>
                <w:b/>
              </w:rPr>
              <w:t>conformance</w:t>
            </w:r>
            <w:r w:rsidRPr="00451DC9">
              <w:rPr>
                <w:b/>
              </w:rPr>
              <w:t>.</w:t>
            </w:r>
          </w:p>
        </w:tc>
      </w:tr>
    </w:tbl>
    <w:p w14:paraId="758FFC2B" w14:textId="75B19A1F" w:rsidR="00EF769B" w:rsidRDefault="00EF769B" w:rsidP="00EF769B">
      <w:pPr>
        <w:pStyle w:val="Caption"/>
        <w:keepNext w:val="0"/>
        <w:spacing w:before="120"/>
      </w:pPr>
      <w:bookmarkStart w:id="88" w:name="_Ref497144360"/>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5</w:t>
      </w:r>
      <w:r w:rsidR="0013561C">
        <w:rPr>
          <w:noProof/>
        </w:rPr>
        <w:fldChar w:fldCharType="end"/>
      </w:r>
      <w:bookmarkEnd w:id="88"/>
      <w:r>
        <w:t xml:space="preserve"> Compliance findings and assessed environmental impact for instances of non-conformance for criteria applicable to the protection of water quality, flows and river health.</w:t>
      </w:r>
      <w:r w:rsidRPr="009B2959">
        <w:t xml:space="preserve"> </w:t>
      </w:r>
      <w:r>
        <w:t xml:space="preserve">The x-axis refers to the coupe numbers, as per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w:t>
      </w:r>
    </w:p>
    <w:p w14:paraId="2FC9E33A" w14:textId="77777777" w:rsidR="00EF769B" w:rsidRDefault="00EF769B" w:rsidP="00EF769B">
      <w:pPr>
        <w:pStyle w:val="Para0"/>
      </w:pPr>
      <w:r>
        <w:t>Several of the incidents with moderate or major potential EI relating to water quality, flows and river health were also non-conforming with forest soils compliance criteria. The types of incident with moderate or major potential EI included:</w:t>
      </w:r>
    </w:p>
    <w:p w14:paraId="6F1EE73B" w14:textId="77777777" w:rsidR="00EF769B" w:rsidRPr="00E22548" w:rsidRDefault="00EF769B" w:rsidP="00E74AFC">
      <w:pPr>
        <w:pStyle w:val="Para0bullet"/>
        <w:numPr>
          <w:ilvl w:val="0"/>
          <w:numId w:val="72"/>
        </w:numPr>
        <w:rPr>
          <w:i/>
        </w:rPr>
      </w:pPr>
      <w:r w:rsidRPr="00E22548">
        <w:rPr>
          <w:i/>
        </w:rPr>
        <w:t>Major potential EI:</w:t>
      </w:r>
    </w:p>
    <w:p w14:paraId="0F99C75C" w14:textId="6B6A3018" w:rsidR="00EF769B" w:rsidRDefault="00EF769B" w:rsidP="00EF769B">
      <w:pPr>
        <w:pStyle w:val="Para1dash"/>
      </w:pPr>
      <w:r>
        <w:t xml:space="preserve">A culvert (5 Creepy; </w:t>
      </w:r>
      <w:r>
        <w:fldChar w:fldCharType="begin" w:fldLock="1"/>
      </w:r>
      <w:r>
        <w:instrText xml:space="preserve"> REF _Ref523842499 \h </w:instrText>
      </w:r>
      <w:r>
        <w:fldChar w:fldCharType="separate"/>
      </w:r>
      <w:r w:rsidR="005544E2" w:rsidRPr="009038E7">
        <w:t xml:space="preserve">Figure </w:t>
      </w:r>
      <w:r w:rsidR="005544E2">
        <w:rPr>
          <w:noProof/>
        </w:rPr>
        <w:t>4</w:t>
      </w:r>
      <w:r w:rsidR="005544E2">
        <w:t>.</w:t>
      </w:r>
      <w:r w:rsidR="005544E2">
        <w:rPr>
          <w:noProof/>
        </w:rPr>
        <w:t>4</w:t>
      </w:r>
      <w:r>
        <w:fldChar w:fldCharType="end"/>
      </w:r>
      <w:r>
        <w:t xml:space="preserve">) was constructed so that its outlet projected above the downstream bed of a waterway, leading to erosion and sediment mobilisation into the permanent stream </w:t>
      </w:r>
    </w:p>
    <w:p w14:paraId="1981D0E4" w14:textId="64720CEB" w:rsidR="00EF769B" w:rsidRDefault="00EF769B" w:rsidP="00EF769B">
      <w:pPr>
        <w:pStyle w:val="Para1dash"/>
      </w:pPr>
      <w:r>
        <w:t>Regeneration burns in 6 Eminem, 14 Fairway, 16 Lady Lavery, 18 Mulloway, 23 Pilcrow affected planned riparian buffers, which directly affects these environments and poses a risk to river health and water quality (</w:t>
      </w:r>
      <w:r>
        <w:fldChar w:fldCharType="begin" w:fldLock="1"/>
      </w:r>
      <w:r>
        <w:instrText xml:space="preserve"> REF _Ref523842499 \h </w:instrText>
      </w:r>
      <w:r>
        <w:fldChar w:fldCharType="separate"/>
      </w:r>
      <w:r w:rsidR="005544E2" w:rsidRPr="009038E7">
        <w:t xml:space="preserve">Figure </w:t>
      </w:r>
      <w:r w:rsidR="005544E2">
        <w:rPr>
          <w:noProof/>
        </w:rPr>
        <w:t>4</w:t>
      </w:r>
      <w:r w:rsidR="005544E2">
        <w:t>.</w:t>
      </w:r>
      <w:r w:rsidR="005544E2">
        <w:rPr>
          <w:noProof/>
        </w:rPr>
        <w:t>4</w:t>
      </w:r>
      <w:r>
        <w:fldChar w:fldCharType="end"/>
      </w:r>
      <w:r>
        <w:t>)</w:t>
      </w:r>
    </w:p>
    <w:p w14:paraId="243784B6" w14:textId="77777777" w:rsidR="00EF769B" w:rsidRDefault="00EF769B" w:rsidP="00EF769B">
      <w:pPr>
        <w:pStyle w:val="Para1dash"/>
      </w:pPr>
      <w:r>
        <w:lastRenderedPageBreak/>
        <w:t>The in-coupe road leading into 5 Creepy had no drains to intercept run-off prior to the waterway crossing, with the result that over 100 m of road drained directly into the permanent stream, rather than the approximately 20 m prescribed by the MSPs.</w:t>
      </w:r>
    </w:p>
    <w:p w14:paraId="00EAF158" w14:textId="77777777" w:rsidR="00EF769B" w:rsidRDefault="00EF769B" w:rsidP="00EF769B">
      <w:pPr>
        <w:pStyle w:val="Para1"/>
        <w:spacing w:before="120"/>
      </w:pPr>
      <w:r>
        <w:t>The major EI rating for these incidents is consistent with the sensitivity of the environments in which they occurred and is considered by the auditor to be an appropriate indication of the risk to river health and water quality.</w:t>
      </w:r>
    </w:p>
    <w:p w14:paraId="50396B6C" w14:textId="77777777" w:rsidR="00EF769B" w:rsidRPr="002E5925" w:rsidRDefault="00EF769B" w:rsidP="00E74AFC">
      <w:pPr>
        <w:pStyle w:val="Para0bullet"/>
        <w:numPr>
          <w:ilvl w:val="0"/>
          <w:numId w:val="72"/>
        </w:numPr>
        <w:rPr>
          <w:i/>
        </w:rPr>
      </w:pPr>
      <w:r w:rsidRPr="002E5925">
        <w:rPr>
          <w:i/>
        </w:rPr>
        <w:t>Moderate potential EI:</w:t>
      </w:r>
    </w:p>
    <w:p w14:paraId="45DAFFC0" w14:textId="7067EFDD" w:rsidR="00EF769B" w:rsidRDefault="00EF769B" w:rsidP="00EF769B">
      <w:pPr>
        <w:pStyle w:val="Para1dash"/>
      </w:pPr>
      <w:r>
        <w:t>Long lengths of in-coupe road (23 Pilcrow, 28 Vox) without effective drainage (in excess of MSP prescriptions), resulting in significant quantities of road sediment being deposited into waterways (</w:t>
      </w:r>
      <w:r>
        <w:fldChar w:fldCharType="begin" w:fldLock="1"/>
      </w:r>
      <w:r>
        <w:instrText xml:space="preserve"> REF _Ref523842499 \h </w:instrText>
      </w:r>
      <w:r>
        <w:fldChar w:fldCharType="separate"/>
      </w:r>
      <w:r w:rsidR="005544E2" w:rsidRPr="009038E7">
        <w:t xml:space="preserve">Figure </w:t>
      </w:r>
      <w:r w:rsidR="005544E2">
        <w:rPr>
          <w:noProof/>
        </w:rPr>
        <w:t>4</w:t>
      </w:r>
      <w:r w:rsidR="005544E2">
        <w:t>.</w:t>
      </w:r>
      <w:r w:rsidR="005544E2">
        <w:rPr>
          <w:noProof/>
        </w:rPr>
        <w:t>4</w:t>
      </w:r>
      <w:r>
        <w:fldChar w:fldCharType="end"/>
      </w:r>
      <w:r>
        <w:t>). In both cases there was also no effective structures to intercept and divert road drainage prior to it reaching a waterway crossing (of a temporary stream) on the in-coupe roads.</w:t>
      </w:r>
    </w:p>
    <w:p w14:paraId="7D92552B" w14:textId="198208BC" w:rsidR="00EF769B" w:rsidRDefault="00EF769B" w:rsidP="00EF769B">
      <w:pPr>
        <w:pStyle w:val="Para1dash"/>
      </w:pPr>
      <w:r>
        <w:t>The culvert inlet on the waterway crossing in 28 Vox was elevated above the upstream bed of the temporary stream and the culvert outlet was blocked and not visible (</w:t>
      </w:r>
      <w:r>
        <w:fldChar w:fldCharType="begin" w:fldLock="1"/>
      </w:r>
      <w:r>
        <w:instrText xml:space="preserve"> REF _Ref523844283 \h </w:instrText>
      </w:r>
      <w:r>
        <w:fldChar w:fldCharType="separate"/>
      </w:r>
      <w:r w:rsidR="005544E2">
        <w:t xml:space="preserve">Figure </w:t>
      </w:r>
      <w:r w:rsidR="005544E2">
        <w:rPr>
          <w:noProof/>
        </w:rPr>
        <w:t>4</w:t>
      </w:r>
      <w:r w:rsidR="005544E2">
        <w:t>.</w:t>
      </w:r>
      <w:r w:rsidR="005544E2">
        <w:rPr>
          <w:noProof/>
        </w:rPr>
        <w:t>6</w:t>
      </w:r>
      <w:r>
        <w:fldChar w:fldCharType="end"/>
      </w:r>
      <w:r>
        <w:t>).</w:t>
      </w:r>
    </w:p>
    <w:p w14:paraId="71DA4C74" w14:textId="77777777" w:rsidR="00EF769B" w:rsidRDefault="00EF769B" w:rsidP="00EF769B">
      <w:pPr>
        <w:pStyle w:val="Para1dash"/>
        <w:spacing w:after="240"/>
      </w:pPr>
      <w:r>
        <w:t>Several snig track crossings (7 The Wolfman) ran through and partly disturbed drainage line filter strips in circumstances where there were reasonably practicable alternatives to this.</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1"/>
        <w:gridCol w:w="4751"/>
      </w:tblGrid>
      <w:tr w:rsidR="00EF769B" w14:paraId="3676F2A7"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3" w:type="dxa"/>
            <w:gridSpan w:val="2"/>
            <w:shd w:val="clear" w:color="auto" w:fill="auto"/>
          </w:tcPr>
          <w:p w14:paraId="5EB3E577" w14:textId="77777777" w:rsidR="00EF769B" w:rsidRDefault="00EF769B" w:rsidP="00E24985">
            <w:pPr>
              <w:pStyle w:val="Tablesmalltext"/>
            </w:pPr>
            <w:r>
              <w:rPr>
                <w:noProof/>
              </w:rPr>
              <w:drawing>
                <wp:inline distT="0" distB="0" distL="0" distR="0" wp14:anchorId="6C13FB29" wp14:editId="55973A65">
                  <wp:extent cx="6115050" cy="2353636"/>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5460" cy="2357643"/>
                          </a:xfrm>
                          <a:prstGeom prst="rect">
                            <a:avLst/>
                          </a:prstGeom>
                          <a:noFill/>
                        </pic:spPr>
                      </pic:pic>
                    </a:graphicData>
                  </a:graphic>
                </wp:inline>
              </w:drawing>
            </w:r>
          </w:p>
        </w:tc>
      </w:tr>
      <w:tr w:rsidR="00EF769B" w14:paraId="7E515E3C" w14:textId="77777777" w:rsidTr="00E24985">
        <w:tc>
          <w:tcPr>
            <w:cnfStyle w:val="001000000000" w:firstRow="0" w:lastRow="0" w:firstColumn="1" w:lastColumn="0" w:oddVBand="0" w:evenVBand="0" w:oddHBand="0" w:evenHBand="0" w:firstRowFirstColumn="0" w:firstRowLastColumn="0" w:lastRowFirstColumn="0" w:lastRowLastColumn="0"/>
            <w:tcW w:w="4902" w:type="dxa"/>
            <w:shd w:val="clear" w:color="auto" w:fill="auto"/>
          </w:tcPr>
          <w:p w14:paraId="0C47C424" w14:textId="77777777" w:rsidR="00EF769B" w:rsidRPr="00C8185C" w:rsidRDefault="00EF769B" w:rsidP="00E24985">
            <w:pPr>
              <w:pStyle w:val="Tablesmalltext"/>
            </w:pPr>
            <w:r>
              <w:t xml:space="preserve">Culvert inlet is elevated above the bed of the temporary stream. Assessed </w:t>
            </w:r>
            <w:r w:rsidRPr="00C8185C">
              <w:t xml:space="preserve">EI </w:t>
            </w:r>
            <w:r>
              <w:t xml:space="preserve">is </w:t>
            </w:r>
            <w:r w:rsidRPr="00C8185C">
              <w:t>moderate</w:t>
            </w:r>
            <w:r>
              <w:t>, reflecting the sensitivity of the location in which the non-conformance was observed</w:t>
            </w:r>
            <w:r w:rsidRPr="00C8185C">
              <w:t>.</w:t>
            </w:r>
          </w:p>
        </w:tc>
        <w:tc>
          <w:tcPr>
            <w:tcW w:w="4901" w:type="dxa"/>
            <w:shd w:val="clear" w:color="auto" w:fill="auto"/>
          </w:tcPr>
          <w:p w14:paraId="383C59E4" w14:textId="77777777" w:rsidR="00EF769B" w:rsidRPr="00C8185C" w:rsidRDefault="00EF769B" w:rsidP="00E24985">
            <w:pPr>
              <w:pStyle w:val="Tablesmalltext"/>
              <w:cnfStyle w:val="000000000000" w:firstRow="0" w:lastRow="0" w:firstColumn="0" w:lastColumn="0" w:oddVBand="0" w:evenVBand="0" w:oddHBand="0" w:evenHBand="0" w:firstRowFirstColumn="0" w:firstRowLastColumn="0" w:lastRowFirstColumn="0" w:lastRowLastColumn="0"/>
            </w:pPr>
            <w:r>
              <w:t>Presumed location of culvert outlet, which could not be identified due to blockage by sediment. Treated as part of the same non-conformance incident as the inlet. EI assessed to be moderate</w:t>
            </w:r>
            <w:r w:rsidRPr="00C8185C">
              <w:t>.</w:t>
            </w:r>
          </w:p>
        </w:tc>
      </w:tr>
    </w:tbl>
    <w:p w14:paraId="12991EE8" w14:textId="63B8485E" w:rsidR="00EF769B" w:rsidRDefault="00EF769B" w:rsidP="00EF769B">
      <w:pPr>
        <w:pStyle w:val="Caption"/>
        <w:keepNext w:val="0"/>
        <w:spacing w:before="120"/>
      </w:pPr>
      <w:bookmarkStart w:id="89" w:name="_Ref523844283"/>
      <w:bookmarkStart w:id="90" w:name="_Ref524965728"/>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6</w:t>
      </w:r>
      <w:r w:rsidR="0013561C">
        <w:rPr>
          <w:noProof/>
        </w:rPr>
        <w:fldChar w:fldCharType="end"/>
      </w:r>
      <w:bookmarkEnd w:id="89"/>
      <w:r>
        <w:t xml:space="preserve"> Examples of inappropriate construction and maintenance of a waterway crossing culvert on 28 Vox, leading to potential effects on water flows, water quality and/or river health.</w:t>
      </w:r>
      <w:bookmarkEnd w:id="90"/>
      <w:r>
        <w:t xml:space="preserve"> </w:t>
      </w:r>
    </w:p>
    <w:p w14:paraId="17436E8B" w14:textId="32E280E1" w:rsidR="00EF769B" w:rsidRDefault="00EF769B" w:rsidP="00EF769B">
      <w:pPr>
        <w:pStyle w:val="Para0"/>
      </w:pPr>
      <w:r>
        <w:t>Non-conforming waterway crossings have been a recurring feature of the FAP (e.g. Jacobs, 2016; 2018a; 2018b). Key issues have historically included:</w:t>
      </w:r>
    </w:p>
    <w:p w14:paraId="10F4902F" w14:textId="77777777" w:rsidR="00EF769B" w:rsidRDefault="00EF769B" w:rsidP="00EF769B">
      <w:pPr>
        <w:pStyle w:val="Para0bullet"/>
      </w:pPr>
      <w:r>
        <w:t>No, ineffective and/or poorly maintained structures to intercept road drainage approximately 20 m before it reaches the waterway (as required by the MSPs)</w:t>
      </w:r>
    </w:p>
    <w:p w14:paraId="114C0BB5" w14:textId="77777777" w:rsidR="00EF769B" w:rsidRDefault="00EF769B" w:rsidP="00EF769B">
      <w:pPr>
        <w:pStyle w:val="Para0bullet"/>
      </w:pPr>
      <w:r>
        <w:t>Culvert outlets elevated above the downstream bed of the waterway and/or draining onto the waterway crossing embankment</w:t>
      </w:r>
    </w:p>
    <w:p w14:paraId="2D69CDCF" w14:textId="77777777" w:rsidR="00EF769B" w:rsidRDefault="00EF769B" w:rsidP="00EF769B">
      <w:pPr>
        <w:pStyle w:val="Para0bullet"/>
      </w:pPr>
      <w:r>
        <w:t>Excessive soil disturbance during the removal of in-coupe road and snig track crossings and/or insufficient site rehabilitation</w:t>
      </w:r>
    </w:p>
    <w:p w14:paraId="4F095ABC" w14:textId="77777777" w:rsidR="00EF769B" w:rsidRDefault="00EF769B" w:rsidP="00EF769B">
      <w:pPr>
        <w:pStyle w:val="Para0bullet"/>
      </w:pPr>
      <w:r>
        <w:lastRenderedPageBreak/>
        <w:t>Waterway crossings with large culverts (750+ mm) not including fish ladders.</w:t>
      </w:r>
    </w:p>
    <w:p w14:paraId="34EAC4A6" w14:textId="77777777" w:rsidR="00EF769B" w:rsidRDefault="00EF769B" w:rsidP="00EF769B">
      <w:pPr>
        <w:pStyle w:val="Para0"/>
      </w:pPr>
      <w:r>
        <w:t xml:space="preserve">The sensitivity of waterway crossing sites, and in some cases, the level of actual EI, has frequently contributed to moderate or major EI ratings. Of the eight coupes with waterway crossings included in this audit, in only one (1 Corkscrew) was the crossing and associated in-coupe road drainage fully compliant with regulatory requirements. In four of the remaining seven coupes, non-conformances were assessed to have minor potential EI. The assessed EI of non-conformances in 23 Pilcrow and 28 Vox was moderate, due to the crossings being located on temporary streams. The non-conforming crossing in 5 Creepy was on a permanent stream and the EI was therefore assessed to be major. The main issues with non-conforming crossings identified in this audit were: no or poor drainage to intercept road runoff and culvert outlets elevated above the downstream bed of the waterway.  </w:t>
      </w:r>
    </w:p>
    <w:p w14:paraId="2D86F2CA" w14:textId="77777777" w:rsidR="00EF769B" w:rsidRDefault="00EF769B" w:rsidP="00EF769B">
      <w:pPr>
        <w:pStyle w:val="Heading3"/>
      </w:pPr>
      <w:bookmarkStart w:id="91" w:name="_Ref497677866"/>
      <w:bookmarkStart w:id="92" w:name="_Toc14273627"/>
      <w:bookmarkStart w:id="93" w:name="_Toc21354789"/>
      <w:bookmarkStart w:id="94" w:name="_Toc33202282"/>
      <w:r>
        <w:t>Compliance elements related to the protection of biodiversity values</w:t>
      </w:r>
      <w:bookmarkEnd w:id="91"/>
      <w:bookmarkEnd w:id="92"/>
      <w:bookmarkEnd w:id="93"/>
      <w:bookmarkEnd w:id="94"/>
    </w:p>
    <w:p w14:paraId="2D1D0B19" w14:textId="09D00096" w:rsidR="00EF769B" w:rsidRDefault="00EF769B" w:rsidP="00EF769B">
      <w:pPr>
        <w:pStyle w:val="Para0"/>
      </w:pPr>
      <w:r>
        <w:t>Compliance elements relevant to this theme (</w:t>
      </w:r>
      <w:r>
        <w:fldChar w:fldCharType="begin" w:fldLock="1"/>
      </w:r>
      <w:r>
        <w:instrText xml:space="preserve"> REF _Ref13827801 \r \h </w:instrText>
      </w:r>
      <w:r>
        <w:fldChar w:fldCharType="separate"/>
      </w:r>
      <w:r w:rsidR="005544E2">
        <w:t>Appendix A</w:t>
      </w:r>
      <w:r>
        <w:fldChar w:fldCharType="end"/>
      </w:r>
      <w:r>
        <w:t>) seek to protect biodiversity values by:</w:t>
      </w:r>
    </w:p>
    <w:p w14:paraId="4E3F7E25" w14:textId="77777777" w:rsidR="00EF769B" w:rsidRDefault="00EF769B" w:rsidP="00E74AFC">
      <w:pPr>
        <w:pStyle w:val="Para0bullet"/>
        <w:numPr>
          <w:ilvl w:val="0"/>
          <w:numId w:val="72"/>
        </w:numPr>
      </w:pPr>
      <w:r>
        <w:t>Retaining trees and other habitat within the gross coupe and/or harvested area, including old growth elements and trees with or with potential to form hollows</w:t>
      </w:r>
    </w:p>
    <w:p w14:paraId="74D736E4" w14:textId="77777777" w:rsidR="00EF769B" w:rsidRDefault="00EF769B" w:rsidP="00E74AFC">
      <w:pPr>
        <w:pStyle w:val="Para0bullet"/>
        <w:numPr>
          <w:ilvl w:val="0"/>
          <w:numId w:val="72"/>
        </w:numPr>
      </w:pPr>
      <w:r>
        <w:t>Preventing harvesting activities, roading and regeneration burning from taking place within and/or adjacent to sensitive vegetation communities (e.g. heathlands, montane riparian thickets, rainforest stands) and other retained vegetation within the coupe</w:t>
      </w:r>
    </w:p>
    <w:p w14:paraId="7F61C6C7" w14:textId="77777777" w:rsidR="00EF769B" w:rsidRDefault="00EF769B" w:rsidP="00E74AFC">
      <w:pPr>
        <w:pStyle w:val="Para0bullet"/>
        <w:numPr>
          <w:ilvl w:val="0"/>
          <w:numId w:val="72"/>
        </w:numPr>
      </w:pPr>
      <w:r>
        <w:t>Identifying listed, threatened species of native flora and fauna which have been recorded within or adjacent to the coupe and applying the management measures prescribed by the MSPs and PS</w:t>
      </w:r>
    </w:p>
    <w:p w14:paraId="6513CD88" w14:textId="1B5A0981" w:rsidR="00EF769B" w:rsidRDefault="00EF769B" w:rsidP="00E74AFC">
      <w:pPr>
        <w:pStyle w:val="Para0bullet"/>
        <w:numPr>
          <w:ilvl w:val="0"/>
          <w:numId w:val="72"/>
        </w:numPr>
      </w:pPr>
      <w:r>
        <w:t>Not harvesting in (or otherwise disturbing) Special Protection Zones (SPZ) established to protect important native fauna habitats (e.g. for Leadbeater’s Possum, Long-footed Potoroo, Owls)</w:t>
      </w:r>
    </w:p>
    <w:p w14:paraId="43C0C362" w14:textId="77777777" w:rsidR="00EF769B" w:rsidRDefault="00EF769B" w:rsidP="00E74AFC">
      <w:pPr>
        <w:pStyle w:val="Para0bullet"/>
        <w:numPr>
          <w:ilvl w:val="0"/>
          <w:numId w:val="72"/>
        </w:numPr>
      </w:pPr>
      <w:r>
        <w:t>Maintaining passage for fish or other aquatic fauna along permanent streams</w:t>
      </w:r>
    </w:p>
    <w:p w14:paraId="55144C6F" w14:textId="77777777" w:rsidR="00EF769B" w:rsidRDefault="00EF769B" w:rsidP="00E74AFC">
      <w:pPr>
        <w:pStyle w:val="Para0bullet"/>
        <w:numPr>
          <w:ilvl w:val="0"/>
          <w:numId w:val="72"/>
        </w:numPr>
      </w:pPr>
      <w:r>
        <w:t>Managing the risk of entry or spread of weeds and soil-borne or other plant diseases.</w:t>
      </w:r>
    </w:p>
    <w:p w14:paraId="06C52342" w14:textId="77777777" w:rsidR="00EF769B" w:rsidRDefault="00EF769B" w:rsidP="00EF769B">
      <w:pPr>
        <w:pStyle w:val="Para0"/>
      </w:pPr>
      <w:r>
        <w:t xml:space="preserve">A total of 63 audit criteria are relevant to the protection of biodiversity values, of which 22 were not applicable to any of the selected coupes. </w:t>
      </w:r>
    </w:p>
    <w:p w14:paraId="53E641CA" w14:textId="3A55CDA3" w:rsidR="00EF769B" w:rsidRDefault="00EF769B" w:rsidP="00EF769B">
      <w:pPr>
        <w:pStyle w:val="Para0"/>
      </w:pPr>
      <w:r>
        <w:t xml:space="preserve">The average level of full conformance with applicable criteria was found to be </w:t>
      </w:r>
      <w:r w:rsidR="006F777E">
        <w:t>8</w:t>
      </w:r>
      <w:r w:rsidR="00CE4578">
        <w:t>4</w:t>
      </w:r>
      <w:r>
        <w:t xml:space="preserve">%, with the level of full conformance ranging between </w:t>
      </w:r>
      <w:r w:rsidR="00B032B4">
        <w:t>5</w:t>
      </w:r>
      <w:r w:rsidR="00CE4578">
        <w:t>5</w:t>
      </w:r>
      <w:r>
        <w:t xml:space="preserve">% (16 Lady Lavery) and </w:t>
      </w:r>
      <w:r w:rsidR="00B032B4">
        <w:t>96</w:t>
      </w:r>
      <w:r>
        <w:t>% (</w:t>
      </w:r>
      <w:r w:rsidR="00B032B4">
        <w:t>10 Shaq is Back</w:t>
      </w:r>
      <w:r>
        <w:t xml:space="preserve">; </w:t>
      </w:r>
      <w:r>
        <w:fldChar w:fldCharType="begin" w:fldLock="1"/>
      </w:r>
      <w:r>
        <w:instrText xml:space="preserve"> REF _Ref497158115 \h </w:instrText>
      </w:r>
      <w:r>
        <w:fldChar w:fldCharType="separate"/>
      </w:r>
      <w:r w:rsidR="005544E2">
        <w:t xml:space="preserve">Figure </w:t>
      </w:r>
      <w:r w:rsidR="005544E2">
        <w:rPr>
          <w:noProof/>
        </w:rPr>
        <w:t>4</w:t>
      </w:r>
      <w:r w:rsidR="005544E2">
        <w:t>.</w:t>
      </w:r>
      <w:r w:rsidR="005544E2">
        <w:rPr>
          <w:noProof/>
        </w:rPr>
        <w:t>7</w:t>
      </w:r>
      <w:r>
        <w:fldChar w:fldCharType="end"/>
      </w:r>
      <w:r>
        <w:t xml:space="preserve">). </w:t>
      </w:r>
    </w:p>
    <w:p w14:paraId="5F1DEB46" w14:textId="3016B15F" w:rsidR="00FC6195" w:rsidRDefault="00FC6195" w:rsidP="00FC6195">
      <w:pPr>
        <w:pStyle w:val="Para0"/>
      </w:pPr>
      <w:r>
        <w:t xml:space="preserve">Biodiversity-related non-conformances with EI were observed on </w:t>
      </w:r>
      <w:r w:rsidR="00B032B4">
        <w:t>eight</w:t>
      </w:r>
      <w:r>
        <w:t xml:space="preserve"> of the 30 coupes. The assessed EI ranged between negligible and </w:t>
      </w:r>
      <w:r w:rsidR="00B032B4">
        <w:t>major</w:t>
      </w:r>
      <w:r>
        <w:t xml:space="preserve"> (</w:t>
      </w:r>
      <w:r>
        <w:fldChar w:fldCharType="begin" w:fldLock="1"/>
      </w:r>
      <w:r>
        <w:instrText xml:space="preserve"> REF _Ref497158115 \h </w:instrText>
      </w:r>
      <w:r>
        <w:fldChar w:fldCharType="separate"/>
      </w:r>
      <w:r w:rsidR="005544E2">
        <w:t xml:space="preserve">Figure </w:t>
      </w:r>
      <w:r w:rsidR="005544E2">
        <w:rPr>
          <w:noProof/>
        </w:rPr>
        <w:t>4</w:t>
      </w:r>
      <w:r w:rsidR="005544E2">
        <w:t>.</w:t>
      </w:r>
      <w:r w:rsidR="005544E2">
        <w:rPr>
          <w:noProof/>
        </w:rPr>
        <w:t>7</w:t>
      </w:r>
      <w:r>
        <w:fldChar w:fldCharType="end"/>
      </w:r>
      <w:r>
        <w:t>), with the latter being the most common level of potential EI. Non-conformances with major and moderate potential EI were associated with two main types of incident:</w:t>
      </w:r>
    </w:p>
    <w:p w14:paraId="19D7BB4B" w14:textId="2F38E990" w:rsidR="00FC6195" w:rsidRDefault="00FC6195" w:rsidP="00FC6195">
      <w:pPr>
        <w:pStyle w:val="Para0bullet"/>
      </w:pPr>
      <w:r w:rsidRPr="008B2B06">
        <w:rPr>
          <w:i/>
        </w:rPr>
        <w:t>Regeneration burns:</w:t>
      </w:r>
      <w:r>
        <w:t xml:space="preserve"> in seven of the 30 coupes included in this audit, regenerations burns breached containment or otherwise burnt into areas that were to remain unharvested and hence unaffected by regeneration activities. Most of these areas were riparian buffers. Damage from the regeneration burns has at least temporarily affected biodiversity values associated with </w:t>
      </w:r>
      <w:r w:rsidR="00F42977">
        <w:t>understorey</w:t>
      </w:r>
      <w:r>
        <w:t xml:space="preserve"> habitat (particularly) and had, in some cases, killed mature eucalypt or Myrtle Beech trees (</w:t>
      </w:r>
      <w:r>
        <w:fldChar w:fldCharType="begin" w:fldLock="1"/>
      </w:r>
      <w:r>
        <w:instrText xml:space="preserve"> REF _Ref524964207 \h </w:instrText>
      </w:r>
      <w:r>
        <w:fldChar w:fldCharType="separate"/>
      </w:r>
      <w:r w:rsidR="005544E2">
        <w:t xml:space="preserve">Figure </w:t>
      </w:r>
      <w:r w:rsidR="005544E2">
        <w:rPr>
          <w:noProof/>
        </w:rPr>
        <w:t>4</w:t>
      </w:r>
      <w:r w:rsidR="005544E2">
        <w:t>.</w:t>
      </w:r>
      <w:r w:rsidR="005544E2">
        <w:rPr>
          <w:noProof/>
        </w:rPr>
        <w:t>8</w:t>
      </w:r>
      <w:r>
        <w:fldChar w:fldCharType="end"/>
      </w:r>
      <w:r>
        <w:t>). The assessed EI of non-conformances was major in five coupes (6 Eminem, 14 Fairway, 16 Lady Lavery, 18 Mulloway, 23 Pilcrow) and moderate in two coupes (15 Phasinator, 17 Orca). With the exception of 17 Orca, the regeneration burn crossed from the harvest/regeneration area into unharvested vegetation. In 17 Orca, heat from the regeneration burn scorched the canopy of and appears to have killed several Myrtle Beech trees.</w:t>
      </w:r>
    </w:p>
    <w:p w14:paraId="0438DE14" w14:textId="57EF292E" w:rsidR="00FC6195" w:rsidRDefault="00FC6195" w:rsidP="00FC6195">
      <w:pPr>
        <w:pStyle w:val="Para0bullet"/>
      </w:pPr>
      <w:r>
        <w:rPr>
          <w:i/>
        </w:rPr>
        <w:t>Track construction in SPZ:</w:t>
      </w:r>
      <w:r>
        <w:t xml:space="preserve"> in </w:t>
      </w:r>
      <w:r w:rsidR="00166484">
        <w:t xml:space="preserve">both </w:t>
      </w:r>
      <w:r>
        <w:t xml:space="preserve">14 Fairway and 16 Lady Lavery, tracks </w:t>
      </w:r>
      <w:r w:rsidR="00166484">
        <w:t xml:space="preserve">were created within SPZ areas that were </w:t>
      </w:r>
      <w:r>
        <w:t>to remain unharvested. The track in 14 Fairway (</w:t>
      </w:r>
      <w:r>
        <w:fldChar w:fldCharType="begin" w:fldLock="1"/>
      </w:r>
      <w:r>
        <w:instrText xml:space="preserve"> REF _Ref524964207 \h </w:instrText>
      </w:r>
      <w:r>
        <w:fldChar w:fldCharType="separate"/>
      </w:r>
      <w:r w:rsidR="005544E2">
        <w:t xml:space="preserve">Figure </w:t>
      </w:r>
      <w:r w:rsidR="005544E2">
        <w:rPr>
          <w:noProof/>
        </w:rPr>
        <w:t>4</w:t>
      </w:r>
      <w:r w:rsidR="005544E2">
        <w:t>.</w:t>
      </w:r>
      <w:r w:rsidR="005544E2">
        <w:rPr>
          <w:noProof/>
        </w:rPr>
        <w:t>8</w:t>
      </w:r>
      <w:r>
        <w:fldChar w:fldCharType="end"/>
      </w:r>
      <w:r>
        <w:t xml:space="preserve">) was constructed to contain the </w:t>
      </w:r>
      <w:r>
        <w:lastRenderedPageBreak/>
        <w:t xml:space="preserve">regeneration burn and for part of its length entered a Leadbeaters Possum SPZ. As noted in the coupe diary for 16 Lady Lavery, the harvesting contractor </w:t>
      </w:r>
      <w:r w:rsidR="00166484">
        <w:t xml:space="preserve">cleared vegetation from an existing </w:t>
      </w:r>
      <w:r>
        <w:t xml:space="preserve">track </w:t>
      </w:r>
      <w:r w:rsidR="00166484">
        <w:t xml:space="preserve">located </w:t>
      </w:r>
      <w:r>
        <w:t>in</w:t>
      </w:r>
      <w:r w:rsidR="00166484">
        <w:t xml:space="preserve"> </w:t>
      </w:r>
      <w:r>
        <w:t xml:space="preserve">an SPZ adjacent to the coupe.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53327199" w14:textId="77777777" w:rsidTr="00FC61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6" w:type="dxa"/>
            <w:shd w:val="clear" w:color="auto" w:fill="auto"/>
          </w:tcPr>
          <w:p w14:paraId="4376BFAB" w14:textId="233D7100" w:rsidR="00EF769B" w:rsidRDefault="00CE4578" w:rsidP="00E24985">
            <w:pPr>
              <w:pStyle w:val="Tablesmalltext"/>
              <w:rPr>
                <w:b w:val="0"/>
              </w:rPr>
            </w:pPr>
            <w:r>
              <w:rPr>
                <w:noProof/>
              </w:rPr>
              <w:drawing>
                <wp:inline distT="0" distB="0" distL="0" distR="0" wp14:anchorId="698012C7" wp14:editId="3408417A">
                  <wp:extent cx="6076881" cy="1809115"/>
                  <wp:effectExtent l="0" t="0" r="635"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a:extLst>
                              <a:ext uri="{28A0092B-C50C-407E-A947-70E740481C1C}">
                                <a14:useLocalDpi xmlns:a14="http://schemas.microsoft.com/office/drawing/2010/main" val="0"/>
                              </a:ext>
                            </a:extLst>
                          </a:blip>
                          <a:srcRect t="12447"/>
                          <a:stretch/>
                        </pic:blipFill>
                        <pic:spPr bwMode="auto">
                          <a:xfrm>
                            <a:off x="0" y="0"/>
                            <a:ext cx="6090812" cy="1813262"/>
                          </a:xfrm>
                          <a:prstGeom prst="rect">
                            <a:avLst/>
                          </a:prstGeom>
                          <a:noFill/>
                          <a:ln>
                            <a:noFill/>
                          </a:ln>
                          <a:extLst>
                            <a:ext uri="{53640926-AAD7-44D8-BBD7-CCE9431645EC}">
                              <a14:shadowObscured xmlns:a14="http://schemas.microsoft.com/office/drawing/2010/main"/>
                            </a:ext>
                          </a:extLst>
                        </pic:spPr>
                      </pic:pic>
                    </a:graphicData>
                  </a:graphic>
                </wp:inline>
              </w:drawing>
            </w:r>
          </w:p>
          <w:p w14:paraId="3DA3E26E" w14:textId="549E4E0C" w:rsidR="00EF769B" w:rsidRPr="0088246D" w:rsidRDefault="00EF769B" w:rsidP="00E24985">
            <w:pPr>
              <w:pStyle w:val="Tablesmalltext"/>
              <w:rPr>
                <w:b w:val="0"/>
              </w:rPr>
            </w:pPr>
            <w:r>
              <w:t xml:space="preserve">a) Level of conformance with audit criteria. Conformance definitions (Full, Non-no EI, Non-EI)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w:t>
            </w:r>
          </w:p>
        </w:tc>
      </w:tr>
      <w:tr w:rsidR="00EF769B" w14:paraId="6EA01778" w14:textId="77777777" w:rsidTr="00FC6195">
        <w:tc>
          <w:tcPr>
            <w:cnfStyle w:val="001000000000" w:firstRow="0" w:lastRow="0" w:firstColumn="1" w:lastColumn="0" w:oddVBand="0" w:evenVBand="0" w:oddHBand="0" w:evenHBand="0" w:firstRowFirstColumn="0" w:firstRowLastColumn="0" w:lastRowFirstColumn="0" w:lastRowLastColumn="0"/>
            <w:tcW w:w="9836" w:type="dxa"/>
            <w:shd w:val="clear" w:color="auto" w:fill="auto"/>
          </w:tcPr>
          <w:p w14:paraId="513CDA0A" w14:textId="18D026D2" w:rsidR="00EF769B" w:rsidRDefault="006F777E" w:rsidP="00E24985">
            <w:pPr>
              <w:pStyle w:val="Tablesmalltext"/>
            </w:pPr>
            <w:r>
              <w:rPr>
                <w:noProof/>
              </w:rPr>
              <w:drawing>
                <wp:inline distT="0" distB="0" distL="0" distR="0" wp14:anchorId="48679C6C" wp14:editId="16E1CE45">
                  <wp:extent cx="6257925" cy="1523705"/>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4">
                            <a:extLst>
                              <a:ext uri="{28A0092B-C50C-407E-A947-70E740481C1C}">
                                <a14:useLocalDpi xmlns:a14="http://schemas.microsoft.com/office/drawing/2010/main" val="0"/>
                              </a:ext>
                            </a:extLst>
                          </a:blip>
                          <a:srcRect t="15326"/>
                          <a:stretch/>
                        </pic:blipFill>
                        <pic:spPr bwMode="auto">
                          <a:xfrm>
                            <a:off x="0" y="0"/>
                            <a:ext cx="6270730" cy="1526823"/>
                          </a:xfrm>
                          <a:prstGeom prst="rect">
                            <a:avLst/>
                          </a:prstGeom>
                          <a:noFill/>
                          <a:ln>
                            <a:noFill/>
                          </a:ln>
                          <a:extLst>
                            <a:ext uri="{53640926-AAD7-44D8-BBD7-CCE9431645EC}">
                              <a14:shadowObscured xmlns:a14="http://schemas.microsoft.com/office/drawing/2010/main"/>
                            </a:ext>
                          </a:extLst>
                        </pic:spPr>
                      </pic:pic>
                    </a:graphicData>
                  </a:graphic>
                </wp:inline>
              </w:drawing>
            </w:r>
          </w:p>
          <w:p w14:paraId="26859B35" w14:textId="732BFEB2" w:rsidR="00EF769B" w:rsidRPr="00451DC9" w:rsidRDefault="00EF769B" w:rsidP="00E24985">
            <w:pPr>
              <w:pStyle w:val="Tablesmalltext"/>
              <w:rPr>
                <w:b/>
              </w:rPr>
            </w:pPr>
            <w:r w:rsidRPr="00451DC9">
              <w:rPr>
                <w:b/>
              </w:rPr>
              <w:t>b) Number of compliance criteria with assessable environmental impacts and the assessed level of impact for each instance of non-</w:t>
            </w:r>
            <w:r>
              <w:rPr>
                <w:b/>
              </w:rPr>
              <w:t>conformance</w:t>
            </w:r>
            <w:r w:rsidRPr="00451DC9">
              <w:rPr>
                <w:b/>
              </w:rPr>
              <w:t>.</w:t>
            </w:r>
          </w:p>
        </w:tc>
      </w:tr>
    </w:tbl>
    <w:p w14:paraId="0EB140EC" w14:textId="4535D795" w:rsidR="00EF769B" w:rsidRDefault="00EF769B" w:rsidP="00EF769B">
      <w:pPr>
        <w:pStyle w:val="Caption"/>
        <w:keepNext w:val="0"/>
        <w:spacing w:before="120"/>
      </w:pPr>
      <w:bookmarkStart w:id="95" w:name="_Ref497158115"/>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7</w:t>
      </w:r>
      <w:r w:rsidR="0013561C">
        <w:rPr>
          <w:noProof/>
        </w:rPr>
        <w:fldChar w:fldCharType="end"/>
      </w:r>
      <w:bookmarkEnd w:id="95"/>
      <w:r>
        <w:t xml:space="preserve"> Compliance findings and assessed environmental impact for instances of non-conformance for criteria applicable to the protection of biodiversity values. The x-axis refers to the coupe numbers, as per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w:t>
      </w:r>
    </w:p>
    <w:p w14:paraId="4C5EE7B3" w14:textId="65F30011" w:rsidR="00EF769B" w:rsidRDefault="00EF769B" w:rsidP="00EF769B">
      <w:pPr>
        <w:pStyle w:val="Para0"/>
      </w:pPr>
      <w:r>
        <w:t xml:space="preserve">Retained trees in the riparian buffer on the edge of 10 Shaq is Back coupe sustained extensive damage from windthrow following harvesting of this and the adjoining coupe. While the damage </w:t>
      </w:r>
      <w:r w:rsidR="001F6A6F">
        <w:t>is inconsistent</w:t>
      </w:r>
      <w:r>
        <w:t xml:space="preserve"> with the Code requirement (2.2.2.4) to identify and manage risks to biodiversity values</w:t>
      </w:r>
      <w:r w:rsidR="001F6A6F">
        <w:t>, the Code specifies that these risks are to be addressed through management actions that are consistent with the MSPs</w:t>
      </w:r>
      <w:r>
        <w:t xml:space="preserve">. </w:t>
      </w:r>
      <w:r w:rsidR="001F6A6F">
        <w:t>As none of the management actions on the coupe (related to the windthrow event) were inconsistent with the MSPs, no non-conformance was recorded.</w:t>
      </w:r>
    </w:p>
    <w:p w14:paraId="376ECED3" w14:textId="77777777" w:rsidR="005F6162" w:rsidRDefault="005F6162" w:rsidP="005F6162">
      <w:pPr>
        <w:pStyle w:val="Para0"/>
      </w:pPr>
      <w:r>
        <w:t>Non-conformances with no EI were relatively common for this set of compliance elements and accounted for 13% of applicable audit criteria. The main common sources of non-conformance related to stand hygiene or biosecurity procedures, particularly having clear evidence (including in the FCP) of the status and management of root and foliar diseases (</w:t>
      </w:r>
      <w:r w:rsidRPr="00EF769B">
        <w:rPr>
          <w:i/>
        </w:rPr>
        <w:t>Phytophthora</w:t>
      </w:r>
      <w:r>
        <w:t xml:space="preserve">, </w:t>
      </w:r>
      <w:r w:rsidRPr="00EF769B">
        <w:rPr>
          <w:i/>
        </w:rPr>
        <w:t>Armillaria</w:t>
      </w:r>
      <w:r>
        <w:t>, Myrtle Wilt) within the stand and any road surfacing materials imported into the coupe.</w:t>
      </w:r>
    </w:p>
    <w:p w14:paraId="310151CA" w14:textId="77777777" w:rsidR="005F6162" w:rsidRDefault="005F6162" w:rsidP="005F6162">
      <w:pPr>
        <w:pStyle w:val="Para0"/>
      </w:pPr>
      <w:r>
        <w:t xml:space="preserve">There is no suggestion of weed or disease issues being associated with or exacerbated by roading or harvesting in any of the coupes. However, the auditors consider that there was often insufficient explicit evidence in the coupe documentation of the proactive management of biosecurity risks. </w:t>
      </w:r>
    </w:p>
    <w:p w14:paraId="36567A06" w14:textId="77777777" w:rsidR="005F6162" w:rsidRPr="000372E0" w:rsidRDefault="005F6162" w:rsidP="00EF769B">
      <w:pPr>
        <w:pStyle w:val="Para0"/>
      </w:pP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3E6157F9"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93" w:type="dxa"/>
            <w:shd w:val="clear" w:color="auto" w:fill="auto"/>
          </w:tcPr>
          <w:p w14:paraId="6FEBA68D" w14:textId="3C790A5B" w:rsidR="00EF769B" w:rsidRDefault="00FC6195" w:rsidP="00E24985">
            <w:pPr>
              <w:pStyle w:val="Tablesmalltext"/>
            </w:pPr>
            <w:r>
              <w:rPr>
                <w:noProof/>
              </w:rPr>
              <w:lastRenderedPageBreak/>
              <w:drawing>
                <wp:inline distT="0" distB="0" distL="0" distR="0" wp14:anchorId="2D507F34" wp14:editId="289CD198">
                  <wp:extent cx="6115050" cy="3925434"/>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9054" cy="3928004"/>
                          </a:xfrm>
                          <a:prstGeom prst="rect">
                            <a:avLst/>
                          </a:prstGeom>
                          <a:noFill/>
                        </pic:spPr>
                      </pic:pic>
                    </a:graphicData>
                  </a:graphic>
                </wp:inline>
              </w:drawing>
            </w:r>
          </w:p>
        </w:tc>
      </w:tr>
    </w:tbl>
    <w:p w14:paraId="3778C2E6" w14:textId="6FFF3185" w:rsidR="00EF769B" w:rsidRDefault="00EF769B" w:rsidP="00EF769B">
      <w:pPr>
        <w:pStyle w:val="Caption"/>
        <w:keepNext w:val="0"/>
        <w:spacing w:before="120"/>
      </w:pPr>
      <w:bookmarkStart w:id="96" w:name="_Ref524964207"/>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8</w:t>
      </w:r>
      <w:r w:rsidR="0013561C">
        <w:rPr>
          <w:noProof/>
        </w:rPr>
        <w:fldChar w:fldCharType="end"/>
      </w:r>
      <w:bookmarkEnd w:id="96"/>
      <w:r>
        <w:t xml:space="preserve"> Examples of non-conformance incidents with potential/actual environmental impact on biodiversity values.</w:t>
      </w:r>
    </w:p>
    <w:p w14:paraId="41EE0F5C" w14:textId="77777777" w:rsidR="00EF769B" w:rsidRPr="00D44422" w:rsidRDefault="00EF769B" w:rsidP="00EF769B">
      <w:pPr>
        <w:pStyle w:val="Heading2"/>
      </w:pPr>
      <w:bookmarkStart w:id="97" w:name="_Toc21354790"/>
      <w:bookmarkStart w:id="98" w:name="_Toc33202283"/>
      <w:r>
        <w:t>Harvest coupes: roading compliance theme</w:t>
      </w:r>
      <w:bookmarkEnd w:id="97"/>
      <w:bookmarkEnd w:id="98"/>
    </w:p>
    <w:p w14:paraId="64D007B9" w14:textId="47C63497" w:rsidR="00EF769B" w:rsidRDefault="00EF769B" w:rsidP="00EF769B">
      <w:pPr>
        <w:pStyle w:val="Para0"/>
      </w:pPr>
      <w:r>
        <w:t>The roading theme included three main groups of compliance element and audit criteria, those relating to: in-coupe road and waterway crossing design; construction; and maintenance and closure. Many of the roading compliance elements and criteria were also applicable to the environmental sub-themes.</w:t>
      </w:r>
    </w:p>
    <w:p w14:paraId="1BC5331A" w14:textId="77777777" w:rsidR="00EF769B" w:rsidRDefault="00EF769B" w:rsidP="00EF769B">
      <w:pPr>
        <w:pStyle w:val="Heading3"/>
      </w:pPr>
      <w:bookmarkStart w:id="99" w:name="_Toc21354791"/>
      <w:bookmarkStart w:id="100" w:name="_Toc33202284"/>
      <w:r>
        <w:t>Compliance elements related to in-coupe road and waterway crossing design</w:t>
      </w:r>
      <w:bookmarkEnd w:id="99"/>
      <w:bookmarkEnd w:id="100"/>
      <w:r>
        <w:t xml:space="preserve"> </w:t>
      </w:r>
    </w:p>
    <w:p w14:paraId="77463FB0" w14:textId="21199C67" w:rsidR="00EF769B" w:rsidRDefault="00EF769B" w:rsidP="00EF769B">
      <w:pPr>
        <w:pStyle w:val="Para0"/>
      </w:pPr>
      <w:r>
        <w:t>The eight compliance elements relevant to this theme (</w:t>
      </w:r>
      <w:r>
        <w:fldChar w:fldCharType="begin" w:fldLock="1"/>
      </w:r>
      <w:r>
        <w:instrText xml:space="preserve"> REF _Ref13827801 \r \h </w:instrText>
      </w:r>
      <w:r>
        <w:fldChar w:fldCharType="separate"/>
      </w:r>
      <w:r w:rsidR="005544E2">
        <w:t>Appendix A</w:t>
      </w:r>
      <w:r>
        <w:fldChar w:fldCharType="end"/>
      </w:r>
      <w:r>
        <w:t>) seek to ensure that appropriate design protects soil and water values from risks associated with the construction of road embankments, waterway crossings and road drainage structures. Design is intended to ensure the stability of roads and road embankments, safe passage of high flow events through crossings and culverts and to prevent erosion of roads and crossings and associated sediment generation. Six of the eight criteria were applicable to the audited coupes.</w:t>
      </w:r>
    </w:p>
    <w:p w14:paraId="5D063B92" w14:textId="47B4B7B4" w:rsidR="00EF769B" w:rsidRDefault="00EF769B" w:rsidP="00EF769B">
      <w:pPr>
        <w:pStyle w:val="Para0"/>
      </w:pPr>
      <w:r>
        <w:t xml:space="preserve">The average level of full conformance with applicable criteria was found to be </w:t>
      </w:r>
      <w:r w:rsidR="006953B5">
        <w:t>67</w:t>
      </w:r>
      <w:r>
        <w:t xml:space="preserve">%, with the level of conformance ranging between 20% (4 Black Widow, 24 Oracle) and 100% (nine coupes; </w:t>
      </w:r>
      <w:r>
        <w:fldChar w:fldCharType="begin" w:fldLock="1"/>
      </w:r>
      <w:r>
        <w:instrText xml:space="preserve"> REF _Ref497163962 \h </w:instrText>
      </w:r>
      <w:r>
        <w:fldChar w:fldCharType="separate"/>
      </w:r>
      <w:r w:rsidR="005544E2">
        <w:t xml:space="preserve">Figure </w:t>
      </w:r>
      <w:r w:rsidR="005544E2">
        <w:rPr>
          <w:noProof/>
        </w:rPr>
        <w:t>4</w:t>
      </w:r>
      <w:r w:rsidR="005544E2">
        <w:t>.</w:t>
      </w:r>
      <w:r w:rsidR="005544E2">
        <w:rPr>
          <w:noProof/>
        </w:rPr>
        <w:t>9</w:t>
      </w:r>
      <w:r>
        <w:fldChar w:fldCharType="end"/>
      </w:r>
      <w:r>
        <w:t xml:space="preserve">). The main design-related non-conformance issue was the FCP having no recorded engineering basis for design of the in-coupe road, larger embankment and/or </w:t>
      </w:r>
      <w:r w:rsidRPr="00BD524C">
        <w:t>waterway</w:t>
      </w:r>
      <w:r>
        <w:t xml:space="preserve"> crossing (e.g. as required by Code 2.4.2.4, 2.4.3.1, 2.4.3.2; MSP 6.2.2.3, 6.2.5.4). Mostly, these non-conformances did not directly result in assessments of potential EI. </w:t>
      </w:r>
    </w:p>
    <w:p w14:paraId="53283AF6" w14:textId="0F339ADB" w:rsidR="00EF769B" w:rsidRDefault="00EF769B" w:rsidP="00EF769B">
      <w:pPr>
        <w:pStyle w:val="Para0"/>
      </w:pPr>
      <w:r>
        <w:lastRenderedPageBreak/>
        <w:t>In 1</w:t>
      </w:r>
      <w:r w:rsidR="00545455">
        <w:t>1</w:t>
      </w:r>
      <w:r>
        <w:t xml:space="preserve"> of the audited coupes, road design non-conformances were assessed to have potential EI (</w:t>
      </w:r>
      <w:r>
        <w:fldChar w:fldCharType="begin" w:fldLock="1"/>
      </w:r>
      <w:r>
        <w:instrText xml:space="preserve"> REF _Ref497163962 \h </w:instrText>
      </w:r>
      <w:r>
        <w:fldChar w:fldCharType="separate"/>
      </w:r>
      <w:r w:rsidR="005544E2">
        <w:t xml:space="preserve">Figure </w:t>
      </w:r>
      <w:r w:rsidR="005544E2">
        <w:rPr>
          <w:noProof/>
        </w:rPr>
        <w:t>4</w:t>
      </w:r>
      <w:r w:rsidR="005544E2">
        <w:t>.</w:t>
      </w:r>
      <w:r w:rsidR="005544E2">
        <w:rPr>
          <w:noProof/>
        </w:rPr>
        <w:t>9</w:t>
      </w:r>
      <w:r>
        <w:fldChar w:fldCharType="end"/>
      </w:r>
      <w:r>
        <w:t>). The three incidents with major or moderate potential EI (5 Creepy; 23 Pilcrow and 28 Vox, respectively) were associated with the absence of explicit design of structures to intercept road drainage prior to entry into waterways at crossings. This resulted in extended distances of in-coupe road (</w:t>
      </w:r>
      <w:r>
        <w:rPr>
          <w:rFonts w:cs="Arial"/>
        </w:rPr>
        <w:t>»</w:t>
      </w:r>
      <w:r>
        <w:t>100 m, rather than ~20 m) draining directly into a waterway.</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57184339"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496AD0EC" w14:textId="10D4E78C" w:rsidR="00EF769B" w:rsidRDefault="00B032B4" w:rsidP="00E24985">
            <w:pPr>
              <w:pStyle w:val="Tablesmalltext"/>
              <w:rPr>
                <w:b w:val="0"/>
              </w:rPr>
            </w:pPr>
            <w:r>
              <w:rPr>
                <w:noProof/>
              </w:rPr>
              <w:drawing>
                <wp:inline distT="0" distB="0" distL="0" distR="0" wp14:anchorId="1733B633" wp14:editId="50A3C574">
                  <wp:extent cx="6029325" cy="17983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6">
                            <a:extLst>
                              <a:ext uri="{28A0092B-C50C-407E-A947-70E740481C1C}">
                                <a14:useLocalDpi xmlns:a14="http://schemas.microsoft.com/office/drawing/2010/main" val="0"/>
                              </a:ext>
                            </a:extLst>
                          </a:blip>
                          <a:srcRect t="12500"/>
                          <a:stretch/>
                        </pic:blipFill>
                        <pic:spPr bwMode="auto">
                          <a:xfrm>
                            <a:off x="0" y="0"/>
                            <a:ext cx="6052083" cy="1805138"/>
                          </a:xfrm>
                          <a:prstGeom prst="rect">
                            <a:avLst/>
                          </a:prstGeom>
                          <a:noFill/>
                          <a:ln>
                            <a:noFill/>
                          </a:ln>
                          <a:extLst>
                            <a:ext uri="{53640926-AAD7-44D8-BBD7-CCE9431645EC}">
                              <a14:shadowObscured xmlns:a14="http://schemas.microsoft.com/office/drawing/2010/main"/>
                            </a:ext>
                          </a:extLst>
                        </pic:spPr>
                      </pic:pic>
                    </a:graphicData>
                  </a:graphic>
                </wp:inline>
              </w:drawing>
            </w:r>
          </w:p>
          <w:p w14:paraId="21DDDA9B" w14:textId="3E59D34C" w:rsidR="00EF769B" w:rsidRPr="0088246D" w:rsidRDefault="00EF769B" w:rsidP="00E24985">
            <w:pPr>
              <w:pStyle w:val="Tablesmalltext"/>
              <w:rPr>
                <w:b w:val="0"/>
              </w:rPr>
            </w:pPr>
            <w:r>
              <w:t xml:space="preserve">a) Level of conformance with audit criteria. Conformance definitions (Full, Non-no EI, Non-EI)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w:t>
            </w:r>
          </w:p>
        </w:tc>
      </w:tr>
      <w:tr w:rsidR="00EF769B" w14:paraId="19261270" w14:textId="77777777" w:rsidTr="00E24985">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58D7D685" w14:textId="41E51B57" w:rsidR="00EF769B" w:rsidRDefault="00B032B4" w:rsidP="00E24985">
            <w:pPr>
              <w:pStyle w:val="Tablesmalltext"/>
            </w:pPr>
            <w:r>
              <w:rPr>
                <w:noProof/>
              </w:rPr>
              <w:drawing>
                <wp:inline distT="0" distB="0" distL="0" distR="0" wp14:anchorId="2A0C294D" wp14:editId="360BE4C6">
                  <wp:extent cx="6067425" cy="1460069"/>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7">
                            <a:extLst>
                              <a:ext uri="{28A0092B-C50C-407E-A947-70E740481C1C}">
                                <a14:useLocalDpi xmlns:a14="http://schemas.microsoft.com/office/drawing/2010/main" val="0"/>
                              </a:ext>
                            </a:extLst>
                          </a:blip>
                          <a:srcRect t="16315"/>
                          <a:stretch/>
                        </pic:blipFill>
                        <pic:spPr bwMode="auto">
                          <a:xfrm>
                            <a:off x="0" y="0"/>
                            <a:ext cx="6086028" cy="1464546"/>
                          </a:xfrm>
                          <a:prstGeom prst="rect">
                            <a:avLst/>
                          </a:prstGeom>
                          <a:noFill/>
                          <a:ln>
                            <a:noFill/>
                          </a:ln>
                          <a:extLst>
                            <a:ext uri="{53640926-AAD7-44D8-BBD7-CCE9431645EC}">
                              <a14:shadowObscured xmlns:a14="http://schemas.microsoft.com/office/drawing/2010/main"/>
                            </a:ext>
                          </a:extLst>
                        </pic:spPr>
                      </pic:pic>
                    </a:graphicData>
                  </a:graphic>
                </wp:inline>
              </w:drawing>
            </w:r>
          </w:p>
          <w:p w14:paraId="6B4D8CF9" w14:textId="387D1C9D" w:rsidR="00EF769B" w:rsidRPr="00FB08EC" w:rsidRDefault="00EF769B" w:rsidP="00E24985">
            <w:pPr>
              <w:pStyle w:val="Tablesmalltext"/>
              <w:rPr>
                <w:b/>
              </w:rPr>
            </w:pPr>
            <w:r w:rsidRPr="00FB08EC">
              <w:rPr>
                <w:b/>
              </w:rPr>
              <w:t>b) Number of compliance criteria with assessable environmental impacts and the assessed level of impact for each instance of non-</w:t>
            </w:r>
            <w:r>
              <w:rPr>
                <w:b/>
              </w:rPr>
              <w:t>conformance</w:t>
            </w:r>
            <w:r w:rsidRPr="00FB08EC">
              <w:rPr>
                <w:b/>
              </w:rPr>
              <w:t>.</w:t>
            </w:r>
          </w:p>
        </w:tc>
      </w:tr>
    </w:tbl>
    <w:p w14:paraId="649E0E67" w14:textId="39AA9152" w:rsidR="00EF769B" w:rsidRDefault="00EF769B" w:rsidP="00EF769B">
      <w:pPr>
        <w:pStyle w:val="Caption"/>
        <w:keepNext w:val="0"/>
        <w:spacing w:before="120"/>
      </w:pPr>
      <w:bookmarkStart w:id="101" w:name="_Ref497163962"/>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9</w:t>
      </w:r>
      <w:r w:rsidR="0013561C">
        <w:rPr>
          <w:noProof/>
        </w:rPr>
        <w:fldChar w:fldCharType="end"/>
      </w:r>
      <w:bookmarkEnd w:id="101"/>
      <w:r>
        <w:t xml:space="preserve"> Compliance findings and assessed environmental impact for instances of non-conformance for criteria applicable to the road design. The x-axis refers to the coupe numbers, as per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w:t>
      </w:r>
    </w:p>
    <w:p w14:paraId="1E9B7CB5" w14:textId="77777777" w:rsidR="00EF769B" w:rsidRDefault="00EF769B" w:rsidP="00EF769B">
      <w:pPr>
        <w:pStyle w:val="Heading3"/>
        <w:keepLines w:val="0"/>
      </w:pPr>
      <w:bookmarkStart w:id="102" w:name="_Ref497165753"/>
      <w:bookmarkStart w:id="103" w:name="_Toc14273630"/>
      <w:bookmarkStart w:id="104" w:name="_Toc21354792"/>
      <w:bookmarkStart w:id="105" w:name="_Toc33202285"/>
      <w:r>
        <w:t>Compliance elements related to in-coupe road and waterway crossing construction</w:t>
      </w:r>
      <w:bookmarkEnd w:id="102"/>
      <w:bookmarkEnd w:id="103"/>
      <w:bookmarkEnd w:id="104"/>
      <w:bookmarkEnd w:id="105"/>
      <w:r w:rsidRPr="00E22D11">
        <w:rPr>
          <w:noProof/>
          <w:lang w:val="en-AU" w:eastAsia="en-AU"/>
        </w:rPr>
        <w:t xml:space="preserve"> </w:t>
      </w:r>
    </w:p>
    <w:p w14:paraId="4E0BE5D3" w14:textId="345C442C" w:rsidR="00EF769B" w:rsidRDefault="00EF769B" w:rsidP="00EF769B">
      <w:pPr>
        <w:pStyle w:val="Para0"/>
      </w:pPr>
      <w:r>
        <w:t>The 38 compliance elements relevant to this theme</w:t>
      </w:r>
      <w:r w:rsidR="007E0985">
        <w:rPr>
          <w:rFonts w:ascii="ZWAdobeF" w:hAnsi="ZWAdobeF" w:cs="ZWAdobeF"/>
          <w:sz w:val="2"/>
          <w:szCs w:val="2"/>
        </w:rPr>
        <w:t>13F</w:t>
      </w:r>
      <w:r>
        <w:rPr>
          <w:rStyle w:val="FootnoteReference"/>
        </w:rPr>
        <w:footnoteReference w:id="14"/>
      </w:r>
      <w:r>
        <w:t xml:space="preserve"> (</w:t>
      </w:r>
      <w:r>
        <w:fldChar w:fldCharType="begin" w:fldLock="1"/>
      </w:r>
      <w:r>
        <w:instrText xml:space="preserve"> REF _Ref13827801 \r \h </w:instrText>
      </w:r>
      <w:r>
        <w:fldChar w:fldCharType="separate"/>
      </w:r>
      <w:r w:rsidR="005544E2">
        <w:t>Appendix A</w:t>
      </w:r>
      <w:r>
        <w:fldChar w:fldCharType="end"/>
      </w:r>
      <w:r>
        <w:t xml:space="preserve">), like those for road design, largely seek to protect soil and water values from risks associated with road drainage and the construction of road embankments and waterway crossings. The average level of full conformance with applicable criteria was found to be </w:t>
      </w:r>
      <w:r w:rsidR="00545455">
        <w:t>81</w:t>
      </w:r>
      <w:r>
        <w:t>%, with the level of conformance ranging between 50% (28 Vox) and 100% (</w:t>
      </w:r>
      <w:r w:rsidR="00545455">
        <w:t>eight coupes</w:t>
      </w:r>
      <w:r>
        <w:t xml:space="preserve">; </w:t>
      </w:r>
      <w:r>
        <w:fldChar w:fldCharType="begin" w:fldLock="1"/>
      </w:r>
      <w:r>
        <w:instrText xml:space="preserve"> REF _Ref27116557 \h </w:instrText>
      </w:r>
      <w:r>
        <w:fldChar w:fldCharType="separate"/>
      </w:r>
      <w:r w:rsidR="005544E2">
        <w:t xml:space="preserve">Figure </w:t>
      </w:r>
      <w:r w:rsidR="005544E2">
        <w:rPr>
          <w:noProof/>
        </w:rPr>
        <w:t>4</w:t>
      </w:r>
      <w:r w:rsidR="005544E2">
        <w:t>.</w:t>
      </w:r>
      <w:r w:rsidR="005544E2">
        <w:rPr>
          <w:noProof/>
        </w:rPr>
        <w:t>10</w:t>
      </w:r>
      <w:r>
        <w:fldChar w:fldCharType="end"/>
      </w:r>
      <w:r>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06AB419A" w14:textId="77777777" w:rsidTr="00E2498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397CA0BA" w14:textId="2D3C2097" w:rsidR="00EF769B" w:rsidRDefault="00545455" w:rsidP="00E24985">
            <w:pPr>
              <w:pStyle w:val="Tablesmalltext"/>
              <w:rPr>
                <w:b w:val="0"/>
              </w:rPr>
            </w:pPr>
            <w:r>
              <w:rPr>
                <w:noProof/>
              </w:rPr>
              <w:lastRenderedPageBreak/>
              <w:drawing>
                <wp:inline distT="0" distB="0" distL="0" distR="0" wp14:anchorId="63851155" wp14:editId="607CB01E">
                  <wp:extent cx="6029325" cy="1781222"/>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8">
                            <a:extLst>
                              <a:ext uri="{28A0092B-C50C-407E-A947-70E740481C1C}">
                                <a14:useLocalDpi xmlns:a14="http://schemas.microsoft.com/office/drawing/2010/main" val="0"/>
                              </a:ext>
                            </a:extLst>
                          </a:blip>
                          <a:srcRect t="13333"/>
                          <a:stretch/>
                        </pic:blipFill>
                        <pic:spPr bwMode="auto">
                          <a:xfrm>
                            <a:off x="0" y="0"/>
                            <a:ext cx="6046044" cy="1786161"/>
                          </a:xfrm>
                          <a:prstGeom prst="rect">
                            <a:avLst/>
                          </a:prstGeom>
                          <a:noFill/>
                          <a:ln>
                            <a:noFill/>
                          </a:ln>
                          <a:extLst>
                            <a:ext uri="{53640926-AAD7-44D8-BBD7-CCE9431645EC}">
                              <a14:shadowObscured xmlns:a14="http://schemas.microsoft.com/office/drawing/2010/main"/>
                            </a:ext>
                          </a:extLst>
                        </pic:spPr>
                      </pic:pic>
                    </a:graphicData>
                  </a:graphic>
                </wp:inline>
              </w:drawing>
            </w:r>
          </w:p>
          <w:p w14:paraId="7D2EC793" w14:textId="3515245F" w:rsidR="00EF769B" w:rsidRPr="0088246D" w:rsidRDefault="00EF769B" w:rsidP="00E24985">
            <w:pPr>
              <w:pStyle w:val="Tablesmalltext"/>
              <w:rPr>
                <w:b w:val="0"/>
              </w:rPr>
            </w:pPr>
            <w:r>
              <w:t xml:space="preserve">a) Level of conformance with audit criteria. Conformance definitions (Full, Non-no EI, Non-EI)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w:t>
            </w:r>
          </w:p>
        </w:tc>
      </w:tr>
      <w:tr w:rsidR="00EF769B" w14:paraId="3D24D2C0" w14:textId="77777777" w:rsidTr="00E24985">
        <w:tc>
          <w:tcPr>
            <w:cnfStyle w:val="001000000000" w:firstRow="0" w:lastRow="0" w:firstColumn="1" w:lastColumn="0" w:oddVBand="0" w:evenVBand="0" w:oddHBand="0" w:evenHBand="0" w:firstRowFirstColumn="0" w:firstRowLastColumn="0" w:lastRowFirstColumn="0" w:lastRowLastColumn="0"/>
            <w:tcW w:w="9803" w:type="dxa"/>
            <w:shd w:val="clear" w:color="auto" w:fill="auto"/>
          </w:tcPr>
          <w:p w14:paraId="73005356" w14:textId="617FB755" w:rsidR="00EF769B" w:rsidRDefault="00545455" w:rsidP="00E24985">
            <w:pPr>
              <w:pStyle w:val="Tablesmalltext"/>
            </w:pPr>
            <w:r>
              <w:rPr>
                <w:noProof/>
              </w:rPr>
              <w:drawing>
                <wp:inline distT="0" distB="0" distL="0" distR="0" wp14:anchorId="6A28C02C" wp14:editId="7CF04434">
                  <wp:extent cx="6057900" cy="1483613"/>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9">
                            <a:extLst>
                              <a:ext uri="{28A0092B-C50C-407E-A947-70E740481C1C}">
                                <a14:useLocalDpi xmlns:a14="http://schemas.microsoft.com/office/drawing/2010/main" val="0"/>
                              </a:ext>
                            </a:extLst>
                          </a:blip>
                          <a:srcRect t="14832"/>
                          <a:stretch/>
                        </pic:blipFill>
                        <pic:spPr bwMode="auto">
                          <a:xfrm>
                            <a:off x="0" y="0"/>
                            <a:ext cx="6088178" cy="1491028"/>
                          </a:xfrm>
                          <a:prstGeom prst="rect">
                            <a:avLst/>
                          </a:prstGeom>
                          <a:noFill/>
                          <a:ln>
                            <a:noFill/>
                          </a:ln>
                          <a:extLst>
                            <a:ext uri="{53640926-AAD7-44D8-BBD7-CCE9431645EC}">
                              <a14:shadowObscured xmlns:a14="http://schemas.microsoft.com/office/drawing/2010/main"/>
                            </a:ext>
                          </a:extLst>
                        </pic:spPr>
                      </pic:pic>
                    </a:graphicData>
                  </a:graphic>
                </wp:inline>
              </w:drawing>
            </w:r>
          </w:p>
          <w:p w14:paraId="6E89F264" w14:textId="4B12481A" w:rsidR="00EF769B" w:rsidRPr="00FB08EC" w:rsidRDefault="00EF769B" w:rsidP="00E24985">
            <w:pPr>
              <w:pStyle w:val="Tablesmalltext"/>
              <w:rPr>
                <w:b/>
              </w:rPr>
            </w:pPr>
            <w:r w:rsidRPr="00FB08EC">
              <w:rPr>
                <w:b/>
              </w:rPr>
              <w:t>b) Number of compliance criteria with assessable environmental impacts and the assessed level of impact for each instance of non-</w:t>
            </w:r>
            <w:r>
              <w:rPr>
                <w:b/>
              </w:rPr>
              <w:t>conformance</w:t>
            </w:r>
            <w:r w:rsidRPr="00FB08EC">
              <w:rPr>
                <w:b/>
              </w:rPr>
              <w:t>.</w:t>
            </w:r>
          </w:p>
        </w:tc>
      </w:tr>
    </w:tbl>
    <w:p w14:paraId="48B5E34B" w14:textId="0D94EE03" w:rsidR="00EF769B" w:rsidRDefault="00EF769B" w:rsidP="00EF769B">
      <w:pPr>
        <w:pStyle w:val="Caption"/>
        <w:keepNext w:val="0"/>
        <w:spacing w:before="120" w:after="240"/>
      </w:pPr>
      <w:bookmarkStart w:id="106" w:name="_Ref27116557"/>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10</w:t>
      </w:r>
      <w:r w:rsidR="0013561C">
        <w:rPr>
          <w:noProof/>
        </w:rPr>
        <w:fldChar w:fldCharType="end"/>
      </w:r>
      <w:bookmarkEnd w:id="106"/>
      <w:r>
        <w:t xml:space="preserve"> Compliance findings and assessed environmental impact for instances of non-conformance for criteria applicable to road construction.</w:t>
      </w:r>
      <w:r w:rsidRPr="00C837FC">
        <w:t xml:space="preserve"> </w:t>
      </w:r>
      <w:r>
        <w:t xml:space="preserve">The x-axis refers to the coupe numbers, as per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w:t>
      </w:r>
    </w:p>
    <w:p w14:paraId="04DDA265" w14:textId="77777777" w:rsidR="00EF769B" w:rsidRDefault="00EF769B" w:rsidP="00EF769B">
      <w:pPr>
        <w:pStyle w:val="Para0"/>
      </w:pPr>
      <w:r>
        <w:t xml:space="preserve">Non-conformances with potential EI were identified in 15 of the audited coupes. Incidents with major or moderate potential EI related to in-coupe roads being constructed without drainage structures to divert road runoff from directly entering permanent or temporary waterways. Non-conformances with moderate EI in 23 Pilcrow and 28 Vox were also associated with excessive spacings between in-coupe drainage structures. </w:t>
      </w:r>
    </w:p>
    <w:p w14:paraId="45ABB09E" w14:textId="77777777" w:rsidR="00EF769B" w:rsidRDefault="00EF769B" w:rsidP="00EF769B">
      <w:pPr>
        <w:pStyle w:val="Para0"/>
      </w:pPr>
      <w:r>
        <w:t>As has been observed in previous audits that have considered the construction of in-coupe roads (e.g. Jacobs 2016; Jacobs 2018a; Jacobs 2018b), the distance between drainage spacings on many coupes (nine) exceeds the maximum permitted by the MSPs for given slope and soil erosion hazard combinations.</w:t>
      </w:r>
    </w:p>
    <w:p w14:paraId="66A37284" w14:textId="115D802C" w:rsidR="00EF769B" w:rsidRDefault="00EF769B" w:rsidP="00EF769B">
      <w:pPr>
        <w:pStyle w:val="Para0"/>
      </w:pPr>
      <w:r>
        <w:t xml:space="preserve">Non-conformances with no potential EI were mainly associated with biosecurity (the FCP having a record indicating road-making materials were imported from a </w:t>
      </w:r>
      <w:r w:rsidRPr="00EF769B">
        <w:rPr>
          <w:i/>
        </w:rPr>
        <w:t>Phytophthora</w:t>
      </w:r>
      <w:r>
        <w:t xml:space="preserve"> or </w:t>
      </w:r>
      <w:r w:rsidRPr="00EF769B">
        <w:rPr>
          <w:i/>
        </w:rPr>
        <w:t>Armillaria</w:t>
      </w:r>
      <w:r w:rsidR="00545455">
        <w:t>-</w:t>
      </w:r>
      <w:r>
        <w:t>free quarry) and the absence of a documented plan for construction of the in-coupe road.</w:t>
      </w:r>
    </w:p>
    <w:p w14:paraId="276D18FB" w14:textId="77777777" w:rsidR="00EF769B" w:rsidRPr="00172806" w:rsidRDefault="00EF769B" w:rsidP="00EF769B">
      <w:pPr>
        <w:pStyle w:val="Heading3"/>
      </w:pPr>
      <w:bookmarkStart w:id="107" w:name="_Toc14273631"/>
      <w:bookmarkStart w:id="108" w:name="_Toc21354793"/>
      <w:bookmarkStart w:id="109" w:name="_Toc33202286"/>
      <w:r>
        <w:t>Compliance elements related to in-coupe road and waterway crossing maintenance and closure</w:t>
      </w:r>
      <w:bookmarkEnd w:id="107"/>
      <w:bookmarkEnd w:id="108"/>
      <w:bookmarkEnd w:id="109"/>
    </w:p>
    <w:p w14:paraId="1F6425A9" w14:textId="39E0E7C0" w:rsidR="00EF769B" w:rsidRDefault="00EF769B" w:rsidP="00EF769B">
      <w:pPr>
        <w:pStyle w:val="Para0"/>
      </w:pPr>
      <w:r>
        <w:t>Only nine compliance criteria relevant to road maintenance or closure were considered in this audit (</w:t>
      </w:r>
      <w:r>
        <w:fldChar w:fldCharType="begin" w:fldLock="1"/>
      </w:r>
      <w:r>
        <w:instrText xml:space="preserve"> REF _Ref13827801 \r \h </w:instrText>
      </w:r>
      <w:r>
        <w:fldChar w:fldCharType="separate"/>
      </w:r>
      <w:r w:rsidR="005544E2">
        <w:t>Appendix A</w:t>
      </w:r>
      <w:r>
        <w:fldChar w:fldCharType="end"/>
      </w:r>
      <w:r>
        <w:t xml:space="preserve">), eight of which were applicable to at least some coupes. Like compliance elements for road design and construction, they are largely concerned with protecting soil and water values from risks associated with the use of in-coupe roads, their closure following the completion of harvesting operations and the removal of any waterway crossings. The average level of full conformance with applicable criteria was found to be 83%, with the level of conformance ranging between 33% (5 Creepy, 18 Mulloway, </w:t>
      </w:r>
      <w:r w:rsidR="00545455">
        <w:t xml:space="preserve">23 Pilcrow, </w:t>
      </w:r>
      <w:r>
        <w:t xml:space="preserve">28 Vox) and 100% (21 coupes; </w:t>
      </w:r>
      <w:r>
        <w:fldChar w:fldCharType="begin" w:fldLock="1"/>
      </w:r>
      <w:r>
        <w:instrText xml:space="preserve"> REF _Ref497653768 \h </w:instrText>
      </w:r>
      <w:r>
        <w:fldChar w:fldCharType="separate"/>
      </w:r>
      <w:r w:rsidR="005544E2">
        <w:t xml:space="preserve">Figure </w:t>
      </w:r>
      <w:r w:rsidR="005544E2">
        <w:rPr>
          <w:noProof/>
        </w:rPr>
        <w:t>4</w:t>
      </w:r>
      <w:r w:rsidR="005544E2">
        <w:t>.</w:t>
      </w:r>
      <w:r w:rsidR="005544E2">
        <w:rPr>
          <w:noProof/>
        </w:rPr>
        <w:t>11</w:t>
      </w:r>
      <w:r>
        <w:fldChar w:fldCharType="end"/>
      </w:r>
      <w:r>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21C93A42" w14:textId="77777777" w:rsidTr="00FC61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6" w:type="dxa"/>
            <w:shd w:val="clear" w:color="auto" w:fill="auto"/>
          </w:tcPr>
          <w:p w14:paraId="258DAD60" w14:textId="03AAC0CB" w:rsidR="00EF769B" w:rsidRDefault="00545455" w:rsidP="00E24985">
            <w:pPr>
              <w:pStyle w:val="Tablesmalltext"/>
              <w:rPr>
                <w:b w:val="0"/>
              </w:rPr>
            </w:pPr>
            <w:r>
              <w:rPr>
                <w:noProof/>
              </w:rPr>
              <w:lastRenderedPageBreak/>
              <w:drawing>
                <wp:inline distT="0" distB="0" distL="0" distR="0" wp14:anchorId="3449380C" wp14:editId="3822E58B">
                  <wp:extent cx="5981700" cy="1787543"/>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0">
                            <a:extLst>
                              <a:ext uri="{28A0092B-C50C-407E-A947-70E740481C1C}">
                                <a14:useLocalDpi xmlns:a14="http://schemas.microsoft.com/office/drawing/2010/main" val="0"/>
                              </a:ext>
                            </a:extLst>
                          </a:blip>
                          <a:srcRect t="12114"/>
                          <a:stretch/>
                        </pic:blipFill>
                        <pic:spPr bwMode="auto">
                          <a:xfrm>
                            <a:off x="0" y="0"/>
                            <a:ext cx="6002521" cy="1793765"/>
                          </a:xfrm>
                          <a:prstGeom prst="rect">
                            <a:avLst/>
                          </a:prstGeom>
                          <a:noFill/>
                          <a:ln>
                            <a:noFill/>
                          </a:ln>
                          <a:extLst>
                            <a:ext uri="{53640926-AAD7-44D8-BBD7-CCE9431645EC}">
                              <a14:shadowObscured xmlns:a14="http://schemas.microsoft.com/office/drawing/2010/main"/>
                            </a:ext>
                          </a:extLst>
                        </pic:spPr>
                      </pic:pic>
                    </a:graphicData>
                  </a:graphic>
                </wp:inline>
              </w:drawing>
            </w:r>
          </w:p>
          <w:p w14:paraId="4740F379" w14:textId="603C2A62" w:rsidR="00EF769B" w:rsidRPr="0088246D" w:rsidRDefault="00EF769B" w:rsidP="00E24985">
            <w:pPr>
              <w:pStyle w:val="Tablesmalltext"/>
              <w:rPr>
                <w:b w:val="0"/>
              </w:rPr>
            </w:pPr>
            <w:r>
              <w:t xml:space="preserve">a) Level of conformance with audit criteria. Conformance definitions (Full, Non-no EI, Non-EI)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w:t>
            </w:r>
          </w:p>
        </w:tc>
      </w:tr>
      <w:tr w:rsidR="00EF769B" w14:paraId="61733278" w14:textId="77777777" w:rsidTr="00FC6195">
        <w:tc>
          <w:tcPr>
            <w:cnfStyle w:val="001000000000" w:firstRow="0" w:lastRow="0" w:firstColumn="1" w:lastColumn="0" w:oddVBand="0" w:evenVBand="0" w:oddHBand="0" w:evenHBand="0" w:firstRowFirstColumn="0" w:firstRowLastColumn="0" w:lastRowFirstColumn="0" w:lastRowLastColumn="0"/>
            <w:tcW w:w="9836" w:type="dxa"/>
            <w:shd w:val="clear" w:color="auto" w:fill="auto"/>
          </w:tcPr>
          <w:p w14:paraId="3FCCAC86" w14:textId="250A3A1F" w:rsidR="00EF769B" w:rsidRDefault="00545455" w:rsidP="00E24985">
            <w:pPr>
              <w:pStyle w:val="Tablesmalltext"/>
            </w:pPr>
            <w:r>
              <w:rPr>
                <w:noProof/>
              </w:rPr>
              <w:drawing>
                <wp:inline distT="0" distB="0" distL="0" distR="0" wp14:anchorId="3494C117" wp14:editId="2B41E79D">
                  <wp:extent cx="5991225" cy="1441733"/>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1">
                            <a:extLst>
                              <a:ext uri="{28A0092B-C50C-407E-A947-70E740481C1C}">
                                <a14:useLocalDpi xmlns:a14="http://schemas.microsoft.com/office/drawing/2010/main" val="0"/>
                              </a:ext>
                            </a:extLst>
                          </a:blip>
                          <a:srcRect t="16315"/>
                          <a:stretch/>
                        </pic:blipFill>
                        <pic:spPr bwMode="auto">
                          <a:xfrm>
                            <a:off x="0" y="0"/>
                            <a:ext cx="6012493" cy="1446851"/>
                          </a:xfrm>
                          <a:prstGeom prst="rect">
                            <a:avLst/>
                          </a:prstGeom>
                          <a:noFill/>
                          <a:ln>
                            <a:noFill/>
                          </a:ln>
                          <a:extLst>
                            <a:ext uri="{53640926-AAD7-44D8-BBD7-CCE9431645EC}">
                              <a14:shadowObscured xmlns:a14="http://schemas.microsoft.com/office/drawing/2010/main"/>
                            </a:ext>
                          </a:extLst>
                        </pic:spPr>
                      </pic:pic>
                    </a:graphicData>
                  </a:graphic>
                </wp:inline>
              </w:drawing>
            </w:r>
          </w:p>
          <w:p w14:paraId="2A037383" w14:textId="77777777" w:rsidR="00EF769B" w:rsidRPr="00FB08EC" w:rsidRDefault="00EF769B" w:rsidP="00E24985">
            <w:pPr>
              <w:pStyle w:val="Tablesmalltext"/>
              <w:rPr>
                <w:b/>
              </w:rPr>
            </w:pPr>
            <w:r w:rsidRPr="00FB08EC">
              <w:rPr>
                <w:b/>
              </w:rPr>
              <w:t>b) Number of compliance criteria with assessable environmental impacts and the assessed level of impact for each instance of non-</w:t>
            </w:r>
            <w:r>
              <w:rPr>
                <w:b/>
              </w:rPr>
              <w:t>conformance</w:t>
            </w:r>
            <w:r w:rsidRPr="00FB08EC">
              <w:rPr>
                <w:b/>
              </w:rPr>
              <w:t>.</w:t>
            </w:r>
          </w:p>
        </w:tc>
      </w:tr>
    </w:tbl>
    <w:p w14:paraId="1B64032F" w14:textId="45C5D8BC" w:rsidR="00EF769B" w:rsidRDefault="00EF769B" w:rsidP="00EF769B">
      <w:pPr>
        <w:pStyle w:val="Caption"/>
        <w:keepNext w:val="0"/>
        <w:spacing w:before="120"/>
      </w:pPr>
      <w:bookmarkStart w:id="110" w:name="_Ref497653768"/>
      <w:r>
        <w:t xml:space="preserve">Figure </w:t>
      </w:r>
      <w:r w:rsidR="0013561C">
        <w:fldChar w:fldCharType="begin" w:fldLock="1"/>
      </w:r>
      <w:r w:rsidR="0013561C">
        <w:instrText xml:space="preserve"> STYLEREF 1</w:instrText>
      </w:r>
      <w:r w:rsidR="0013561C">
        <w:instrText xml:space="preserve">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11</w:t>
      </w:r>
      <w:r w:rsidR="0013561C">
        <w:rPr>
          <w:noProof/>
        </w:rPr>
        <w:fldChar w:fldCharType="end"/>
      </w:r>
      <w:bookmarkEnd w:id="110"/>
      <w:r>
        <w:t xml:space="preserve"> Compliance findings and assessed environmental impact for instances of non-conformance for criteria applicable to road maintenance and closure. The x-axis refers to the coupe numbers, as per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w:t>
      </w:r>
    </w:p>
    <w:p w14:paraId="54737791" w14:textId="77777777" w:rsidR="00FC6195" w:rsidRDefault="00FC6195" w:rsidP="00FC6195">
      <w:pPr>
        <w:pStyle w:val="Para0"/>
      </w:pPr>
      <w:bookmarkStart w:id="111" w:name="_Toc21354794"/>
      <w:r>
        <w:t xml:space="preserve">The level of assessed EI associated with non-conformances ranged between minor and major. Non-conformance incidents on the three coupes with major or moderate potential EI (5 Creepy, 23 Pilcrow, 28 Vox) have been discussed previously and relate to inadequate in-coupe road drainage and the lack of diversion of road drainage before entry to a waterway. The incidents are applicable to maintenance because an appropriate monitoring and maintenance regime should have detected that drainage was non-conforming with MSP requirements and led to rectification. </w:t>
      </w:r>
    </w:p>
    <w:p w14:paraId="3FA6923F" w14:textId="77777777" w:rsidR="00FC6195" w:rsidRDefault="00FC6195" w:rsidP="00FC6195">
      <w:pPr>
        <w:pStyle w:val="Para0"/>
      </w:pPr>
      <w:r>
        <w:t xml:space="preserve">Maintenance works were carried out on 23 Pilcrow and documented in a VicForests ‘Road Works Plan’. The monitoring report for that plan recorded that the in-coupe road was effectively drained (as of May 2018), although this was not the case at the time of the audit. </w:t>
      </w:r>
    </w:p>
    <w:p w14:paraId="66DAD087" w14:textId="22EB8052" w:rsidR="00EF769B" w:rsidRPr="00D44422" w:rsidRDefault="00EF769B" w:rsidP="00FC6195">
      <w:pPr>
        <w:pStyle w:val="Heading2"/>
      </w:pPr>
      <w:bookmarkStart w:id="112" w:name="_Toc33202287"/>
      <w:r>
        <w:t>Harvest coupes: infrastructure compliance theme</w:t>
      </w:r>
      <w:bookmarkEnd w:id="111"/>
      <w:bookmarkEnd w:id="112"/>
    </w:p>
    <w:p w14:paraId="737EBC8E" w14:textId="4DEE27E3" w:rsidR="00EF769B" w:rsidRDefault="00EF769B" w:rsidP="00EF769B">
      <w:pPr>
        <w:pStyle w:val="Para0"/>
      </w:pPr>
      <w:r>
        <w:t>Compliance elements considered under the infrastructure theme have a similar function to those for in-coupe roading, in that they seek to protect soil and water values from risks associated with the construction, use and rehabilitation of snig tracks, boundary tracks and landings. Nineteen audit criteria were identified (</w:t>
      </w:r>
      <w:r>
        <w:fldChar w:fldCharType="begin" w:fldLock="1"/>
      </w:r>
      <w:r>
        <w:instrText xml:space="preserve"> REF _Ref13827801 \r \h </w:instrText>
      </w:r>
      <w:r>
        <w:fldChar w:fldCharType="separate"/>
      </w:r>
      <w:r w:rsidR="005544E2">
        <w:t>Appendix A</w:t>
      </w:r>
      <w:r>
        <w:fldChar w:fldCharType="end"/>
      </w:r>
      <w:r>
        <w:t>), with all of these applying to at least one of the audited coupes.</w:t>
      </w:r>
    </w:p>
    <w:p w14:paraId="60149AE8" w14:textId="323E56E3" w:rsidR="00EF769B" w:rsidRDefault="00EF769B" w:rsidP="00EF769B">
      <w:pPr>
        <w:pStyle w:val="Para0"/>
      </w:pPr>
      <w:r>
        <w:t xml:space="preserve">The average level of full conformance with applicable criteria was found to be 84%, with the level of full conformance ranging between 56% (18, Mulloway, 28 Vox) and 100% (11 No Doubt, 12 Princess Di, 13 Barjarg Flat, 17 Orca; </w:t>
      </w:r>
      <w:r>
        <w:fldChar w:fldCharType="begin" w:fldLock="1"/>
      </w:r>
      <w:r>
        <w:instrText xml:space="preserve"> REF _Ref15652726 \h </w:instrText>
      </w:r>
      <w:r>
        <w:fldChar w:fldCharType="separate"/>
      </w:r>
      <w:r w:rsidR="005544E2">
        <w:t xml:space="preserve">Figure </w:t>
      </w:r>
      <w:r w:rsidR="005544E2">
        <w:rPr>
          <w:noProof/>
        </w:rPr>
        <w:t>4</w:t>
      </w:r>
      <w:r w:rsidR="005544E2">
        <w:t>.</w:t>
      </w:r>
      <w:r w:rsidR="005544E2">
        <w:rPr>
          <w:noProof/>
        </w:rPr>
        <w:t>12</w:t>
      </w:r>
      <w:r>
        <w:fldChar w:fldCharType="end"/>
      </w:r>
      <w:r>
        <w:t xml:space="preserve">). The highest level of assessed EI resulting from non-conformances was moderate, in </w:t>
      </w:r>
      <w:r w:rsidR="00BD41A5">
        <w:t>7 The Wolfman, 18 Mulloway</w:t>
      </w:r>
      <w:r>
        <w:t>. These issues arose from:</w:t>
      </w:r>
    </w:p>
    <w:p w14:paraId="118791EC" w14:textId="77777777" w:rsidR="00EF769B" w:rsidRDefault="00EF769B" w:rsidP="00EF769B">
      <w:pPr>
        <w:pStyle w:val="Para0bullet"/>
      </w:pPr>
      <w:r>
        <w:lastRenderedPageBreak/>
        <w:t>Snig tracks being constructed through drainage line filters where there were reasonably practicable alternatives to doing so (7 The Wolfman)</w:t>
      </w:r>
    </w:p>
    <w:p w14:paraId="18F5C3D5" w14:textId="65809E10" w:rsidR="00EF769B" w:rsidRDefault="00EF769B" w:rsidP="00EF769B">
      <w:pPr>
        <w:pStyle w:val="Para0bullet"/>
      </w:pPr>
      <w:r>
        <w:t xml:space="preserve">Lengthy sections of snig and/or boundary track without effective cross drainage (23 Pilcrow). </w:t>
      </w:r>
    </w:p>
    <w:p w14:paraId="27668597" w14:textId="7D9E0986" w:rsidR="00EF769B" w:rsidRDefault="00EF769B" w:rsidP="00EF769B">
      <w:pPr>
        <w:pStyle w:val="Para0"/>
      </w:pPr>
      <w:r>
        <w:t>Boundary tracks in several coupes were found to have been constructed and left largely without effective cross-drainage. This was most commonly detected in coupes in East Gippsland that did not require regeneration burning. It is assumed that drainage construction was planned to occur following burning, but when the coupe regenerated naturally, the tracks were left as constructed. These incidents were typically assessed to have minor or negligible potential EI.</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435B6B75" w14:textId="77777777" w:rsidTr="007002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31FC913" w14:textId="3591E5E5" w:rsidR="00EF769B" w:rsidRDefault="00545455" w:rsidP="00E24985">
            <w:pPr>
              <w:pStyle w:val="Tablesmalltext"/>
              <w:rPr>
                <w:b w:val="0"/>
              </w:rPr>
            </w:pPr>
            <w:r>
              <w:rPr>
                <w:noProof/>
              </w:rPr>
              <w:drawing>
                <wp:inline distT="0" distB="0" distL="0" distR="0" wp14:anchorId="7E310E2A" wp14:editId="03688500">
                  <wp:extent cx="6056013" cy="1809750"/>
                  <wp:effectExtent l="0" t="0" r="190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2">
                            <a:extLst>
                              <a:ext uri="{28A0092B-C50C-407E-A947-70E740481C1C}">
                                <a14:useLocalDpi xmlns:a14="http://schemas.microsoft.com/office/drawing/2010/main" val="0"/>
                              </a:ext>
                            </a:extLst>
                          </a:blip>
                          <a:srcRect t="12114"/>
                          <a:stretch/>
                        </pic:blipFill>
                        <pic:spPr bwMode="auto">
                          <a:xfrm>
                            <a:off x="0" y="0"/>
                            <a:ext cx="6067317" cy="1813128"/>
                          </a:xfrm>
                          <a:prstGeom prst="rect">
                            <a:avLst/>
                          </a:prstGeom>
                          <a:noFill/>
                          <a:ln>
                            <a:noFill/>
                          </a:ln>
                          <a:extLst>
                            <a:ext uri="{53640926-AAD7-44D8-BBD7-CCE9431645EC}">
                              <a14:shadowObscured xmlns:a14="http://schemas.microsoft.com/office/drawing/2010/main"/>
                            </a:ext>
                          </a:extLst>
                        </pic:spPr>
                      </pic:pic>
                    </a:graphicData>
                  </a:graphic>
                </wp:inline>
              </w:drawing>
            </w:r>
          </w:p>
          <w:p w14:paraId="1571A1DD" w14:textId="13A67E29" w:rsidR="00EF769B" w:rsidRPr="0088246D" w:rsidRDefault="00EF769B" w:rsidP="00E24985">
            <w:pPr>
              <w:pStyle w:val="Tablesmalltext"/>
              <w:rPr>
                <w:b w:val="0"/>
              </w:rPr>
            </w:pPr>
            <w:r>
              <w:t xml:space="preserve">a) Level of conformance with audit criteria. Conformance definitions (Full, Non-no EI, Non-EI)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w:t>
            </w:r>
          </w:p>
        </w:tc>
      </w:tr>
      <w:tr w:rsidR="00EF769B" w14:paraId="7A631B11" w14:textId="77777777" w:rsidTr="00700232">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25364EFB" w14:textId="74DD32DB" w:rsidR="00EF769B" w:rsidRDefault="00545455" w:rsidP="00E24985">
            <w:pPr>
              <w:pStyle w:val="Tablesmalltext"/>
            </w:pPr>
            <w:r>
              <w:rPr>
                <w:noProof/>
              </w:rPr>
              <w:drawing>
                <wp:inline distT="0" distB="0" distL="0" distR="0" wp14:anchorId="4969A224" wp14:editId="40B6E224">
                  <wp:extent cx="6000750" cy="145255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3">
                            <a:extLst>
                              <a:ext uri="{28A0092B-C50C-407E-A947-70E740481C1C}">
                                <a14:useLocalDpi xmlns:a14="http://schemas.microsoft.com/office/drawing/2010/main" val="0"/>
                              </a:ext>
                            </a:extLst>
                          </a:blip>
                          <a:srcRect t="15821"/>
                          <a:stretch/>
                        </pic:blipFill>
                        <pic:spPr bwMode="auto">
                          <a:xfrm>
                            <a:off x="0" y="0"/>
                            <a:ext cx="6023311" cy="1458017"/>
                          </a:xfrm>
                          <a:prstGeom prst="rect">
                            <a:avLst/>
                          </a:prstGeom>
                          <a:noFill/>
                          <a:ln>
                            <a:noFill/>
                          </a:ln>
                          <a:extLst>
                            <a:ext uri="{53640926-AAD7-44D8-BBD7-CCE9431645EC}">
                              <a14:shadowObscured xmlns:a14="http://schemas.microsoft.com/office/drawing/2010/main"/>
                            </a:ext>
                          </a:extLst>
                        </pic:spPr>
                      </pic:pic>
                    </a:graphicData>
                  </a:graphic>
                </wp:inline>
              </w:drawing>
            </w:r>
          </w:p>
          <w:p w14:paraId="2F80C71B" w14:textId="08EE76FC" w:rsidR="00EF769B" w:rsidRPr="00FB08EC" w:rsidRDefault="00EF769B" w:rsidP="00E24985">
            <w:pPr>
              <w:pStyle w:val="Tablesmalltext"/>
              <w:rPr>
                <w:b/>
              </w:rPr>
            </w:pPr>
            <w:r w:rsidRPr="00FB08EC">
              <w:rPr>
                <w:b/>
              </w:rPr>
              <w:t>b) Number of compliance criteria with assessable environmental impacts and the assessed level of impact for each instance of non-</w:t>
            </w:r>
            <w:r>
              <w:rPr>
                <w:b/>
              </w:rPr>
              <w:t>conformance</w:t>
            </w:r>
            <w:r w:rsidRPr="00FB08EC">
              <w:rPr>
                <w:b/>
              </w:rPr>
              <w:t>.</w:t>
            </w:r>
          </w:p>
        </w:tc>
      </w:tr>
    </w:tbl>
    <w:p w14:paraId="47124739" w14:textId="16ECA43D" w:rsidR="00EF769B" w:rsidRDefault="00EF769B" w:rsidP="00EF769B">
      <w:pPr>
        <w:pStyle w:val="Caption"/>
        <w:keepNext w:val="0"/>
        <w:spacing w:before="120"/>
      </w:pPr>
      <w:bookmarkStart w:id="113" w:name="_Ref15652726"/>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12</w:t>
      </w:r>
      <w:r w:rsidR="0013561C">
        <w:rPr>
          <w:noProof/>
        </w:rPr>
        <w:fldChar w:fldCharType="end"/>
      </w:r>
      <w:bookmarkEnd w:id="113"/>
      <w:r>
        <w:t xml:space="preserve"> Compliance findings and assessed environmental impact for instances of non-conformance for criteria applicable to coupe infrastructure. The x-axis refers to the coupe numbers, as per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w:t>
      </w:r>
    </w:p>
    <w:p w14:paraId="4206849A" w14:textId="3E8208F2" w:rsidR="00700232" w:rsidRDefault="00700232" w:rsidP="00700232">
      <w:pPr>
        <w:pStyle w:val="Para0"/>
      </w:pPr>
      <w:r>
        <w:t>The layout and rehabilitation of snig tracks and rehabilitation of the landing on 24 Oracle contributed (following a major rainfall event) to erosion and mass movement of a section of closed in-coupe road (</w:t>
      </w:r>
      <w:r>
        <w:fldChar w:fldCharType="begin" w:fldLock="1"/>
      </w:r>
      <w:r>
        <w:instrText xml:space="preserve"> REF _Ref16149962 \h </w:instrText>
      </w:r>
      <w:r>
        <w:fldChar w:fldCharType="separate"/>
      </w:r>
      <w:r w:rsidR="005544E2" w:rsidRPr="009038E7">
        <w:t xml:space="preserve">Figure </w:t>
      </w:r>
      <w:r w:rsidR="005544E2">
        <w:rPr>
          <w:noProof/>
        </w:rPr>
        <w:t>4</w:t>
      </w:r>
      <w:r w:rsidR="005544E2">
        <w:t>.</w:t>
      </w:r>
      <w:r w:rsidR="005544E2">
        <w:rPr>
          <w:noProof/>
        </w:rPr>
        <w:t>13</w:t>
      </w:r>
      <w:r>
        <w:fldChar w:fldCharType="end"/>
      </w:r>
      <w:r>
        <w:t xml:space="preserve">). During the rainfall event, water flows from the landing and several snig tracks (some that were not effectively drained) converged on the in-coupe road. The accumulation of water resulted in water infiltrating into the road, causing the formation of a tunnel (d) and contributing to mass movement of the in-coupe road embankment (c, d). </w:t>
      </w:r>
    </w:p>
    <w:p w14:paraId="0F19D43A" w14:textId="67B6CD66" w:rsidR="00700232" w:rsidRDefault="00700232" w:rsidP="00700232">
      <w:pPr>
        <w:pStyle w:val="Para0"/>
      </w:pPr>
      <w:r>
        <w:t>The landing had been ripped across the slope and soil spread across it. However, the direction of ripping did not follow the contours on the approach to the drainage depression. As a result, the rip lines helped to direct run-off from the landing towards the low point on the in-coupe road. These issues were exacerbated by the erodibility of the soil</w:t>
      </w:r>
      <w:r w:rsidR="007E0985">
        <w:rPr>
          <w:rFonts w:ascii="ZWAdobeF" w:hAnsi="ZWAdobeF" w:cs="ZWAdobeF"/>
          <w:sz w:val="2"/>
          <w:szCs w:val="2"/>
        </w:rPr>
        <w:t>14F</w:t>
      </w:r>
      <w:r>
        <w:rPr>
          <w:rStyle w:val="FootnoteReference"/>
        </w:rPr>
        <w:footnoteReference w:id="15"/>
      </w:r>
      <w:r>
        <w:t>.</w:t>
      </w:r>
    </w:p>
    <w:p w14:paraId="5B312AB6" w14:textId="77777777" w:rsidR="00EF769B" w:rsidRDefault="00EF769B" w:rsidP="00EF769B">
      <w:pPr>
        <w:pStyle w:val="Para0"/>
      </w:pPr>
      <w:r>
        <w:rPr>
          <w:noProof/>
        </w:rPr>
        <w:lastRenderedPageBreak/>
        <w:drawing>
          <wp:inline distT="0" distB="0" distL="0" distR="0" wp14:anchorId="78DEEAA6" wp14:editId="1ADCCC8E">
            <wp:extent cx="6280031" cy="4203626"/>
            <wp:effectExtent l="0" t="0" r="6985"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86151" cy="4207723"/>
                    </a:xfrm>
                    <a:prstGeom prst="rect">
                      <a:avLst/>
                    </a:prstGeom>
                    <a:noFill/>
                  </pic:spPr>
                </pic:pic>
              </a:graphicData>
            </a:graphic>
          </wp:inline>
        </w:drawing>
      </w:r>
    </w:p>
    <w:p w14:paraId="084060FC" w14:textId="77777777" w:rsidR="00EF769B" w:rsidRDefault="00EF769B" w:rsidP="00EF769B">
      <w:pPr>
        <w:pStyle w:val="Tablesmalltext"/>
      </w:pPr>
      <w:r>
        <w:t>a) Arrows highlight the convergence of water flows along snig tracks and across the rehabilitated landing towards a low point on the in-coupe road. b) Erosion rills on rehabilitated landing. c) Early evidence of mass movement on in-coupe road embankment. d) Water accumulating on this section of in-coupe road has contributed to tunnel erosion below the embankment (arrow), erosion of its edge and slumping.</w:t>
      </w:r>
    </w:p>
    <w:p w14:paraId="28D5675C" w14:textId="77210BF8" w:rsidR="00EF769B" w:rsidRDefault="00EF769B" w:rsidP="00EF769B">
      <w:pPr>
        <w:pStyle w:val="Caption"/>
        <w:spacing w:before="120"/>
      </w:pPr>
      <w:bookmarkStart w:id="114" w:name="_Ref16149962"/>
      <w:r w:rsidRPr="009038E7">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13</w:t>
      </w:r>
      <w:r w:rsidR="0013561C">
        <w:rPr>
          <w:noProof/>
        </w:rPr>
        <w:fldChar w:fldCharType="end"/>
      </w:r>
      <w:bookmarkEnd w:id="114"/>
      <w:r w:rsidRPr="009038E7">
        <w:t xml:space="preserve">: </w:t>
      </w:r>
      <w:r>
        <w:t>Issues associated with layout and rehabilitation of coupe infrastructure in an area with erodible soils, 24 Oracle.</w:t>
      </w:r>
    </w:p>
    <w:p w14:paraId="204FB5C6" w14:textId="77777777" w:rsidR="00700232" w:rsidRDefault="00700232" w:rsidP="00700232">
      <w:pPr>
        <w:pStyle w:val="Para0"/>
      </w:pPr>
      <w:r>
        <w:t>Several non-conformances were connected with this incident, all of which were assessed to have minor EI. The assessed impact would have been greater had the incident occurred at a location where there was a chance of the sediment that was mobilised finding its way to the waterway that formed part of the coupe boundary.</w:t>
      </w:r>
    </w:p>
    <w:p w14:paraId="2CFD34A3" w14:textId="77777777" w:rsidR="00700232" w:rsidRDefault="00700232" w:rsidP="00700232">
      <w:pPr>
        <w:pStyle w:val="Para0"/>
      </w:pPr>
      <w:r>
        <w:t>The incident highlights the importance of snig track drainage and rehabilitation and of planning snig track layout, so that drainage along multiple tracks does not converge on a potentially sensitive location, such as an in-coupe road embankment.</w:t>
      </w:r>
    </w:p>
    <w:p w14:paraId="08D9248A" w14:textId="77ABAC56" w:rsidR="00700232" w:rsidRDefault="00700232" w:rsidP="00700232">
      <w:pPr>
        <w:pStyle w:val="Para0"/>
      </w:pPr>
      <w:r>
        <w:t>The landing on 3 Funnel Web (which also serviced 4 Black Widow) highlights challenges and risks in rehabilitating landings with large cuttings and in areas of dispersive soils (</w:t>
      </w:r>
      <w:r>
        <w:fldChar w:fldCharType="begin" w:fldLock="1"/>
      </w:r>
      <w:r>
        <w:instrText xml:space="preserve"> REF _Ref21357565 \h </w:instrText>
      </w:r>
      <w:r>
        <w:fldChar w:fldCharType="separate"/>
      </w:r>
      <w:r w:rsidR="005544E2" w:rsidRPr="009038E7">
        <w:t xml:space="preserve">Figure </w:t>
      </w:r>
      <w:r w:rsidR="005544E2">
        <w:rPr>
          <w:noProof/>
        </w:rPr>
        <w:t>4</w:t>
      </w:r>
      <w:r w:rsidR="005544E2" w:rsidRPr="009038E7">
        <w:t>.</w:t>
      </w:r>
      <w:r w:rsidR="005544E2">
        <w:rPr>
          <w:noProof/>
        </w:rPr>
        <w:t>14</w:t>
      </w:r>
      <w:r>
        <w:fldChar w:fldCharType="end"/>
      </w:r>
      <w:r>
        <w:t xml:space="preserve">). Terrain limitations meant that the landing needed to be cut into the hill slope, which exposed quite dispersive sub-soils. When rehabilitating the landing by reducing the slope of the cutting, the soil that was generated was spread across the landing area. Some of this soil was mobilised during rain events before the area could be regenerated and carried towards a nearby waterway. </w:t>
      </w:r>
    </w:p>
    <w:p w14:paraId="0D5B7503" w14:textId="77777777" w:rsidR="00700232" w:rsidRDefault="00700232" w:rsidP="00700232">
      <w:pPr>
        <w:pStyle w:val="Para0"/>
      </w:pPr>
      <w:r>
        <w:t xml:space="preserve">Landing rehabilitation on this coupe was assessed as non-conforming because it had not been effective in preventing sediment from being mobilised during the rain event (potential EI assessed as negligible). Given </w:t>
      </w:r>
      <w:r>
        <w:lastRenderedPageBreak/>
        <w:t>the erodibility of the soil, consideration could have been given to the use of sediment traps or similar structures to help prevent sediment movement towards the waterway.</w:t>
      </w:r>
    </w:p>
    <w:p w14:paraId="1F42EAEC" w14:textId="77777777" w:rsidR="00EF769B" w:rsidRDefault="00EF769B" w:rsidP="00EF769B">
      <w:pPr>
        <w:pStyle w:val="Para0"/>
      </w:pPr>
      <w:r>
        <w:rPr>
          <w:noProof/>
        </w:rPr>
        <w:drawing>
          <wp:inline distT="0" distB="0" distL="0" distR="0" wp14:anchorId="23A02CF1" wp14:editId="52E8ECB8">
            <wp:extent cx="6276561" cy="21240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18923" cy="2138411"/>
                    </a:xfrm>
                    <a:prstGeom prst="rect">
                      <a:avLst/>
                    </a:prstGeom>
                    <a:noFill/>
                  </pic:spPr>
                </pic:pic>
              </a:graphicData>
            </a:graphic>
          </wp:inline>
        </w:drawing>
      </w:r>
    </w:p>
    <w:p w14:paraId="653B2B09" w14:textId="7689D670" w:rsidR="00EF769B" w:rsidRDefault="00EF769B" w:rsidP="00EF769B">
      <w:pPr>
        <w:pStyle w:val="Caption"/>
        <w:keepNext w:val="0"/>
        <w:spacing w:before="120"/>
      </w:pPr>
      <w:bookmarkStart w:id="115" w:name="_Ref21357565"/>
      <w:r w:rsidRPr="009038E7">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rsidRPr="009038E7">
        <w:t>.</w:t>
      </w:r>
      <w:r w:rsidR="0013561C">
        <w:fldChar w:fldCharType="begin"/>
      </w:r>
      <w:r w:rsidR="0013561C">
        <w:instrText xml:space="preserve"> SEQ Figure \* ARABIC \s 1 </w:instrText>
      </w:r>
      <w:r w:rsidR="0013561C">
        <w:fldChar w:fldCharType="separate"/>
      </w:r>
      <w:r w:rsidR="007E0985">
        <w:rPr>
          <w:noProof/>
        </w:rPr>
        <w:t>14</w:t>
      </w:r>
      <w:r w:rsidR="0013561C">
        <w:rPr>
          <w:noProof/>
        </w:rPr>
        <w:fldChar w:fldCharType="end"/>
      </w:r>
      <w:bookmarkEnd w:id="115"/>
      <w:r w:rsidRPr="009038E7">
        <w:t xml:space="preserve">: </w:t>
      </w:r>
      <w:r>
        <w:t>Rehabilitation of deeply incised landing, with dispersive sub-soil, 3 Funnel Web.</w:t>
      </w:r>
    </w:p>
    <w:p w14:paraId="29EEE72A" w14:textId="77777777" w:rsidR="00EF769B" w:rsidRDefault="00EF769B" w:rsidP="00EF769B">
      <w:pPr>
        <w:pStyle w:val="Heading2"/>
      </w:pPr>
      <w:bookmarkStart w:id="116" w:name="_Toc21354795"/>
      <w:bookmarkStart w:id="117" w:name="_Toc33202288"/>
      <w:r>
        <w:t>Harvest coupes: coupe planning and management</w:t>
      </w:r>
      <w:bookmarkEnd w:id="116"/>
      <w:bookmarkEnd w:id="117"/>
    </w:p>
    <w:p w14:paraId="4D270981" w14:textId="51317EDA" w:rsidR="00EF769B" w:rsidRDefault="00EF769B" w:rsidP="00EF769B">
      <w:pPr>
        <w:pStyle w:val="Para0"/>
      </w:pPr>
      <w:r>
        <w:t>Compliance elements considered under this theme are concerned with the development of the FCP and the consistency of coupe operations with that plan. The compliance elements seek to protect soil, water and biodiversity values from risks associated with harvesting, roading and regeneration operations. Twenty-five audit criteria were identified (</w:t>
      </w:r>
      <w:r>
        <w:fldChar w:fldCharType="begin" w:fldLock="1"/>
      </w:r>
      <w:r>
        <w:instrText xml:space="preserve"> REF _Ref13827801 \r \h </w:instrText>
      </w:r>
      <w:r>
        <w:fldChar w:fldCharType="separate"/>
      </w:r>
      <w:r w:rsidR="005544E2">
        <w:t>Appendix A</w:t>
      </w:r>
      <w:r>
        <w:fldChar w:fldCharType="end"/>
      </w:r>
      <w:r>
        <w:t>), with two of these not applying to any of the audited coupes.</w:t>
      </w:r>
    </w:p>
    <w:p w14:paraId="6DA46C22" w14:textId="1B485051" w:rsidR="00EF769B" w:rsidRDefault="00EF769B" w:rsidP="00EF769B">
      <w:pPr>
        <w:pStyle w:val="Para0"/>
      </w:pPr>
      <w:r>
        <w:t>The average level of full conformance with applicable criteria was found to be 9</w:t>
      </w:r>
      <w:r w:rsidR="00BD41A5">
        <w:t>2</w:t>
      </w:r>
      <w:r>
        <w:t xml:space="preserve">%, with the level of full conformance ranging between </w:t>
      </w:r>
      <w:r w:rsidR="00BD41A5">
        <w:t>80</w:t>
      </w:r>
      <w:r>
        <w:t>% (5 Creepy) and 100% (</w:t>
      </w:r>
      <w:r w:rsidR="00BD41A5">
        <w:t>nine</w:t>
      </w:r>
      <w:r>
        <w:t xml:space="preserve"> coupes; </w:t>
      </w:r>
      <w:r>
        <w:fldChar w:fldCharType="begin" w:fldLock="1"/>
      </w:r>
      <w:r>
        <w:instrText xml:space="preserve"> REF _Ref16157269 \h </w:instrText>
      </w:r>
      <w:r>
        <w:fldChar w:fldCharType="separate"/>
      </w:r>
      <w:r w:rsidR="005544E2">
        <w:t xml:space="preserve">Figure </w:t>
      </w:r>
      <w:r w:rsidR="005544E2">
        <w:rPr>
          <w:noProof/>
        </w:rPr>
        <w:t>4</w:t>
      </w:r>
      <w:r w:rsidR="005544E2">
        <w:t>.</w:t>
      </w:r>
      <w:r w:rsidR="005544E2">
        <w:rPr>
          <w:noProof/>
        </w:rPr>
        <w:t>15</w:t>
      </w:r>
      <w:r>
        <w:fldChar w:fldCharType="end"/>
      </w:r>
      <w:r>
        <w:t>). Potential EI resulting from non-conformances was assessed to be major for six coupes and moderate for four coupes (</w:t>
      </w:r>
      <w:r>
        <w:fldChar w:fldCharType="begin" w:fldLock="1"/>
      </w:r>
      <w:r>
        <w:instrText xml:space="preserve"> REF _Ref16157269 \h </w:instrText>
      </w:r>
      <w:r>
        <w:fldChar w:fldCharType="separate"/>
      </w:r>
      <w:r w:rsidR="005544E2">
        <w:t xml:space="preserve">Figure </w:t>
      </w:r>
      <w:r w:rsidR="005544E2">
        <w:rPr>
          <w:noProof/>
        </w:rPr>
        <w:t>4</w:t>
      </w:r>
      <w:r w:rsidR="005544E2">
        <w:t>.</w:t>
      </w:r>
      <w:r w:rsidR="005544E2">
        <w:rPr>
          <w:noProof/>
        </w:rPr>
        <w:t>15</w:t>
      </w:r>
      <w:r>
        <w:fldChar w:fldCharType="end"/>
      </w:r>
      <w:r>
        <w:t>). The incidents giving rise to the non-conformances have been discussed previously and include:</w:t>
      </w:r>
    </w:p>
    <w:p w14:paraId="57D53F20" w14:textId="77777777" w:rsidR="00EF769B" w:rsidRDefault="00EF769B" w:rsidP="00EF769B">
      <w:pPr>
        <w:pStyle w:val="Para0bullet"/>
      </w:pPr>
      <w:bookmarkStart w:id="118" w:name="_Hlk21101583"/>
      <w:r>
        <w:t>Drainage of long lengths of in-coupe road into waterway crossings (5 Creepy, 23 Pilcrow, 28 Vox)</w:t>
      </w:r>
    </w:p>
    <w:p w14:paraId="2AE38252" w14:textId="77777777" w:rsidR="00EF769B" w:rsidRDefault="00EF769B" w:rsidP="00EF769B">
      <w:pPr>
        <w:pStyle w:val="Para0bullet"/>
      </w:pPr>
      <w:r>
        <w:t>Regeneration burns crossing into planned exclusion areas (mostly riparian buffers; 6 Eminem, 16 Lady Lavery, 23 Pilcrow), adjacent SPZs (14 Fairway, 16 Lady Lavery) and an adjacent coupe (18 Mulloway)</w:t>
      </w:r>
    </w:p>
    <w:p w14:paraId="750B5981" w14:textId="31B69C7C" w:rsidR="00EF769B" w:rsidRDefault="00EF769B" w:rsidP="00EF769B">
      <w:pPr>
        <w:pStyle w:val="Para0bullet"/>
      </w:pPr>
      <w:r>
        <w:t xml:space="preserve">Construction of tracks in an adjacent SPZ (14 Fairway, </w:t>
      </w:r>
      <w:bookmarkEnd w:id="118"/>
      <w:r>
        <w:t>16 Lady Lavery)</w:t>
      </w:r>
    </w:p>
    <w:p w14:paraId="4F75A246" w14:textId="707B3481" w:rsidR="00EF769B" w:rsidRDefault="00EF769B" w:rsidP="00EF769B">
      <w:pPr>
        <w:pStyle w:val="Para0bullet"/>
      </w:pPr>
      <w:r>
        <w:t>Snig tracks being constructed through drainage line filters where there were reasonably practicable alternatives to doing so (7 The Wolfman).</w:t>
      </w:r>
    </w:p>
    <w:p w14:paraId="4E67A4C1" w14:textId="77777777" w:rsidR="005F6162" w:rsidRDefault="005F6162" w:rsidP="005F6162">
      <w:pPr>
        <w:pStyle w:val="Para0"/>
      </w:pPr>
      <w:r>
        <w:t xml:space="preserve">The incidents relate to timber harvesting operations not having been conducted in accordance with the FCP (Code 2.5.1.2) and/or harvesting activities (i.e. regeneration burns, machinery access) being carried out within SPZs (Code 2.5.1.5, MSP 7.1.2.1). </w:t>
      </w:r>
    </w:p>
    <w:p w14:paraId="792863D7" w14:textId="77777777" w:rsidR="005F6162" w:rsidRDefault="005F6162" w:rsidP="005F6162">
      <w:pPr>
        <w:pStyle w:val="Para0"/>
      </w:pPr>
      <w:r>
        <w:t>The audit identified three areas of coupe planning that are inconsistent with audit criteria, namely:</w:t>
      </w:r>
    </w:p>
    <w:p w14:paraId="1D8B263E" w14:textId="5611B1DB" w:rsidR="005F6162" w:rsidRDefault="005F6162" w:rsidP="005F6162">
      <w:pPr>
        <w:pStyle w:val="Para0bullet"/>
      </w:pPr>
      <w:r>
        <w:t xml:space="preserve">Inclusion of a map in the FCP showing waterway classification (Audit criterion 1.02, </w:t>
      </w:r>
      <w:r>
        <w:fldChar w:fldCharType="begin" w:fldLock="1"/>
      </w:r>
      <w:r>
        <w:instrText xml:space="preserve"> REF _Ref13827801 \r \h </w:instrText>
      </w:r>
      <w:r>
        <w:fldChar w:fldCharType="separate"/>
      </w:r>
      <w:r w:rsidR="005544E2">
        <w:t>Appendix A</w:t>
      </w:r>
      <w:r>
        <w:fldChar w:fldCharType="end"/>
      </w:r>
      <w:r>
        <w:t>; 12 coupes), as evidenced by an explicit reference to the class of waterway or to whether a filter or buffer applied</w:t>
      </w:r>
      <w:r w:rsidR="007E0985">
        <w:rPr>
          <w:rFonts w:ascii="ZWAdobeF" w:hAnsi="ZWAdobeF" w:cs="ZWAdobeF"/>
          <w:sz w:val="2"/>
          <w:szCs w:val="2"/>
        </w:rPr>
        <w:t>15F</w:t>
      </w:r>
      <w:r>
        <w:rPr>
          <w:rStyle w:val="FootnoteReference"/>
        </w:rPr>
        <w:footnoteReference w:id="16"/>
      </w:r>
    </w:p>
    <w:p w14:paraId="7E46EB2A" w14:textId="48647956" w:rsidR="005F6162" w:rsidRDefault="005F6162" w:rsidP="005F6162">
      <w:pPr>
        <w:pStyle w:val="Para0bullet"/>
      </w:pPr>
      <w:r>
        <w:lastRenderedPageBreak/>
        <w:t>Inclusion of a map in the FCP showing areas of the coupe with slopes over 30</w:t>
      </w:r>
      <w:r>
        <w:rPr>
          <w:rFonts w:cs="Arial"/>
        </w:rPr>
        <w:t>°</w:t>
      </w:r>
      <w:r>
        <w:t xml:space="preserve"> (Audit criterion 4.01, </w:t>
      </w:r>
      <w:r>
        <w:fldChar w:fldCharType="begin" w:fldLock="1"/>
      </w:r>
      <w:r>
        <w:instrText xml:space="preserve"> REF _Ref13827801 \r \h </w:instrText>
      </w:r>
      <w:r>
        <w:fldChar w:fldCharType="separate"/>
      </w:r>
      <w:r w:rsidR="005544E2">
        <w:t>Appendix A</w:t>
      </w:r>
      <w:r>
        <w:fldChar w:fldCharType="end"/>
      </w:r>
      <w:r>
        <w:t>; five coupes), as evidenced by a map showing areas within and near to the coupe with slope in 20-30</w:t>
      </w:r>
      <w:r>
        <w:rPr>
          <w:rFonts w:cs="Arial"/>
        </w:rPr>
        <w:t>°</w:t>
      </w:r>
      <w:r>
        <w:t xml:space="preserve"> and 30</w:t>
      </w:r>
      <w:r>
        <w:rPr>
          <w:rFonts w:cs="Arial"/>
        </w:rPr>
        <w:t>°</w:t>
      </w:r>
      <w:r>
        <w:t>+ categories (if such slopes are likely)</w:t>
      </w:r>
    </w:p>
    <w:p w14:paraId="01B8B7E0" w14:textId="1313E5C2" w:rsidR="005F6162" w:rsidRDefault="005F6162" w:rsidP="005F6162">
      <w:pPr>
        <w:pStyle w:val="Para0bullet"/>
      </w:pPr>
      <w:r>
        <w:t>Inclusion of a map in the FCP showing areas of the coupe with granite-derived soils and slopes over 25</w:t>
      </w:r>
      <w:r>
        <w:rPr>
          <w:rFonts w:cs="Arial"/>
        </w:rPr>
        <w:t>°</w:t>
      </w:r>
      <w:r>
        <w:t xml:space="preserve"> (East Gippsland FMA only; Audit criterion 4.04, </w:t>
      </w:r>
      <w:r>
        <w:fldChar w:fldCharType="begin" w:fldLock="1"/>
      </w:r>
      <w:r>
        <w:instrText xml:space="preserve"> REF _Ref13827801 \r \h </w:instrText>
      </w:r>
      <w:r>
        <w:fldChar w:fldCharType="separate"/>
      </w:r>
      <w:r w:rsidR="005544E2">
        <w:t>Appendix A</w:t>
      </w:r>
      <w:r>
        <w:fldChar w:fldCharType="end"/>
      </w:r>
      <w:r>
        <w:t xml:space="preserve"> – two coupes), as evidenced by a map showing areas within and near to the coupe with slope in at least 20-30</w:t>
      </w:r>
      <w:r>
        <w:rPr>
          <w:rFonts w:cs="Arial"/>
        </w:rPr>
        <w:t>°</w:t>
      </w:r>
      <w:r>
        <w:t xml:space="preserve"> category (if such slopes are likely) and a map or text flagging that the coupe is in an area of granite-derived soil.</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02"/>
      </w:tblGrid>
      <w:tr w:rsidR="00EF769B" w14:paraId="0B6B8F27" w14:textId="77777777" w:rsidTr="005F61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02DC7C78" w14:textId="1E0FDF28" w:rsidR="00EF769B" w:rsidRDefault="00BD41A5" w:rsidP="00E24985">
            <w:pPr>
              <w:pStyle w:val="Tablesmalltext"/>
              <w:rPr>
                <w:b w:val="0"/>
              </w:rPr>
            </w:pPr>
            <w:r>
              <w:rPr>
                <w:noProof/>
              </w:rPr>
              <w:drawing>
                <wp:inline distT="0" distB="0" distL="0" distR="0" wp14:anchorId="5371FC50" wp14:editId="5FDB0323">
                  <wp:extent cx="6038850" cy="175830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6">
                            <a:extLst>
                              <a:ext uri="{28A0092B-C50C-407E-A947-70E740481C1C}">
                                <a14:useLocalDpi xmlns:a14="http://schemas.microsoft.com/office/drawing/2010/main" val="0"/>
                              </a:ext>
                            </a:extLst>
                          </a:blip>
                          <a:srcRect t="14584"/>
                          <a:stretch/>
                        </pic:blipFill>
                        <pic:spPr bwMode="auto">
                          <a:xfrm>
                            <a:off x="0" y="0"/>
                            <a:ext cx="6059000" cy="1764172"/>
                          </a:xfrm>
                          <a:prstGeom prst="rect">
                            <a:avLst/>
                          </a:prstGeom>
                          <a:noFill/>
                          <a:ln>
                            <a:noFill/>
                          </a:ln>
                          <a:extLst>
                            <a:ext uri="{53640926-AAD7-44D8-BBD7-CCE9431645EC}">
                              <a14:shadowObscured xmlns:a14="http://schemas.microsoft.com/office/drawing/2010/main"/>
                            </a:ext>
                          </a:extLst>
                        </pic:spPr>
                      </pic:pic>
                    </a:graphicData>
                  </a:graphic>
                </wp:inline>
              </w:drawing>
            </w:r>
          </w:p>
          <w:p w14:paraId="5F9FAAE2" w14:textId="58687D44" w:rsidR="00EF769B" w:rsidRPr="0088246D" w:rsidRDefault="00EF769B" w:rsidP="00E24985">
            <w:pPr>
              <w:pStyle w:val="Tablesmalltext"/>
              <w:rPr>
                <w:b w:val="0"/>
              </w:rPr>
            </w:pPr>
            <w:r>
              <w:t xml:space="preserve">a) Level of conformance with audit criteria. Conformance definitions (Full, Non-no EI, Non-EI) as per </w:t>
            </w:r>
            <w:r>
              <w:fldChar w:fldCharType="begin" w:fldLock="1"/>
            </w:r>
            <w:r>
              <w:instrText xml:space="preserve"> REF _Ref523302686 \h </w:instrText>
            </w:r>
            <w:r>
              <w:fldChar w:fldCharType="separate"/>
            </w:r>
            <w:r w:rsidR="005544E2">
              <w:t xml:space="preserve">Table </w:t>
            </w:r>
            <w:r w:rsidR="005544E2">
              <w:rPr>
                <w:noProof/>
              </w:rPr>
              <w:t>3</w:t>
            </w:r>
            <w:r w:rsidR="005544E2">
              <w:t>.</w:t>
            </w:r>
            <w:r w:rsidR="005544E2">
              <w:rPr>
                <w:noProof/>
              </w:rPr>
              <w:t>4</w:t>
            </w:r>
            <w:r>
              <w:fldChar w:fldCharType="end"/>
            </w:r>
            <w:r>
              <w:t>.</w:t>
            </w:r>
          </w:p>
        </w:tc>
      </w:tr>
      <w:tr w:rsidR="00EF769B" w14:paraId="37FB8B20" w14:textId="77777777" w:rsidTr="005F6162">
        <w:tc>
          <w:tcPr>
            <w:cnfStyle w:val="001000000000" w:firstRow="0" w:lastRow="0" w:firstColumn="1" w:lastColumn="0" w:oddVBand="0" w:evenVBand="0" w:oddHBand="0" w:evenHBand="0" w:firstRowFirstColumn="0" w:firstRowLastColumn="0" w:lastRowFirstColumn="0" w:lastRowLastColumn="0"/>
            <w:tcW w:w="9502" w:type="dxa"/>
            <w:shd w:val="clear" w:color="auto" w:fill="auto"/>
          </w:tcPr>
          <w:p w14:paraId="385F76A1" w14:textId="0FCFE32B" w:rsidR="00EF769B" w:rsidRDefault="00BD41A5" w:rsidP="00E24985">
            <w:pPr>
              <w:pStyle w:val="Tablesmalltext"/>
            </w:pPr>
            <w:r>
              <w:rPr>
                <w:noProof/>
              </w:rPr>
              <w:drawing>
                <wp:inline distT="0" distB="0" distL="0" distR="0" wp14:anchorId="0BEB6380" wp14:editId="5D450EA2">
                  <wp:extent cx="6057900" cy="149222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7">
                            <a:extLst>
                              <a:ext uri="{28A0092B-C50C-407E-A947-70E740481C1C}">
                                <a14:useLocalDpi xmlns:a14="http://schemas.microsoft.com/office/drawing/2010/main" val="0"/>
                              </a:ext>
                            </a:extLst>
                          </a:blip>
                          <a:srcRect t="14338"/>
                          <a:stretch/>
                        </pic:blipFill>
                        <pic:spPr bwMode="auto">
                          <a:xfrm>
                            <a:off x="0" y="0"/>
                            <a:ext cx="6084567" cy="1498796"/>
                          </a:xfrm>
                          <a:prstGeom prst="rect">
                            <a:avLst/>
                          </a:prstGeom>
                          <a:noFill/>
                          <a:ln>
                            <a:noFill/>
                          </a:ln>
                          <a:extLst>
                            <a:ext uri="{53640926-AAD7-44D8-BBD7-CCE9431645EC}">
                              <a14:shadowObscured xmlns:a14="http://schemas.microsoft.com/office/drawing/2010/main"/>
                            </a:ext>
                          </a:extLst>
                        </pic:spPr>
                      </pic:pic>
                    </a:graphicData>
                  </a:graphic>
                </wp:inline>
              </w:drawing>
            </w:r>
          </w:p>
          <w:p w14:paraId="4156BF74" w14:textId="07A9DF27" w:rsidR="00EF769B" w:rsidRPr="00FB08EC" w:rsidRDefault="00EF769B" w:rsidP="00E24985">
            <w:pPr>
              <w:pStyle w:val="Tablesmalltext"/>
              <w:rPr>
                <w:b/>
              </w:rPr>
            </w:pPr>
            <w:r w:rsidRPr="00FB08EC">
              <w:rPr>
                <w:b/>
              </w:rPr>
              <w:t>b) Number of compliance criteria with assessable environmental impacts and the assessed level of impact for each instance of non-</w:t>
            </w:r>
            <w:r>
              <w:rPr>
                <w:b/>
              </w:rPr>
              <w:t>conformance</w:t>
            </w:r>
            <w:r w:rsidRPr="00FB08EC">
              <w:rPr>
                <w:b/>
              </w:rPr>
              <w:t>.</w:t>
            </w:r>
          </w:p>
        </w:tc>
      </w:tr>
    </w:tbl>
    <w:p w14:paraId="48151720" w14:textId="2DB78939" w:rsidR="00EF769B" w:rsidRDefault="00EF769B" w:rsidP="00EF769B">
      <w:pPr>
        <w:pStyle w:val="Caption"/>
        <w:keepNext w:val="0"/>
        <w:spacing w:before="120"/>
      </w:pPr>
      <w:bookmarkStart w:id="119" w:name="_Ref16157269"/>
      <w:r>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15</w:t>
      </w:r>
      <w:r w:rsidR="0013561C">
        <w:rPr>
          <w:noProof/>
        </w:rPr>
        <w:fldChar w:fldCharType="end"/>
      </w:r>
      <w:bookmarkEnd w:id="119"/>
      <w:r>
        <w:t xml:space="preserve"> Compliance findings and assessed environmental impact for instances of non-conformance for criteria applicable to coupe planning and management. The x-axis refers to the coupe numbers, as per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w:t>
      </w:r>
    </w:p>
    <w:p w14:paraId="51D0150A" w14:textId="7704740F" w:rsidR="00EF769B" w:rsidRDefault="00EF769B" w:rsidP="00EF769B">
      <w:pPr>
        <w:pStyle w:val="Para0"/>
      </w:pPr>
      <w:r>
        <w:t xml:space="preserve">While </w:t>
      </w:r>
      <w:r w:rsidR="00515EC4">
        <w:t xml:space="preserve">these are not </w:t>
      </w:r>
      <w:r>
        <w:t xml:space="preserve">explicitly required by the Code or MSPs, such maps are implicit in MSP 2.3.1.2, which requires that FCPs include </w:t>
      </w:r>
      <w:r w:rsidRPr="00E84862">
        <w:rPr>
          <w:i/>
        </w:rPr>
        <w:t>a map which clearly</w:t>
      </w:r>
      <w:r>
        <w:t xml:space="preserve"> </w:t>
      </w:r>
      <w:r>
        <w:rPr>
          <w:i/>
        </w:rPr>
        <w:t>and accurately identifies …areas …</w:t>
      </w:r>
      <w:r>
        <w:t xml:space="preserve"> </w:t>
      </w:r>
      <w:r w:rsidRPr="00E84862">
        <w:rPr>
          <w:i/>
        </w:rPr>
        <w:t>to which special prescriptions apply (including biodiversity protection or habitat enhancement, water quality and aquatic habitat protection</w:t>
      </w:r>
      <w:r>
        <w:rPr>
          <w:i/>
        </w:rPr>
        <w:t>…)</w:t>
      </w:r>
      <w:r>
        <w:t xml:space="preserve">. </w:t>
      </w:r>
    </w:p>
    <w:p w14:paraId="36C3FFB8" w14:textId="77777777" w:rsidR="00EF769B" w:rsidRDefault="00EF769B" w:rsidP="00EF769B">
      <w:pPr>
        <w:pStyle w:val="Para0"/>
      </w:pPr>
      <w:r>
        <w:t xml:space="preserve">Definition of a boundary as a filter or buffer and, more particularly, as a filter or buffer for a drainage line, temporary stream or permanent stream clearly communicates the sensitivity of the location to the contractor and provides an unambiguous point of reference for assessing potential EI in case of a breach. Mapping of high slope areas within a coupe highlights areas where special care is required in harvesting. It also enables harvesting to be planned so that no more than 10% of the net harvest area exceeds the slope threshold (as per MSP 3.4.1.1-3.4.1.3). </w:t>
      </w:r>
    </w:p>
    <w:p w14:paraId="1835FC94" w14:textId="77777777" w:rsidR="00EF769B" w:rsidRDefault="00EF769B" w:rsidP="00EF769B">
      <w:pPr>
        <w:pStyle w:val="Heading2"/>
      </w:pPr>
      <w:bookmarkStart w:id="120" w:name="_Toc21354796"/>
      <w:bookmarkStart w:id="121" w:name="_Toc33202289"/>
      <w:r>
        <w:lastRenderedPageBreak/>
        <w:t>Coupe regeneration and rehabilitation</w:t>
      </w:r>
      <w:bookmarkEnd w:id="120"/>
      <w:bookmarkEnd w:id="121"/>
    </w:p>
    <w:p w14:paraId="6A277F39" w14:textId="750AD1FF" w:rsidR="00EF769B" w:rsidRDefault="00EF769B" w:rsidP="00EF769B">
      <w:pPr>
        <w:pStyle w:val="Para0"/>
      </w:pPr>
      <w:r>
        <w:t>A total of 29 criteria were identified from the various compliance elements applicable to regeneration coupes (</w:t>
      </w:r>
      <w:r>
        <w:fldChar w:fldCharType="begin" w:fldLock="1"/>
      </w:r>
      <w:r>
        <w:instrText xml:space="preserve"> REF _Ref13827801 \r \h </w:instrText>
      </w:r>
      <w:r>
        <w:fldChar w:fldCharType="separate"/>
      </w:r>
      <w:r w:rsidR="005544E2">
        <w:t>Appendix A</w:t>
      </w:r>
      <w:r>
        <w:fldChar w:fldCharType="end"/>
      </w:r>
      <w:r w:rsidR="007E0985">
        <w:rPr>
          <w:rFonts w:ascii="ZWAdobeF" w:hAnsi="ZWAdobeF" w:cs="ZWAdobeF"/>
          <w:sz w:val="2"/>
          <w:szCs w:val="2"/>
        </w:rPr>
        <w:t>16F</w:t>
      </w:r>
      <w:r>
        <w:rPr>
          <w:rStyle w:val="FootnoteReference"/>
        </w:rPr>
        <w:footnoteReference w:id="17"/>
      </w:r>
      <w:r>
        <w:t xml:space="preserve">), with four of these not being applicable to any of the 10 coupes included in this component of the audit. As noted in Section </w:t>
      </w:r>
      <w:r>
        <w:fldChar w:fldCharType="begin" w:fldLock="1"/>
      </w:r>
      <w:r>
        <w:instrText xml:space="preserve"> REF _Ref16178521 \r \h </w:instrText>
      </w:r>
      <w:r>
        <w:fldChar w:fldCharType="separate"/>
      </w:r>
      <w:r w:rsidR="005544E2">
        <w:t>4.1.2</w:t>
      </w:r>
      <w:r>
        <w:fldChar w:fldCharType="end"/>
      </w:r>
      <w:r>
        <w:t xml:space="preserve">, the overall level of full conformance with applicable audit criteria ranged between </w:t>
      </w:r>
      <w:r w:rsidR="00BD41A5">
        <w:t>73</w:t>
      </w:r>
      <w:r>
        <w:t>% (R1 Lil John) and 100% (R4 Behind the Gate), with the average being 9</w:t>
      </w:r>
      <w:r w:rsidR="00D54AC7">
        <w:t>0</w:t>
      </w:r>
      <w:r>
        <w:t>% (</w:t>
      </w:r>
      <w:r>
        <w:fldChar w:fldCharType="begin" w:fldLock="1"/>
      </w:r>
      <w:r>
        <w:instrText xml:space="preserve"> REF _Ref11871868 \h </w:instrText>
      </w:r>
      <w:r>
        <w:fldChar w:fldCharType="separate"/>
      </w:r>
      <w:r w:rsidR="005544E2">
        <w:t xml:space="preserve">Figure </w:t>
      </w:r>
      <w:r w:rsidR="005544E2">
        <w:rPr>
          <w:noProof/>
        </w:rPr>
        <w:t>4</w:t>
      </w:r>
      <w:r w:rsidR="005544E2">
        <w:t>.</w:t>
      </w:r>
      <w:r w:rsidR="005544E2">
        <w:rPr>
          <w:noProof/>
        </w:rPr>
        <w:t>2</w:t>
      </w:r>
      <w:r>
        <w:fldChar w:fldCharType="end"/>
      </w:r>
      <w:r>
        <w:t>).</w:t>
      </w:r>
    </w:p>
    <w:p w14:paraId="08489629" w14:textId="0654B16A" w:rsidR="00EF769B" w:rsidRDefault="00EF769B" w:rsidP="00EF769B">
      <w:pPr>
        <w:pStyle w:val="Para0"/>
      </w:pPr>
      <w:r>
        <w:t>Non-conformances with potential EI were observed in four of the 10 coupes (R1 Lil John, R3 You just know, R5 Below, R9 Tick), with the assessed level of environmental impact ranging to up to major.  Incidents associated with these non-conformances included:</w:t>
      </w:r>
    </w:p>
    <w:p w14:paraId="63B55E50" w14:textId="0011DC01" w:rsidR="00EF769B" w:rsidRDefault="00EF769B" w:rsidP="00EF769B">
      <w:pPr>
        <w:pStyle w:val="Para0bullet"/>
      </w:pPr>
      <w:r w:rsidRPr="00A0331A">
        <w:rPr>
          <w:i/>
        </w:rPr>
        <w:t xml:space="preserve">Regeneration burning </w:t>
      </w:r>
      <w:r>
        <w:rPr>
          <w:i/>
        </w:rPr>
        <w:t>breaching</w:t>
      </w:r>
      <w:r w:rsidRPr="00A0331A">
        <w:rPr>
          <w:i/>
        </w:rPr>
        <w:t xml:space="preserve"> the coupe boundary:</w:t>
      </w:r>
      <w:r>
        <w:t xml:space="preserve"> the regeneration burn in R1 Lil John extended into a neighbouring SPZ. The fire damaged the </w:t>
      </w:r>
      <w:r w:rsidR="00F42977">
        <w:t>understorey</w:t>
      </w:r>
      <w:r>
        <w:t xml:space="preserve"> but did not kill the eucalypt overstorey. Due to the sensitivity of this location, the potential EI was assessed to be major.</w:t>
      </w:r>
    </w:p>
    <w:p w14:paraId="3FEFFE7A" w14:textId="77777777" w:rsidR="00EF769B" w:rsidRPr="00290A71" w:rsidRDefault="00EF769B" w:rsidP="00EF769B">
      <w:pPr>
        <w:pStyle w:val="Para0bullet"/>
        <w:rPr>
          <w:i/>
        </w:rPr>
      </w:pPr>
      <w:r>
        <w:rPr>
          <w:i/>
        </w:rPr>
        <w:t xml:space="preserve">Non-reinstatement of cross-drainage on a snig track: </w:t>
      </w:r>
      <w:r>
        <w:t>drainage on a section of snig track in R3 You Just Know that was used for access during regeneration burning had not been reinstated. As a result, drainage spacing exceed MSP specifications. The assessed potential EI was minor.</w:t>
      </w:r>
    </w:p>
    <w:p w14:paraId="750258DF" w14:textId="4BD6975A" w:rsidR="00EF769B" w:rsidRPr="00ED2921" w:rsidRDefault="00EF769B" w:rsidP="00EF769B">
      <w:pPr>
        <w:pStyle w:val="Para0bullet"/>
        <w:rPr>
          <w:i/>
        </w:rPr>
      </w:pPr>
      <w:r>
        <w:rPr>
          <w:i/>
        </w:rPr>
        <w:t xml:space="preserve">Failure of large embankment: </w:t>
      </w:r>
      <w:r>
        <w:t>the embankment on one of the landings on R5 Below and the in-coupe road used to access it was found to have experienced mass movement and be actively eroding (</w:t>
      </w:r>
      <w:r>
        <w:fldChar w:fldCharType="begin" w:fldLock="1"/>
      </w:r>
      <w:r>
        <w:instrText xml:space="preserve"> REF _Ref16180042 \h </w:instrText>
      </w:r>
      <w:r>
        <w:fldChar w:fldCharType="separate"/>
      </w:r>
      <w:r w:rsidR="005544E2" w:rsidRPr="009038E7">
        <w:t xml:space="preserve">Figure </w:t>
      </w:r>
      <w:r w:rsidR="005544E2">
        <w:rPr>
          <w:noProof/>
        </w:rPr>
        <w:t>4</w:t>
      </w:r>
      <w:r w:rsidR="005544E2">
        <w:t>.</w:t>
      </w:r>
      <w:r w:rsidR="005544E2">
        <w:rPr>
          <w:noProof/>
        </w:rPr>
        <w:t>16</w:t>
      </w:r>
      <w:r>
        <w:fldChar w:fldCharType="end"/>
      </w:r>
      <w:r>
        <w:t>). The assessed potential EI was minor, reflecting that the incident was well-removed from waterways.</w:t>
      </w:r>
    </w:p>
    <w:p w14:paraId="5641D43C" w14:textId="77777777" w:rsidR="00384C00" w:rsidRPr="00A0331A" w:rsidRDefault="00384C00" w:rsidP="00384C00">
      <w:pPr>
        <w:pStyle w:val="Para0bullet"/>
        <w:rPr>
          <w:i/>
        </w:rPr>
      </w:pPr>
      <w:r w:rsidRPr="00A0331A">
        <w:rPr>
          <w:i/>
        </w:rPr>
        <w:t xml:space="preserve">Inappropriate </w:t>
      </w:r>
      <w:r>
        <w:rPr>
          <w:i/>
        </w:rPr>
        <w:t xml:space="preserve">or incomplete </w:t>
      </w:r>
      <w:r w:rsidRPr="00A0331A">
        <w:rPr>
          <w:i/>
        </w:rPr>
        <w:t>landing rehabilitation:</w:t>
      </w:r>
      <w:r>
        <w:rPr>
          <w:i/>
        </w:rPr>
        <w:t xml:space="preserve"> </w:t>
      </w:r>
      <w:r>
        <w:t>parts of the landing on R1 Lil John appeared to have been burnt at very high temperature, suggesting that insufficient bark had been removed (contrary to MSP 7.2.2.5). This was assessed to have negligible EI. One of the two landings on R9 Tick appeared to have been only partly ripped and rehabilitated. Regeneration was progressing in this area, but only slowly. The assessed EI was minor.</w:t>
      </w:r>
    </w:p>
    <w:p w14:paraId="1F193886" w14:textId="77777777" w:rsidR="00EF769B" w:rsidRDefault="00EF769B" w:rsidP="00EF769B">
      <w:pPr>
        <w:pStyle w:val="Para0"/>
      </w:pPr>
      <w:r>
        <w:rPr>
          <w:noProof/>
        </w:rPr>
        <w:drawing>
          <wp:inline distT="0" distB="0" distL="0" distR="0" wp14:anchorId="582D75E9" wp14:editId="63113F43">
            <wp:extent cx="6381750" cy="230974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91446" cy="2313256"/>
                    </a:xfrm>
                    <a:prstGeom prst="rect">
                      <a:avLst/>
                    </a:prstGeom>
                    <a:noFill/>
                  </pic:spPr>
                </pic:pic>
              </a:graphicData>
            </a:graphic>
          </wp:inline>
        </w:drawing>
      </w:r>
    </w:p>
    <w:p w14:paraId="259A22DB" w14:textId="3537B5A1" w:rsidR="00EF769B" w:rsidRDefault="00EF769B" w:rsidP="00EF769B">
      <w:pPr>
        <w:pStyle w:val="Caption"/>
      </w:pPr>
      <w:bookmarkStart w:id="122" w:name="_Ref16180042"/>
      <w:r w:rsidRPr="009038E7">
        <w:t xml:space="preserve">Figure </w:t>
      </w:r>
      <w:r w:rsidR="0013561C">
        <w:fldChar w:fldCharType="begin" w:fldLock="1"/>
      </w:r>
      <w:r w:rsidR="0013561C">
        <w:instrText xml:space="preserve"> STYLEREF 1 \s </w:instrText>
      </w:r>
      <w:r w:rsidR="0013561C">
        <w:fldChar w:fldCharType="separate"/>
      </w:r>
      <w:r w:rsidR="005544E2">
        <w:rPr>
          <w:noProof/>
        </w:rPr>
        <w:t>4</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16</w:t>
      </w:r>
      <w:r w:rsidR="0013561C">
        <w:rPr>
          <w:noProof/>
        </w:rPr>
        <w:fldChar w:fldCharType="end"/>
      </w:r>
      <w:bookmarkEnd w:id="122"/>
      <w:r w:rsidRPr="009038E7">
        <w:t xml:space="preserve">: </w:t>
      </w:r>
      <w:r>
        <w:t>Mass movement and erosion of the in-coupe road and landing embankments, R5 Below.</w:t>
      </w:r>
    </w:p>
    <w:p w14:paraId="2537EB8D" w14:textId="77777777" w:rsidR="00EF769B" w:rsidRDefault="00EF769B" w:rsidP="00EF769B">
      <w:pPr>
        <w:pStyle w:val="Para0"/>
      </w:pPr>
      <w:r>
        <w:t xml:space="preserve">Seven of the 10 coupes were found to be adequately regenerated. R6 Bottom End and R7 Tym Tym (located adjacent to each other) were both poorly stocked at the time of audit. Despite the seedbed appearing to be receptive, it seemed unlikely that the coupes would regenerate adequately without further intervention. R1 </w:t>
      </w:r>
      <w:r>
        <w:lastRenderedPageBreak/>
        <w:t xml:space="preserve">Lil John was unevenly regenerated, with some areas having good stocking and other areas (often with an apparently receptive seedbed) having little regeneration. </w:t>
      </w:r>
    </w:p>
    <w:p w14:paraId="6D543857" w14:textId="5138A2C7" w:rsidR="00EF769B" w:rsidRDefault="00EF769B" w:rsidP="00EF769B">
      <w:pPr>
        <w:pStyle w:val="Para0"/>
      </w:pPr>
      <w:r>
        <w:t>Since coupe regeneration is a compliance requirement of the Code, insufficient regeneration at the time of the field assessment was considered to be a non-conformance</w:t>
      </w:r>
      <w:r w:rsidR="007E0985">
        <w:rPr>
          <w:rFonts w:ascii="ZWAdobeF" w:hAnsi="ZWAdobeF" w:cs="ZWAdobeF"/>
          <w:sz w:val="2"/>
          <w:szCs w:val="2"/>
        </w:rPr>
        <w:t>17F</w:t>
      </w:r>
      <w:r w:rsidR="00750911">
        <w:rPr>
          <w:rStyle w:val="FootnoteReference"/>
        </w:rPr>
        <w:footnoteReference w:id="18"/>
      </w:r>
      <w:r>
        <w:t>. No potential EI was assessed, as the coupes remained under VicForests’ management for regeneration and hence it is expected that further work to successfully regenerate the coupe would be undertaken and that the coupe would eventually comply with relevant Code and MSP requirements.</w:t>
      </w:r>
    </w:p>
    <w:p w14:paraId="530263AE" w14:textId="77777777" w:rsidR="00EF769B" w:rsidRDefault="00EF769B" w:rsidP="00EF769B">
      <w:pPr>
        <w:pStyle w:val="Para0"/>
      </w:pPr>
      <w:r>
        <w:t>In-coupe roads into three coupes that had been successfully regenerated had not been permanently closed to traffic, as required by the Code and MSPs. There was no evidence that this was associated with any adverse environmental impact and so potential EI was not assessed.</w:t>
      </w:r>
    </w:p>
    <w:p w14:paraId="1DB6F0A4" w14:textId="2583CD43" w:rsidR="00EF769B" w:rsidRDefault="00EF769B" w:rsidP="00EF769B">
      <w:pPr>
        <w:pStyle w:val="Para0"/>
      </w:pPr>
      <w:r>
        <w:t xml:space="preserve">Observations made during this component of the audit suggests some variability in the rate at which coupe infrastructure regenerates. Snig tracks typically regenerate quickly, with eucalypts and </w:t>
      </w:r>
      <w:r w:rsidR="00F42977">
        <w:t>understorey</w:t>
      </w:r>
      <w:r>
        <w:t xml:space="preserve"> species establishing at a similar rate to the rest of the coupe. Boundary tracks appear to be slower to regenerate, potentially reflecting competition for water with adjacent mature trees. Landings appear to regenerate variably, depending on the success of rehabilitation works, effects of regeneration burning and impacts of browsing animals. Unripped areas in the vicinity of landings that have been compacted by log trucks or snigging traffic appear to regenerate slowly.</w:t>
      </w:r>
    </w:p>
    <w:p w14:paraId="1F8317C2" w14:textId="4FDF590E" w:rsidR="00E24985" w:rsidRDefault="00E24985" w:rsidP="00E24985">
      <w:pPr>
        <w:pStyle w:val="Heading1"/>
      </w:pPr>
      <w:bookmarkStart w:id="123" w:name="_Toc33202290"/>
      <w:bookmarkStart w:id="124" w:name="_Toc21354798"/>
      <w:r>
        <w:lastRenderedPageBreak/>
        <w:t>Discussion</w:t>
      </w:r>
      <w:bookmarkEnd w:id="123"/>
    </w:p>
    <w:p w14:paraId="308BF2B3" w14:textId="7B379CB0" w:rsidR="00E24985" w:rsidRDefault="00E24985" w:rsidP="00E24985">
      <w:pPr>
        <w:pStyle w:val="Heading2"/>
      </w:pPr>
      <w:bookmarkStart w:id="125" w:name="_Toc33202291"/>
      <w:r>
        <w:t>Overall audit findings</w:t>
      </w:r>
      <w:bookmarkEnd w:id="124"/>
      <w:bookmarkEnd w:id="125"/>
    </w:p>
    <w:p w14:paraId="03EA7767" w14:textId="77777777" w:rsidR="00E24985" w:rsidRDefault="00E24985" w:rsidP="00E24985">
      <w:pPr>
        <w:pStyle w:val="Para0"/>
      </w:pPr>
      <w:r>
        <w:t>The audit is intended to assess VicForests’ conformance with selected elements of the regulatory framework for timber harvesting activities in State forests, as well as any environmental risks posed by non-conformances. This section provides a summary of the audit’s overall findings in relation to these objectives.</w:t>
      </w:r>
    </w:p>
    <w:p w14:paraId="54F34AA3" w14:textId="77777777" w:rsidR="00E24985" w:rsidRDefault="00E24985" w:rsidP="00E24985">
      <w:pPr>
        <w:pStyle w:val="Heading3"/>
      </w:pPr>
      <w:bookmarkStart w:id="126" w:name="_Toc21354799"/>
      <w:bookmarkStart w:id="127" w:name="_Toc33202292"/>
      <w:r>
        <w:t>Harvest coupes</w:t>
      </w:r>
      <w:bookmarkEnd w:id="126"/>
      <w:bookmarkEnd w:id="127"/>
      <w:r>
        <w:t xml:space="preserve"> </w:t>
      </w:r>
    </w:p>
    <w:p w14:paraId="14832D1A" w14:textId="77777777" w:rsidR="00E24985" w:rsidRDefault="00E24985" w:rsidP="00E24985">
      <w:pPr>
        <w:pStyle w:val="Para0"/>
      </w:pPr>
      <w:r>
        <w:t>The harvesting and roading component of this audit considered 30 coupes that were located in State forests distributed through eastern Victoria. Since coupe selection was weighted towards those with higher risk natural and constructed features (e.g. rainforest vegetation, waterway crossings, in-coupe roads, steeper slopes, more erodible soils), the findings of the audit are not necessarily statistically representative of VicForests’ operations overall.</w:t>
      </w:r>
    </w:p>
    <w:p w14:paraId="076608C7" w14:textId="794D761E" w:rsidR="00E24985" w:rsidRDefault="00E24985" w:rsidP="00E24985">
      <w:pPr>
        <w:pStyle w:val="Para0"/>
      </w:pPr>
      <w:r>
        <w:t xml:space="preserve">The audit found that full conformance was achieved with </w:t>
      </w:r>
      <w:r w:rsidR="00D54AC7">
        <w:t>8</w:t>
      </w:r>
      <w:r w:rsidR="00700232">
        <w:t>4</w:t>
      </w:r>
      <w:r>
        <w:t>% of applicable audit criteria, overall (</w:t>
      </w:r>
      <w:r>
        <w:fldChar w:fldCharType="begin" w:fldLock="1"/>
      </w:r>
      <w:r>
        <w:instrText xml:space="preserve"> REF _Ref18337773 \h </w:instrText>
      </w:r>
      <w:r>
        <w:fldChar w:fldCharType="separate"/>
      </w:r>
      <w:r w:rsidR="005544E2">
        <w:t xml:space="preserve">Figure </w:t>
      </w:r>
      <w:r w:rsidR="005544E2">
        <w:rPr>
          <w:noProof/>
        </w:rPr>
        <w:t>5</w:t>
      </w:r>
      <w:r w:rsidR="005544E2">
        <w:t>.</w:t>
      </w:r>
      <w:r w:rsidR="005544E2">
        <w:rPr>
          <w:noProof/>
        </w:rPr>
        <w:t>1</w:t>
      </w:r>
      <w:r>
        <w:fldChar w:fldCharType="end"/>
      </w:r>
      <w:r>
        <w:t>). The level of full conformance varied between compliance themes, ranging between 67% (road design) and 9</w:t>
      </w:r>
      <w:r w:rsidR="00D54AC7">
        <w:t>2</w:t>
      </w:r>
      <w:r>
        <w:t xml:space="preserve">% (coupe planning). Non-conformances with direct or potential EI were associated with </w:t>
      </w:r>
      <w:r w:rsidR="00D54AC7">
        <w:t>69</w:t>
      </w:r>
      <w:r>
        <w:t xml:space="preserve"> unique incidents within or directly adjacent to 26 of the 30 coupes included in this component of the audit. </w:t>
      </w:r>
    </w:p>
    <w:p w14:paraId="706B74F6" w14:textId="17A04E72" w:rsidR="00E24985" w:rsidRDefault="00CE4578" w:rsidP="00E24985">
      <w:pPr>
        <w:pStyle w:val="Para0"/>
      </w:pPr>
      <w:r>
        <w:rPr>
          <w:noProof/>
        </w:rPr>
        <w:drawing>
          <wp:inline distT="0" distB="0" distL="0" distR="0" wp14:anchorId="2F35CCFD" wp14:editId="7B96FB82">
            <wp:extent cx="5924550" cy="328470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26504" cy="3285787"/>
                    </a:xfrm>
                    <a:prstGeom prst="rect">
                      <a:avLst/>
                    </a:prstGeom>
                    <a:noFill/>
                  </pic:spPr>
                </pic:pic>
              </a:graphicData>
            </a:graphic>
          </wp:inline>
        </w:drawing>
      </w:r>
    </w:p>
    <w:p w14:paraId="6572E3D2" w14:textId="77777777" w:rsidR="00E24985" w:rsidRPr="00572D5E" w:rsidRDefault="00E24985" w:rsidP="00E24985">
      <w:pPr>
        <w:pStyle w:val="Tablesmalltext"/>
      </w:pPr>
      <w:r>
        <w:t>% full conformance with applicable audit criteria overall and in each harvest coupe audit theme (left Y axis). % non-conformances with EI overall and for audit themes and sub-themes (right Y axis)</w:t>
      </w:r>
    </w:p>
    <w:p w14:paraId="039AE335" w14:textId="1F822101" w:rsidR="00E24985" w:rsidRDefault="00E24985" w:rsidP="00384C00">
      <w:pPr>
        <w:pStyle w:val="Caption"/>
        <w:keepNext w:val="0"/>
        <w:spacing w:before="120"/>
      </w:pPr>
      <w:bookmarkStart w:id="128" w:name="_Ref18337773"/>
      <w:bookmarkStart w:id="129" w:name="_Ref19875149"/>
      <w:r>
        <w:t xml:space="preserve">Figure </w:t>
      </w:r>
      <w:r w:rsidR="0013561C">
        <w:fldChar w:fldCharType="begin" w:fldLock="1"/>
      </w:r>
      <w:r w:rsidR="0013561C">
        <w:instrText xml:space="preserve"> STYLEREF 1 \s </w:instrText>
      </w:r>
      <w:r w:rsidR="0013561C">
        <w:fldChar w:fldCharType="separate"/>
      </w:r>
      <w:r w:rsidR="005544E2">
        <w:rPr>
          <w:noProof/>
        </w:rPr>
        <w:t>5</w:t>
      </w:r>
      <w:r w:rsidR="0013561C">
        <w:rPr>
          <w:noProof/>
        </w:rPr>
        <w:fldChar w:fldCharType="end"/>
      </w:r>
      <w:r>
        <w:t>.</w:t>
      </w:r>
      <w:r w:rsidR="0013561C">
        <w:fldChar w:fldCharType="begin"/>
      </w:r>
      <w:r w:rsidR="0013561C">
        <w:instrText xml:space="preserve"> SEQ Figure \* ARABIC \s 1 </w:instrText>
      </w:r>
      <w:r w:rsidR="0013561C">
        <w:fldChar w:fldCharType="separate"/>
      </w:r>
      <w:r w:rsidR="007E0985">
        <w:rPr>
          <w:noProof/>
        </w:rPr>
        <w:t>1</w:t>
      </w:r>
      <w:r w:rsidR="0013561C">
        <w:rPr>
          <w:noProof/>
        </w:rPr>
        <w:fldChar w:fldCharType="end"/>
      </w:r>
      <w:bookmarkEnd w:id="128"/>
      <w:r>
        <w:t xml:space="preserve"> Summary of overall audit findings for conformance with the regulatory framework for timber harvesting and related activities in State forests in Victoria: harvest coupes.</w:t>
      </w:r>
      <w:bookmarkEnd w:id="129"/>
      <w:r>
        <w:t xml:space="preserve"> </w:t>
      </w:r>
    </w:p>
    <w:p w14:paraId="680B1BA7" w14:textId="760B742C" w:rsidR="00E24985" w:rsidRDefault="00E24985" w:rsidP="00E24985">
      <w:pPr>
        <w:pStyle w:val="Para0"/>
      </w:pPr>
      <w:r>
        <w:t xml:space="preserve">Instances of non-conformance with audit criteria were identified across all audit themes and sub-themes. The assessed EI associated with non-conformances is summarised by audit theme and sub-theme in </w:t>
      </w:r>
      <w:r>
        <w:fldChar w:fldCharType="begin" w:fldLock="1"/>
      </w:r>
      <w:r>
        <w:instrText xml:space="preserve"> REF _Ref18337773 \h </w:instrText>
      </w:r>
      <w:r>
        <w:fldChar w:fldCharType="separate"/>
      </w:r>
      <w:r w:rsidR="005544E2">
        <w:t xml:space="preserve">Figure </w:t>
      </w:r>
      <w:r w:rsidR="005544E2">
        <w:rPr>
          <w:noProof/>
        </w:rPr>
        <w:t>5</w:t>
      </w:r>
      <w:r w:rsidR="005544E2">
        <w:t>.</w:t>
      </w:r>
      <w:r w:rsidR="005544E2">
        <w:rPr>
          <w:noProof/>
        </w:rPr>
        <w:t>1</w:t>
      </w:r>
      <w:r>
        <w:fldChar w:fldCharType="end"/>
      </w:r>
      <w:r>
        <w:t xml:space="preserve">. Non-conformances with potential EI were most common (proportionally) in the soils and road maintenance </w:t>
      </w:r>
      <w:r>
        <w:lastRenderedPageBreak/>
        <w:t xml:space="preserve">and closure sub-themes (noting that there were only eight applicable criteria for the latter). In both cases, non-conformances with potential EI were recorded for at least </w:t>
      </w:r>
      <w:r w:rsidR="00282E7E">
        <w:t>16</w:t>
      </w:r>
      <w:r>
        <w:t xml:space="preserve">% of applicable </w:t>
      </w:r>
      <w:r w:rsidR="00282E7E">
        <w:t xml:space="preserve">(non-conforming) </w:t>
      </w:r>
      <w:r>
        <w:t xml:space="preserve">criteria. </w:t>
      </w:r>
    </w:p>
    <w:p w14:paraId="0D30C6BD" w14:textId="704D741C" w:rsidR="00E24985" w:rsidRDefault="00E24985" w:rsidP="00E24985">
      <w:pPr>
        <w:pStyle w:val="Para0"/>
      </w:pPr>
      <w:r>
        <w:t>Assessed EI for non-conformances ranged between negligible and major. The most common level of assessed EI was minor. Major and moderate EI-rated non-conformances were associated with 1</w:t>
      </w:r>
      <w:r w:rsidR="00282E7E">
        <w:t>6</w:t>
      </w:r>
      <w:r>
        <w:t xml:space="preserve">% and </w:t>
      </w:r>
      <w:r w:rsidR="00282E7E">
        <w:t>18</w:t>
      </w:r>
      <w:r>
        <w:t xml:space="preserve">% of audit criteria for which non-conformances were recorded, respectively. </w:t>
      </w:r>
    </w:p>
    <w:p w14:paraId="2344F7CF" w14:textId="77777777" w:rsidR="00E24985" w:rsidRDefault="00E24985" w:rsidP="00E24985">
      <w:pPr>
        <w:pStyle w:val="Para0"/>
      </w:pPr>
      <w:r>
        <w:t>A variety of incident types were found to result in non-conformances with potential EI. These are summarised in Table 5.1. Four types of incident were assessed to have EI ratings of up to major:</w:t>
      </w:r>
    </w:p>
    <w:p w14:paraId="27E38E0D" w14:textId="77777777" w:rsidR="00E24985" w:rsidRDefault="00E24985" w:rsidP="00E24985">
      <w:pPr>
        <w:pStyle w:val="Para0bullet"/>
      </w:pPr>
      <w:r>
        <w:t xml:space="preserve">Long-lengths of in-coupe roads being constructed without effective drainage structures </w:t>
      </w:r>
    </w:p>
    <w:p w14:paraId="5FCD57FF" w14:textId="77777777" w:rsidR="00E24985" w:rsidRDefault="00E24985" w:rsidP="00E24985">
      <w:pPr>
        <w:pStyle w:val="Para0bullet"/>
      </w:pPr>
      <w:r>
        <w:t>Waterway crossings on permanent streams being designed and constructed without appropriate placement of culverts or construction of drainage to intercept in-coupe road runoff before it enters the waterway</w:t>
      </w:r>
    </w:p>
    <w:p w14:paraId="63B5B238" w14:textId="31B66239" w:rsidR="00E24985" w:rsidRDefault="00E24985" w:rsidP="00E24985">
      <w:pPr>
        <w:pStyle w:val="Para0bullet"/>
      </w:pPr>
      <w:r>
        <w:t>Regeneration burns breaching containment and burning into adjacent SPZ or other exclusion areas</w:t>
      </w:r>
    </w:p>
    <w:p w14:paraId="4C82ED5A" w14:textId="12464935" w:rsidR="00E24985" w:rsidRDefault="00E24985" w:rsidP="00E24985">
      <w:pPr>
        <w:pStyle w:val="Para0bullet"/>
      </w:pPr>
      <w:r>
        <w:t>Construction of tracks within SPZs.</w:t>
      </w:r>
    </w:p>
    <w:p w14:paraId="55D87BD2" w14:textId="77777777" w:rsidR="00E24985" w:rsidRDefault="00E24985" w:rsidP="00E24985">
      <w:pPr>
        <w:pStyle w:val="Para0"/>
      </w:pPr>
      <w:r>
        <w:t>Major EI ratings for these incidents reflected the sensitivity of the locations at which the incidents occurred, and in some cases, the level of EI. The first three of these types of incident with major potential EI have been identified in previous FAP audits.</w:t>
      </w:r>
    </w:p>
    <w:p w14:paraId="6D13173B" w14:textId="77777777" w:rsidR="00E24985" w:rsidRDefault="00E24985" w:rsidP="00E24985">
      <w:pPr>
        <w:pStyle w:val="Para0"/>
      </w:pPr>
      <w:r>
        <w:t xml:space="preserve">The four most common incidents with potential EI included: excessive drainage structure spacing on in-coupe roads; inappropriately designed and constructed waterway crossings; excessive drainage structure spacing on snig and boundary tracks; and mass movement of in-coupe road and landing embankments. </w:t>
      </w:r>
    </w:p>
    <w:p w14:paraId="106F1A83" w14:textId="09A004CF" w:rsidR="00E24985" w:rsidRDefault="00E24985" w:rsidP="00E24985">
      <w:pPr>
        <w:pStyle w:val="Para0"/>
      </w:pPr>
      <w:r>
        <w:t>Three of the main non-conformance incidents with potential EI were observed more frequently in the current audit than in the 2017-18 FAP and two of the incidents were observed less frequently (</w:t>
      </w:r>
      <w:r>
        <w:fldChar w:fldCharType="begin" w:fldLock="1"/>
      </w:r>
      <w:r>
        <w:instrText xml:space="preserve"> REF _Ref18353094 \h </w:instrText>
      </w:r>
      <w:r>
        <w:fldChar w:fldCharType="separate"/>
      </w:r>
      <w:r w:rsidR="005544E2">
        <w:t xml:space="preserve">Table </w:t>
      </w:r>
      <w:r w:rsidR="005544E2">
        <w:rPr>
          <w:noProof/>
        </w:rPr>
        <w:t>5</w:t>
      </w:r>
      <w:r w:rsidR="005544E2">
        <w:t>.</w:t>
      </w:r>
      <w:r w:rsidR="005544E2">
        <w:rPr>
          <w:noProof/>
        </w:rPr>
        <w:t>1</w:t>
      </w:r>
      <w:r>
        <w:fldChar w:fldCharType="end"/>
      </w:r>
      <w:r>
        <w:t xml:space="preserve">). Several types of incident were identified in this audit that were not observed in the previous audit. This reflects the inclusion of new audit criteria (e.g. relating to the rehabilitation of coupe infrastructure), as well as the detection of some incidents that had not previously been observed (e.g. machine entry into SPZs) and the detection of other incidents that were not observed in the 2017-18 audit (e.g. mass movement of in-coupe road or landing embankments) but had been observed in earlier FAP audits. </w:t>
      </w:r>
    </w:p>
    <w:p w14:paraId="1158D29C" w14:textId="69CD4F86" w:rsidR="00E24985" w:rsidRDefault="00E24985" w:rsidP="00E24985">
      <w:pPr>
        <w:pStyle w:val="Para0"/>
      </w:pPr>
      <w:r>
        <w:t>Almost all incidents posed a risk to soil and water values. Several threatened (to varying extents) the productive capacity of the regenerating forest and some posed a risk to biodiversity values (</w:t>
      </w:r>
      <w:r>
        <w:fldChar w:fldCharType="begin" w:fldLock="1"/>
      </w:r>
      <w:r>
        <w:instrText xml:space="preserve"> REF _Ref18353094 \h </w:instrText>
      </w:r>
      <w:r>
        <w:fldChar w:fldCharType="separate"/>
      </w:r>
      <w:r w:rsidR="005544E2">
        <w:t xml:space="preserve">Table </w:t>
      </w:r>
      <w:r w:rsidR="005544E2">
        <w:rPr>
          <w:noProof/>
        </w:rPr>
        <w:t>5</w:t>
      </w:r>
      <w:r w:rsidR="005544E2">
        <w:t>.</w:t>
      </w:r>
      <w:r w:rsidR="005544E2">
        <w:rPr>
          <w:noProof/>
        </w:rPr>
        <w:t>1</w:t>
      </w:r>
      <w:r>
        <w:fldChar w:fldCharType="end"/>
      </w:r>
      <w:r>
        <w:t>).</w:t>
      </w:r>
    </w:p>
    <w:p w14:paraId="179454EF" w14:textId="3DC91D7B" w:rsidR="00E24985" w:rsidRDefault="00E24985" w:rsidP="00384C00">
      <w:pPr>
        <w:pStyle w:val="Caption"/>
        <w:pageBreakBefore/>
      </w:pPr>
      <w:bookmarkStart w:id="130" w:name="_Ref18353094"/>
      <w:r>
        <w:lastRenderedPageBreak/>
        <w:t xml:space="preserve">Table </w:t>
      </w:r>
      <w:r w:rsidR="0013561C">
        <w:fldChar w:fldCharType="begin" w:fldLock="1"/>
      </w:r>
      <w:r w:rsidR="0013561C">
        <w:instrText xml:space="preserve"> STYLEREF 1 \s </w:instrText>
      </w:r>
      <w:r w:rsidR="0013561C">
        <w:fldChar w:fldCharType="separate"/>
      </w:r>
      <w:r w:rsidR="005544E2">
        <w:rPr>
          <w:noProof/>
        </w:rPr>
        <w:t>5</w:t>
      </w:r>
      <w:r w:rsidR="0013561C">
        <w:rPr>
          <w:noProof/>
        </w:rPr>
        <w:fldChar w:fldCharType="end"/>
      </w:r>
      <w:r>
        <w:t>.</w:t>
      </w:r>
      <w:r w:rsidR="0013561C">
        <w:fldChar w:fldCharType="begin"/>
      </w:r>
      <w:r w:rsidR="0013561C">
        <w:instrText xml:space="preserve"> SEQ Table \* ARABIC \s 1 </w:instrText>
      </w:r>
      <w:r w:rsidR="0013561C">
        <w:fldChar w:fldCharType="separate"/>
      </w:r>
      <w:r w:rsidR="007E0985">
        <w:rPr>
          <w:noProof/>
        </w:rPr>
        <w:t>1</w:t>
      </w:r>
      <w:r w:rsidR="0013561C">
        <w:rPr>
          <w:noProof/>
        </w:rPr>
        <w:fldChar w:fldCharType="end"/>
      </w:r>
      <w:bookmarkEnd w:id="130"/>
      <w:r>
        <w:t xml:space="preserve"> Types of incident resulting in non-conformances with the regulatory framework that have potential or actual environmental impact, including comparison with 2017-18 FAP</w:t>
      </w:r>
    </w:p>
    <w:tbl>
      <w:tblPr>
        <w:tblStyle w:val="TableGrid"/>
        <w:tblW w:w="5029"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4862"/>
        <w:gridCol w:w="962"/>
        <w:gridCol w:w="1099"/>
        <w:gridCol w:w="1099"/>
        <w:gridCol w:w="1639"/>
      </w:tblGrid>
      <w:tr w:rsidR="00E24985" w:rsidRPr="00F11CA0" w14:paraId="018CE0B3" w14:textId="77777777" w:rsidTr="00384C00">
        <w:trPr>
          <w:trHeight w:val="278"/>
          <w:tblHeader/>
        </w:trPr>
        <w:tc>
          <w:tcPr>
            <w:tcW w:w="2516" w:type="pct"/>
            <w:vMerge w:val="restart"/>
            <w:tcBorders>
              <w:right w:val="single" w:sz="4" w:space="0" w:color="808080"/>
            </w:tcBorders>
            <w:shd w:val="clear" w:color="auto" w:fill="E5E5E5" w:themeFill="background2"/>
            <w:vAlign w:val="center"/>
          </w:tcPr>
          <w:p w14:paraId="308B1963" w14:textId="77777777" w:rsidR="00E24985" w:rsidRPr="00F11CA0" w:rsidRDefault="00E24985" w:rsidP="00E24985">
            <w:pPr>
              <w:pStyle w:val="Tablesmalltext"/>
              <w:rPr>
                <w:b/>
              </w:rPr>
            </w:pPr>
            <w:r>
              <w:rPr>
                <w:b/>
              </w:rPr>
              <w:t>Type of incident</w:t>
            </w:r>
          </w:p>
        </w:tc>
        <w:tc>
          <w:tcPr>
            <w:tcW w:w="1067" w:type="pct"/>
            <w:gridSpan w:val="2"/>
            <w:tcBorders>
              <w:left w:val="single" w:sz="4" w:space="0" w:color="808080"/>
              <w:right w:val="single" w:sz="4" w:space="0" w:color="808080"/>
            </w:tcBorders>
            <w:shd w:val="clear" w:color="auto" w:fill="E5E5E5" w:themeFill="background2"/>
            <w:vAlign w:val="center"/>
          </w:tcPr>
          <w:p w14:paraId="6359A628" w14:textId="77777777" w:rsidR="00E24985" w:rsidRDefault="00E24985" w:rsidP="00E24985">
            <w:pPr>
              <w:pStyle w:val="Tablesmalltext"/>
              <w:jc w:val="center"/>
              <w:rPr>
                <w:b/>
              </w:rPr>
            </w:pPr>
            <w:r>
              <w:rPr>
                <w:b/>
              </w:rPr>
              <w:t># incidents</w:t>
            </w:r>
          </w:p>
        </w:tc>
        <w:tc>
          <w:tcPr>
            <w:tcW w:w="569" w:type="pct"/>
            <w:vMerge w:val="restart"/>
            <w:tcBorders>
              <w:left w:val="single" w:sz="4" w:space="0" w:color="808080"/>
            </w:tcBorders>
            <w:shd w:val="clear" w:color="auto" w:fill="E5E5E5" w:themeFill="background2"/>
            <w:vAlign w:val="center"/>
          </w:tcPr>
          <w:p w14:paraId="01483968" w14:textId="77777777" w:rsidR="00E24985" w:rsidRPr="00F11CA0" w:rsidRDefault="00E24985" w:rsidP="00E24985">
            <w:pPr>
              <w:pStyle w:val="Tablesmalltext"/>
              <w:jc w:val="center"/>
              <w:rPr>
                <w:b/>
              </w:rPr>
            </w:pPr>
            <w:r>
              <w:rPr>
                <w:b/>
              </w:rPr>
              <w:t>Maximum EI rating</w:t>
            </w:r>
          </w:p>
        </w:tc>
        <w:tc>
          <w:tcPr>
            <w:tcW w:w="848" w:type="pct"/>
            <w:vMerge w:val="restart"/>
            <w:tcBorders>
              <w:left w:val="single" w:sz="4" w:space="0" w:color="FFFFFF" w:themeColor="background1"/>
            </w:tcBorders>
            <w:shd w:val="clear" w:color="auto" w:fill="E5E5E5" w:themeFill="background2"/>
          </w:tcPr>
          <w:p w14:paraId="4ACEFB56" w14:textId="77777777" w:rsidR="00E24985" w:rsidRPr="00F11CA0" w:rsidRDefault="00E24985" w:rsidP="00E24985">
            <w:pPr>
              <w:pStyle w:val="Tablesmalltext"/>
              <w:rPr>
                <w:b/>
              </w:rPr>
            </w:pPr>
            <w:r>
              <w:rPr>
                <w:b/>
              </w:rPr>
              <w:t>Code (C), MSP (M) or PS (P) reference</w:t>
            </w:r>
          </w:p>
        </w:tc>
      </w:tr>
      <w:tr w:rsidR="00E24985" w:rsidRPr="00F11CA0" w14:paraId="205F9291" w14:textId="77777777" w:rsidTr="00384C00">
        <w:trPr>
          <w:trHeight w:val="277"/>
          <w:tblHeader/>
        </w:trPr>
        <w:tc>
          <w:tcPr>
            <w:tcW w:w="2516" w:type="pct"/>
            <w:vMerge/>
            <w:tcBorders>
              <w:right w:val="single" w:sz="4" w:space="0" w:color="808080"/>
            </w:tcBorders>
            <w:shd w:val="clear" w:color="auto" w:fill="00338D"/>
            <w:vAlign w:val="center"/>
          </w:tcPr>
          <w:p w14:paraId="1494D26D" w14:textId="77777777" w:rsidR="00E24985" w:rsidRDefault="00E24985" w:rsidP="00E24985">
            <w:pPr>
              <w:pStyle w:val="Tablesmalltext"/>
              <w:rPr>
                <w:b/>
              </w:rPr>
            </w:pPr>
          </w:p>
        </w:tc>
        <w:tc>
          <w:tcPr>
            <w:tcW w:w="498" w:type="pct"/>
            <w:tcBorders>
              <w:left w:val="single" w:sz="4" w:space="0" w:color="808080"/>
              <w:right w:val="single" w:sz="4" w:space="0" w:color="808080"/>
            </w:tcBorders>
            <w:shd w:val="clear" w:color="auto" w:fill="E5E5E5" w:themeFill="background2"/>
            <w:vAlign w:val="center"/>
          </w:tcPr>
          <w:p w14:paraId="2C595732" w14:textId="77777777" w:rsidR="00E24985" w:rsidRDefault="00E24985" w:rsidP="00E24985">
            <w:pPr>
              <w:pStyle w:val="Tablesmalltext"/>
              <w:jc w:val="center"/>
              <w:rPr>
                <w:b/>
              </w:rPr>
            </w:pPr>
            <w:r>
              <w:rPr>
                <w:b/>
              </w:rPr>
              <w:t>2018-19</w:t>
            </w:r>
          </w:p>
        </w:tc>
        <w:tc>
          <w:tcPr>
            <w:tcW w:w="569" w:type="pct"/>
            <w:tcBorders>
              <w:left w:val="single" w:sz="4" w:space="0" w:color="808080"/>
              <w:right w:val="single" w:sz="4" w:space="0" w:color="808080"/>
            </w:tcBorders>
            <w:shd w:val="clear" w:color="auto" w:fill="E5E5E5" w:themeFill="background2"/>
          </w:tcPr>
          <w:p w14:paraId="7A72F5F6" w14:textId="1E460C4C" w:rsidR="00E24985" w:rsidRPr="005B05BB" w:rsidRDefault="00E24985" w:rsidP="00E24985">
            <w:pPr>
              <w:pStyle w:val="Tablesmalltext"/>
              <w:jc w:val="center"/>
              <w:rPr>
                <w:b/>
                <w:vertAlign w:val="superscript"/>
              </w:rPr>
            </w:pPr>
            <w:r>
              <w:rPr>
                <w:b/>
              </w:rPr>
              <w:t>2017-18</w:t>
            </w:r>
            <w:r w:rsidR="005B05BB">
              <w:rPr>
                <w:b/>
                <w:vertAlign w:val="superscript"/>
              </w:rPr>
              <w:t>1</w:t>
            </w:r>
          </w:p>
        </w:tc>
        <w:tc>
          <w:tcPr>
            <w:tcW w:w="569" w:type="pct"/>
            <w:vMerge/>
            <w:tcBorders>
              <w:left w:val="single" w:sz="4" w:space="0" w:color="808080"/>
            </w:tcBorders>
            <w:shd w:val="clear" w:color="auto" w:fill="00338D"/>
            <w:vAlign w:val="center"/>
          </w:tcPr>
          <w:p w14:paraId="2752C9EE" w14:textId="77777777" w:rsidR="00E24985" w:rsidRDefault="00E24985" w:rsidP="00E24985">
            <w:pPr>
              <w:pStyle w:val="Tablesmalltext"/>
              <w:jc w:val="center"/>
              <w:rPr>
                <w:b/>
              </w:rPr>
            </w:pPr>
          </w:p>
        </w:tc>
        <w:tc>
          <w:tcPr>
            <w:tcW w:w="848" w:type="pct"/>
            <w:vMerge/>
            <w:tcBorders>
              <w:left w:val="single" w:sz="4" w:space="0" w:color="FFFFFF" w:themeColor="background1"/>
            </w:tcBorders>
            <w:shd w:val="clear" w:color="auto" w:fill="00338D"/>
          </w:tcPr>
          <w:p w14:paraId="2E196C61" w14:textId="77777777" w:rsidR="00E24985" w:rsidRDefault="00E24985" w:rsidP="00E24985">
            <w:pPr>
              <w:pStyle w:val="Tablesmalltext"/>
              <w:rPr>
                <w:b/>
              </w:rPr>
            </w:pPr>
          </w:p>
        </w:tc>
      </w:tr>
      <w:tr w:rsidR="00E24985" w14:paraId="4DF1F398" w14:textId="77777777" w:rsidTr="00E24985">
        <w:tc>
          <w:tcPr>
            <w:tcW w:w="2516" w:type="pct"/>
          </w:tcPr>
          <w:p w14:paraId="0D86898A" w14:textId="77777777" w:rsidR="00E24985" w:rsidRDefault="00E24985" w:rsidP="00E74AFC">
            <w:pPr>
              <w:pStyle w:val="Tablesmallnumber"/>
              <w:numPr>
                <w:ilvl w:val="0"/>
                <w:numId w:val="20"/>
              </w:numPr>
            </w:pPr>
            <w:r>
              <w:t>Drain spacing along snig tracks or boundary tracks exceeded permitted value based on soil erosion hazard and slope</w:t>
            </w:r>
          </w:p>
          <w:p w14:paraId="7D5723D5" w14:textId="77777777" w:rsidR="00E24985" w:rsidRPr="00F11CA0" w:rsidRDefault="00E24985" w:rsidP="00E24985">
            <w:pPr>
              <w:pStyle w:val="Tablesmallnumber"/>
            </w:pPr>
            <w:r>
              <w:rPr>
                <w:i/>
              </w:rPr>
              <w:t xml:space="preserve">Potential consequences: </w:t>
            </w:r>
            <w:r>
              <w:t>soil erosion, sediment deposition into waterways, impairment of aquatic habitat, reduced water quality.</w:t>
            </w:r>
          </w:p>
        </w:tc>
        <w:tc>
          <w:tcPr>
            <w:tcW w:w="498" w:type="pct"/>
          </w:tcPr>
          <w:p w14:paraId="1306A522" w14:textId="77777777" w:rsidR="00E24985" w:rsidRDefault="00E24985" w:rsidP="00E24985">
            <w:pPr>
              <w:pStyle w:val="Tablesmalltext"/>
              <w:jc w:val="center"/>
            </w:pPr>
            <w:r>
              <w:t>14</w:t>
            </w:r>
          </w:p>
        </w:tc>
        <w:tc>
          <w:tcPr>
            <w:tcW w:w="569" w:type="pct"/>
          </w:tcPr>
          <w:p w14:paraId="00F9BB7C" w14:textId="6B2CFDD4" w:rsidR="00E24985" w:rsidRDefault="005B05BB" w:rsidP="00E24985">
            <w:pPr>
              <w:pStyle w:val="Tablesmalltext"/>
              <w:jc w:val="center"/>
            </w:pPr>
            <w:r>
              <w:t>Not in scope</w:t>
            </w:r>
          </w:p>
        </w:tc>
        <w:tc>
          <w:tcPr>
            <w:tcW w:w="569" w:type="pct"/>
          </w:tcPr>
          <w:p w14:paraId="079A2505" w14:textId="77777777" w:rsidR="00E24985" w:rsidRDefault="00E24985" w:rsidP="00E24985">
            <w:pPr>
              <w:pStyle w:val="Tablesmalltext"/>
              <w:jc w:val="center"/>
            </w:pPr>
            <w:r>
              <w:t>Minor</w:t>
            </w:r>
          </w:p>
        </w:tc>
        <w:tc>
          <w:tcPr>
            <w:tcW w:w="848" w:type="pct"/>
          </w:tcPr>
          <w:p w14:paraId="3F8AE14C" w14:textId="77777777" w:rsidR="00E24985" w:rsidRDefault="00E24985" w:rsidP="00E24985">
            <w:pPr>
              <w:pStyle w:val="Tablesmalltext"/>
            </w:pPr>
            <w:r>
              <w:t>C2.5.2.5</w:t>
            </w:r>
          </w:p>
        </w:tc>
      </w:tr>
      <w:tr w:rsidR="00E24985" w14:paraId="3DEE874C" w14:textId="77777777" w:rsidTr="00E24985">
        <w:tc>
          <w:tcPr>
            <w:tcW w:w="2516" w:type="pct"/>
          </w:tcPr>
          <w:p w14:paraId="561ADB3E" w14:textId="77777777" w:rsidR="00E24985" w:rsidRDefault="00E24985" w:rsidP="00E74AFC">
            <w:pPr>
              <w:pStyle w:val="Tablesmallnumber"/>
              <w:numPr>
                <w:ilvl w:val="0"/>
                <w:numId w:val="20"/>
              </w:numPr>
            </w:pPr>
            <w:r>
              <w:t>In-coupe road drainage structure spacing exceeded permitted value based on soil erosion hazard and slope</w:t>
            </w:r>
          </w:p>
          <w:p w14:paraId="5F59CF3C" w14:textId="77777777" w:rsidR="00E24985" w:rsidRDefault="00E24985" w:rsidP="00E24985">
            <w:pPr>
              <w:pStyle w:val="Tablesmallnumber"/>
            </w:pPr>
            <w:r>
              <w:rPr>
                <w:i/>
              </w:rPr>
              <w:t xml:space="preserve">Potential consequences: </w:t>
            </w:r>
            <w:r>
              <w:t>soil erosion, sediment deposition into waterways, impairment of aquatic habitat, reduced water quality.</w:t>
            </w:r>
          </w:p>
        </w:tc>
        <w:tc>
          <w:tcPr>
            <w:tcW w:w="498" w:type="pct"/>
          </w:tcPr>
          <w:p w14:paraId="1370185A" w14:textId="77777777" w:rsidR="00E24985" w:rsidRDefault="00E24985" w:rsidP="00E24985">
            <w:pPr>
              <w:pStyle w:val="Tablesmalltext"/>
              <w:jc w:val="center"/>
            </w:pPr>
            <w:r>
              <w:t>10</w:t>
            </w:r>
          </w:p>
        </w:tc>
        <w:tc>
          <w:tcPr>
            <w:tcW w:w="569" w:type="pct"/>
          </w:tcPr>
          <w:p w14:paraId="4E62E938" w14:textId="77777777" w:rsidR="00E24985" w:rsidRDefault="00E24985" w:rsidP="00E24985">
            <w:pPr>
              <w:pStyle w:val="Tablesmalltext"/>
              <w:jc w:val="center"/>
            </w:pPr>
            <w:r>
              <w:t>8</w:t>
            </w:r>
          </w:p>
        </w:tc>
        <w:tc>
          <w:tcPr>
            <w:tcW w:w="569" w:type="pct"/>
          </w:tcPr>
          <w:p w14:paraId="4399EFD9" w14:textId="77777777" w:rsidR="00E24985" w:rsidRDefault="00E24985" w:rsidP="00E24985">
            <w:pPr>
              <w:pStyle w:val="Tablesmalltext"/>
              <w:jc w:val="center"/>
            </w:pPr>
            <w:r>
              <w:t>Major</w:t>
            </w:r>
          </w:p>
        </w:tc>
        <w:tc>
          <w:tcPr>
            <w:tcW w:w="848" w:type="pct"/>
          </w:tcPr>
          <w:p w14:paraId="03931DE5" w14:textId="77777777" w:rsidR="00E24985" w:rsidRDefault="00E24985" w:rsidP="00E24985">
            <w:pPr>
              <w:pStyle w:val="Tablesmalltext"/>
            </w:pPr>
            <w:r>
              <w:t>C2.4.2.5, M6.2.4.1</w:t>
            </w:r>
          </w:p>
        </w:tc>
      </w:tr>
      <w:tr w:rsidR="00E24985" w14:paraId="4C80789B" w14:textId="77777777" w:rsidTr="00E24985">
        <w:tc>
          <w:tcPr>
            <w:tcW w:w="2516" w:type="pct"/>
          </w:tcPr>
          <w:p w14:paraId="02C955CA" w14:textId="77777777" w:rsidR="00E24985" w:rsidRDefault="00E24985" w:rsidP="00E74AFC">
            <w:pPr>
              <w:pStyle w:val="Tablesmallnumber"/>
              <w:numPr>
                <w:ilvl w:val="0"/>
                <w:numId w:val="20"/>
              </w:numPr>
            </w:pPr>
            <w:r>
              <w:t xml:space="preserve">Engineer not engaged in design of road or landing embankment. Embankment subject to mass movement of soil </w:t>
            </w:r>
          </w:p>
          <w:p w14:paraId="00ECDE6F" w14:textId="77777777" w:rsidR="00E24985" w:rsidRDefault="00E24985" w:rsidP="00E24985">
            <w:pPr>
              <w:pStyle w:val="Tablesmallnumber"/>
            </w:pPr>
            <w:r>
              <w:rPr>
                <w:i/>
              </w:rPr>
              <w:t xml:space="preserve">Potential consequences: </w:t>
            </w:r>
            <w:r>
              <w:t>soil mass movement and erosion, damage to regenerating forest.</w:t>
            </w:r>
          </w:p>
        </w:tc>
        <w:tc>
          <w:tcPr>
            <w:tcW w:w="498" w:type="pct"/>
          </w:tcPr>
          <w:p w14:paraId="1A1DF6B6" w14:textId="77777777" w:rsidR="00E24985" w:rsidRDefault="00E24985" w:rsidP="00E24985">
            <w:pPr>
              <w:pStyle w:val="Tablesmalltext"/>
              <w:jc w:val="center"/>
            </w:pPr>
            <w:r>
              <w:t>9</w:t>
            </w:r>
          </w:p>
        </w:tc>
        <w:tc>
          <w:tcPr>
            <w:tcW w:w="569" w:type="pct"/>
          </w:tcPr>
          <w:p w14:paraId="0A8E58F0" w14:textId="048C131C" w:rsidR="00E24985" w:rsidRDefault="008950DF" w:rsidP="00E24985">
            <w:pPr>
              <w:pStyle w:val="Tablesmalltext"/>
              <w:jc w:val="center"/>
            </w:pPr>
            <w:r>
              <w:t>Not observed</w:t>
            </w:r>
          </w:p>
        </w:tc>
        <w:tc>
          <w:tcPr>
            <w:tcW w:w="569" w:type="pct"/>
          </w:tcPr>
          <w:p w14:paraId="11F6B814" w14:textId="77777777" w:rsidR="00E24985" w:rsidRDefault="00E24985" w:rsidP="00E24985">
            <w:pPr>
              <w:pStyle w:val="Tablesmalltext"/>
              <w:jc w:val="center"/>
            </w:pPr>
            <w:r>
              <w:t>Minor</w:t>
            </w:r>
          </w:p>
        </w:tc>
        <w:tc>
          <w:tcPr>
            <w:tcW w:w="848" w:type="pct"/>
          </w:tcPr>
          <w:p w14:paraId="4100887A" w14:textId="77777777" w:rsidR="00E24985" w:rsidRDefault="00E24985" w:rsidP="00E24985">
            <w:pPr>
              <w:pStyle w:val="Tablesmalltext"/>
            </w:pPr>
            <w:r w:rsidRPr="00F11CA0">
              <w:t>C2.2.1.</w:t>
            </w:r>
            <w:r>
              <w:t>2/</w:t>
            </w:r>
            <w:r w:rsidRPr="00F11CA0">
              <w:t>14</w:t>
            </w:r>
            <w:r>
              <w:t>/15</w:t>
            </w:r>
            <w:r w:rsidRPr="00F11CA0">
              <w:t>, 2.4.3.3, M6.2.2.3</w:t>
            </w:r>
          </w:p>
        </w:tc>
      </w:tr>
      <w:tr w:rsidR="00E24985" w14:paraId="004B5E93" w14:textId="77777777" w:rsidTr="00E24985">
        <w:tc>
          <w:tcPr>
            <w:tcW w:w="2516" w:type="pct"/>
          </w:tcPr>
          <w:p w14:paraId="779FBEE0" w14:textId="77777777" w:rsidR="00E24985" w:rsidRDefault="00E24985" w:rsidP="00E74AFC">
            <w:pPr>
              <w:pStyle w:val="Tablesmallnumber"/>
              <w:numPr>
                <w:ilvl w:val="0"/>
                <w:numId w:val="20"/>
              </w:numPr>
            </w:pPr>
            <w:r>
              <w:t>Waterway crossing design and/or construction that does not conform with the regulatory framework (including culvert installation, management of road drainage in the vicinity of the crossing)</w:t>
            </w:r>
          </w:p>
          <w:p w14:paraId="466A9F25" w14:textId="77777777" w:rsidR="00E24985" w:rsidRDefault="00E24985" w:rsidP="00E24985">
            <w:pPr>
              <w:pStyle w:val="Tablesmallnumber"/>
            </w:pPr>
            <w:r>
              <w:rPr>
                <w:i/>
              </w:rPr>
              <w:t xml:space="preserve">Potential consequences: </w:t>
            </w:r>
            <w:r>
              <w:t>soil erosion, sediment deposition into waterways, impairment of aquatic habitat, reduced water quality.</w:t>
            </w:r>
          </w:p>
        </w:tc>
        <w:tc>
          <w:tcPr>
            <w:tcW w:w="498" w:type="pct"/>
          </w:tcPr>
          <w:p w14:paraId="03682D61" w14:textId="77777777" w:rsidR="00E24985" w:rsidRDefault="00E24985" w:rsidP="00E24985">
            <w:pPr>
              <w:pStyle w:val="Tablesmalltext"/>
              <w:jc w:val="center"/>
            </w:pPr>
            <w:r>
              <w:t>8</w:t>
            </w:r>
          </w:p>
        </w:tc>
        <w:tc>
          <w:tcPr>
            <w:tcW w:w="569" w:type="pct"/>
          </w:tcPr>
          <w:p w14:paraId="4EA19B09" w14:textId="77777777" w:rsidR="00E24985" w:rsidRDefault="00E24985" w:rsidP="00E24985">
            <w:pPr>
              <w:pStyle w:val="Tablesmalltext"/>
              <w:jc w:val="center"/>
            </w:pPr>
            <w:r>
              <w:t>5</w:t>
            </w:r>
          </w:p>
        </w:tc>
        <w:tc>
          <w:tcPr>
            <w:tcW w:w="569" w:type="pct"/>
          </w:tcPr>
          <w:p w14:paraId="28C575F9" w14:textId="77777777" w:rsidR="00E24985" w:rsidRDefault="00E24985" w:rsidP="00E24985">
            <w:pPr>
              <w:pStyle w:val="Tablesmalltext"/>
              <w:jc w:val="center"/>
            </w:pPr>
            <w:r>
              <w:t>Major</w:t>
            </w:r>
          </w:p>
        </w:tc>
        <w:tc>
          <w:tcPr>
            <w:tcW w:w="848" w:type="pct"/>
          </w:tcPr>
          <w:p w14:paraId="3A4B92CC" w14:textId="77777777" w:rsidR="00E24985" w:rsidRDefault="00E24985" w:rsidP="00E24985">
            <w:pPr>
              <w:pStyle w:val="Tablesmalltext"/>
            </w:pPr>
            <w:r>
              <w:t>C2.2.1.2/6/8, M6.2.5.5</w:t>
            </w:r>
          </w:p>
        </w:tc>
      </w:tr>
      <w:tr w:rsidR="00E24985" w14:paraId="0B8D9E2F" w14:textId="77777777" w:rsidTr="00E24985">
        <w:tc>
          <w:tcPr>
            <w:tcW w:w="2516" w:type="pct"/>
          </w:tcPr>
          <w:p w14:paraId="6677E54C" w14:textId="77777777" w:rsidR="00E24985" w:rsidRDefault="00E24985" w:rsidP="00E74AFC">
            <w:pPr>
              <w:pStyle w:val="Tablesmallnumber"/>
              <w:numPr>
                <w:ilvl w:val="0"/>
                <w:numId w:val="20"/>
              </w:numPr>
            </w:pPr>
            <w:r>
              <w:t>Rehabilitation of infrastructure (landing, snig track, in-coupe road) has contributed to soil mass movement and/or erosion</w:t>
            </w:r>
          </w:p>
          <w:p w14:paraId="20A481C9" w14:textId="77777777" w:rsidR="00E24985" w:rsidRDefault="00E24985" w:rsidP="00E24985">
            <w:pPr>
              <w:pStyle w:val="Tablesmallnumber"/>
            </w:pPr>
            <w:r>
              <w:rPr>
                <w:i/>
              </w:rPr>
              <w:t xml:space="preserve">Potential consequences: </w:t>
            </w:r>
            <w:r>
              <w:t>soil erosion, sediment deposition into waterways, impairment of aquatic habitat, reduced water quality, loss of production from regenerating forest.</w:t>
            </w:r>
          </w:p>
        </w:tc>
        <w:tc>
          <w:tcPr>
            <w:tcW w:w="498" w:type="pct"/>
          </w:tcPr>
          <w:p w14:paraId="6213B078" w14:textId="77777777" w:rsidR="00E24985" w:rsidRDefault="00E24985" w:rsidP="00E24985">
            <w:pPr>
              <w:pStyle w:val="Tablesmalltext"/>
              <w:jc w:val="center"/>
            </w:pPr>
            <w:r>
              <w:t>5</w:t>
            </w:r>
          </w:p>
        </w:tc>
        <w:tc>
          <w:tcPr>
            <w:tcW w:w="569" w:type="pct"/>
          </w:tcPr>
          <w:p w14:paraId="2865CB21" w14:textId="0FA356A5" w:rsidR="00E24985" w:rsidRDefault="005B05BB" w:rsidP="00E24985">
            <w:pPr>
              <w:pStyle w:val="Tablesmalltext"/>
              <w:jc w:val="center"/>
            </w:pPr>
            <w:r>
              <w:t>Not in scope</w:t>
            </w:r>
          </w:p>
        </w:tc>
        <w:tc>
          <w:tcPr>
            <w:tcW w:w="569" w:type="pct"/>
          </w:tcPr>
          <w:p w14:paraId="642E7B2A" w14:textId="77777777" w:rsidR="00E24985" w:rsidRDefault="00E24985" w:rsidP="00E24985">
            <w:pPr>
              <w:pStyle w:val="Tablesmalltext"/>
              <w:jc w:val="center"/>
            </w:pPr>
            <w:r>
              <w:t>Minor</w:t>
            </w:r>
          </w:p>
        </w:tc>
        <w:tc>
          <w:tcPr>
            <w:tcW w:w="848" w:type="pct"/>
          </w:tcPr>
          <w:p w14:paraId="6637F3B7" w14:textId="77777777" w:rsidR="00E24985" w:rsidRDefault="00E24985" w:rsidP="00E24985">
            <w:pPr>
              <w:pStyle w:val="Tablesmalltext"/>
            </w:pPr>
            <w:r>
              <w:t>C2.2.1.2/12/14, 2.5.1.2, M6.4.1.2 , 7.2.2.2</w:t>
            </w:r>
          </w:p>
        </w:tc>
      </w:tr>
      <w:tr w:rsidR="00E24985" w14:paraId="3EF00ED5" w14:textId="77777777" w:rsidTr="00E24985">
        <w:tc>
          <w:tcPr>
            <w:tcW w:w="2516" w:type="pct"/>
          </w:tcPr>
          <w:p w14:paraId="52FA175D" w14:textId="3D0579E7" w:rsidR="00E24985" w:rsidRDefault="00E24985" w:rsidP="00E74AFC">
            <w:pPr>
              <w:pStyle w:val="Tablesmallnumber"/>
              <w:numPr>
                <w:ilvl w:val="0"/>
                <w:numId w:val="20"/>
              </w:numPr>
            </w:pPr>
            <w:r>
              <w:t>Regeneration burn entering exclusion areas within or adjacent to coupe or vegetation in exclusion area damaged by regeneration burn that remains within the planned burn boundary</w:t>
            </w:r>
          </w:p>
          <w:p w14:paraId="5F5F1DA7" w14:textId="77777777" w:rsidR="00E24985" w:rsidRDefault="00E24985" w:rsidP="00E24985">
            <w:pPr>
              <w:pStyle w:val="Tablesmallnumber"/>
            </w:pPr>
            <w:r>
              <w:rPr>
                <w:i/>
              </w:rPr>
              <w:t xml:space="preserve">Potential consequences: </w:t>
            </w:r>
            <w:r>
              <w:t>soil erosion, sediment deposition into waterways, impairment of aquatic and terrestrial habitat, reduced water quality, loss of fire-sensitive biodiversity values.</w:t>
            </w:r>
          </w:p>
        </w:tc>
        <w:tc>
          <w:tcPr>
            <w:tcW w:w="498" w:type="pct"/>
          </w:tcPr>
          <w:p w14:paraId="5F018BD3" w14:textId="77777777" w:rsidR="00E24985" w:rsidRDefault="00E24985" w:rsidP="00E24985">
            <w:pPr>
              <w:pStyle w:val="Tablesmalltext"/>
              <w:jc w:val="center"/>
            </w:pPr>
            <w:r>
              <w:t>5</w:t>
            </w:r>
          </w:p>
        </w:tc>
        <w:tc>
          <w:tcPr>
            <w:tcW w:w="569" w:type="pct"/>
          </w:tcPr>
          <w:p w14:paraId="595DF6AA" w14:textId="77777777" w:rsidR="00E24985" w:rsidRDefault="00E24985" w:rsidP="00E24985">
            <w:pPr>
              <w:pStyle w:val="Tablesmalltext"/>
              <w:jc w:val="center"/>
            </w:pPr>
            <w:r>
              <w:t>4</w:t>
            </w:r>
          </w:p>
        </w:tc>
        <w:tc>
          <w:tcPr>
            <w:tcW w:w="569" w:type="pct"/>
          </w:tcPr>
          <w:p w14:paraId="04CCCFDF" w14:textId="77777777" w:rsidR="00E24985" w:rsidRDefault="00E24985" w:rsidP="00E24985">
            <w:pPr>
              <w:pStyle w:val="Tablesmalltext"/>
              <w:jc w:val="center"/>
            </w:pPr>
            <w:r>
              <w:t>Major</w:t>
            </w:r>
          </w:p>
        </w:tc>
        <w:tc>
          <w:tcPr>
            <w:tcW w:w="848" w:type="pct"/>
          </w:tcPr>
          <w:p w14:paraId="404F5802" w14:textId="77777777" w:rsidR="00E24985" w:rsidRDefault="00E24985" w:rsidP="00E24985">
            <w:pPr>
              <w:pStyle w:val="Tablesmalltext"/>
            </w:pPr>
            <w:r>
              <w:t xml:space="preserve">C2.2.1.2, </w:t>
            </w:r>
            <w:r w:rsidRPr="00F11CA0">
              <w:t>2.2.2.</w:t>
            </w:r>
            <w:r>
              <w:t>4/</w:t>
            </w:r>
            <w:r w:rsidRPr="00F11CA0">
              <w:t>5, 2.5.1.2</w:t>
            </w:r>
            <w:r>
              <w:t>,</w:t>
            </w:r>
            <w:r w:rsidRPr="00F11CA0">
              <w:t xml:space="preserve"> M4.1.4.5</w:t>
            </w:r>
          </w:p>
        </w:tc>
      </w:tr>
      <w:tr w:rsidR="00E24985" w14:paraId="79FBFE56" w14:textId="77777777" w:rsidTr="00E24985">
        <w:tc>
          <w:tcPr>
            <w:tcW w:w="2516" w:type="pct"/>
          </w:tcPr>
          <w:p w14:paraId="1A75CD82" w14:textId="77777777" w:rsidR="00E24985" w:rsidRDefault="00E24985" w:rsidP="00E74AFC">
            <w:pPr>
              <w:pStyle w:val="Tablesmallnumber"/>
              <w:numPr>
                <w:ilvl w:val="0"/>
                <w:numId w:val="20"/>
              </w:numPr>
            </w:pPr>
            <w:r>
              <w:t>Landing not fully rehabilitated</w:t>
            </w:r>
          </w:p>
          <w:p w14:paraId="3459BCAF" w14:textId="77777777" w:rsidR="00E24985" w:rsidRDefault="00E24985" w:rsidP="00E24985">
            <w:pPr>
              <w:pStyle w:val="Tablesmallnumber"/>
            </w:pPr>
            <w:r>
              <w:rPr>
                <w:i/>
              </w:rPr>
              <w:t xml:space="preserve">Potential consequences: </w:t>
            </w:r>
            <w:r>
              <w:t>reduced productive capacity of regenerating forest.</w:t>
            </w:r>
          </w:p>
        </w:tc>
        <w:tc>
          <w:tcPr>
            <w:tcW w:w="498" w:type="pct"/>
          </w:tcPr>
          <w:p w14:paraId="71A851D9" w14:textId="77777777" w:rsidR="00E24985" w:rsidRDefault="00E24985" w:rsidP="00E24985">
            <w:pPr>
              <w:pStyle w:val="Tablesmalltext"/>
              <w:jc w:val="center"/>
            </w:pPr>
            <w:r>
              <w:t>5</w:t>
            </w:r>
          </w:p>
        </w:tc>
        <w:tc>
          <w:tcPr>
            <w:tcW w:w="569" w:type="pct"/>
          </w:tcPr>
          <w:p w14:paraId="6158EE96" w14:textId="058BCC65" w:rsidR="00E24985" w:rsidRDefault="005B05BB" w:rsidP="00E24985">
            <w:pPr>
              <w:pStyle w:val="Tablesmalltext"/>
              <w:jc w:val="center"/>
            </w:pPr>
            <w:r>
              <w:t>Not in scope</w:t>
            </w:r>
          </w:p>
        </w:tc>
        <w:tc>
          <w:tcPr>
            <w:tcW w:w="569" w:type="pct"/>
          </w:tcPr>
          <w:p w14:paraId="2BC5DAF8" w14:textId="77777777" w:rsidR="00E24985" w:rsidRDefault="00E24985" w:rsidP="00E24985">
            <w:pPr>
              <w:pStyle w:val="Tablesmalltext"/>
              <w:jc w:val="center"/>
            </w:pPr>
            <w:r>
              <w:t>Minor</w:t>
            </w:r>
          </w:p>
        </w:tc>
        <w:tc>
          <w:tcPr>
            <w:tcW w:w="848" w:type="pct"/>
          </w:tcPr>
          <w:p w14:paraId="606E13D7" w14:textId="77777777" w:rsidR="00E24985" w:rsidRDefault="00E24985" w:rsidP="00E24985">
            <w:pPr>
              <w:pStyle w:val="Tablesmalltext"/>
            </w:pPr>
            <w:r w:rsidRPr="00F11CA0">
              <w:t>M7.2.2.2</w:t>
            </w:r>
          </w:p>
        </w:tc>
      </w:tr>
      <w:tr w:rsidR="00E24985" w14:paraId="05A36F8A" w14:textId="77777777" w:rsidTr="00E24985">
        <w:tc>
          <w:tcPr>
            <w:tcW w:w="2516" w:type="pct"/>
          </w:tcPr>
          <w:p w14:paraId="53592446" w14:textId="77777777" w:rsidR="00E24985" w:rsidRDefault="00E24985" w:rsidP="00E74AFC">
            <w:pPr>
              <w:pStyle w:val="Tablesmallnumber"/>
              <w:numPr>
                <w:ilvl w:val="0"/>
                <w:numId w:val="20"/>
              </w:numPr>
            </w:pPr>
            <w:r>
              <w:t>Snig track crosses into drainage line filter, without apparent sanction and/or when reasonably practicable alternatives existed</w:t>
            </w:r>
          </w:p>
          <w:p w14:paraId="1DD17529" w14:textId="77777777" w:rsidR="00E24985" w:rsidRDefault="00E24985" w:rsidP="00E24985">
            <w:pPr>
              <w:pStyle w:val="Tablesmallnumber"/>
            </w:pPr>
            <w:r>
              <w:rPr>
                <w:i/>
              </w:rPr>
              <w:t xml:space="preserve">Potential consequences: </w:t>
            </w:r>
            <w:r>
              <w:t>soil erosion, sediment deposition into waterways, impairment of aquatic habitat, reduced water quality.</w:t>
            </w:r>
          </w:p>
        </w:tc>
        <w:tc>
          <w:tcPr>
            <w:tcW w:w="498" w:type="pct"/>
          </w:tcPr>
          <w:p w14:paraId="078876AC" w14:textId="77777777" w:rsidR="00E24985" w:rsidRDefault="00E24985" w:rsidP="00E24985">
            <w:pPr>
              <w:pStyle w:val="Tablesmalltext"/>
              <w:jc w:val="center"/>
            </w:pPr>
            <w:r>
              <w:t>3</w:t>
            </w:r>
          </w:p>
        </w:tc>
        <w:tc>
          <w:tcPr>
            <w:tcW w:w="569" w:type="pct"/>
          </w:tcPr>
          <w:p w14:paraId="193D509F" w14:textId="5018C0B3" w:rsidR="00E24985" w:rsidRDefault="005B05BB" w:rsidP="00E24985">
            <w:pPr>
              <w:pStyle w:val="Tablesmalltext"/>
              <w:jc w:val="center"/>
            </w:pPr>
            <w:r>
              <w:t>Not in scope</w:t>
            </w:r>
          </w:p>
        </w:tc>
        <w:tc>
          <w:tcPr>
            <w:tcW w:w="569" w:type="pct"/>
          </w:tcPr>
          <w:p w14:paraId="604A96B6" w14:textId="77777777" w:rsidR="00E24985" w:rsidRDefault="00E24985" w:rsidP="00E24985">
            <w:pPr>
              <w:pStyle w:val="Tablesmalltext"/>
              <w:jc w:val="center"/>
            </w:pPr>
            <w:r>
              <w:t>Moderate</w:t>
            </w:r>
          </w:p>
        </w:tc>
        <w:tc>
          <w:tcPr>
            <w:tcW w:w="848" w:type="pct"/>
          </w:tcPr>
          <w:p w14:paraId="2884B1BD" w14:textId="77777777" w:rsidR="00E24985" w:rsidRDefault="00E24985" w:rsidP="00E24985">
            <w:pPr>
              <w:pStyle w:val="Tablesmalltext"/>
            </w:pPr>
            <w:r>
              <w:t>C2.2.1.2, 2.2.1.5, 2.5.1.2, M3.3.1.1, 3.5.1.1/3, 7.1.4.1</w:t>
            </w:r>
          </w:p>
        </w:tc>
      </w:tr>
      <w:tr w:rsidR="00E24985" w14:paraId="03B5AE02" w14:textId="77777777" w:rsidTr="00E24985">
        <w:tc>
          <w:tcPr>
            <w:tcW w:w="2516" w:type="pct"/>
          </w:tcPr>
          <w:p w14:paraId="69FAA65F" w14:textId="08902D7C" w:rsidR="00E24985" w:rsidRDefault="00E24985" w:rsidP="00E74AFC">
            <w:pPr>
              <w:pStyle w:val="Tablesmallnumber"/>
              <w:numPr>
                <w:ilvl w:val="0"/>
                <w:numId w:val="20"/>
              </w:numPr>
            </w:pPr>
            <w:r>
              <w:t>Machinery entry into SPZ or other exclusion areas within or adjacent to coupe</w:t>
            </w:r>
          </w:p>
          <w:p w14:paraId="4FCD6EEA" w14:textId="77777777" w:rsidR="00E24985" w:rsidRDefault="00E24985" w:rsidP="00E24985">
            <w:pPr>
              <w:pStyle w:val="Tablesmallnumber"/>
            </w:pPr>
            <w:r>
              <w:rPr>
                <w:i/>
              </w:rPr>
              <w:t xml:space="preserve">Potential consequences: </w:t>
            </w:r>
            <w:r>
              <w:t>soil compaction/disturbance, reduction in habitat values.</w:t>
            </w:r>
          </w:p>
        </w:tc>
        <w:tc>
          <w:tcPr>
            <w:tcW w:w="498" w:type="pct"/>
          </w:tcPr>
          <w:p w14:paraId="1724F023" w14:textId="77777777" w:rsidR="00E24985" w:rsidRDefault="00E24985" w:rsidP="00E24985">
            <w:pPr>
              <w:pStyle w:val="Tablesmalltext"/>
              <w:jc w:val="center"/>
            </w:pPr>
            <w:r>
              <w:t>3</w:t>
            </w:r>
          </w:p>
        </w:tc>
        <w:tc>
          <w:tcPr>
            <w:tcW w:w="569" w:type="pct"/>
          </w:tcPr>
          <w:p w14:paraId="7F1D1C1E" w14:textId="63DA035D" w:rsidR="00E24985" w:rsidRDefault="005B05BB" w:rsidP="00E24985">
            <w:pPr>
              <w:pStyle w:val="Tablesmalltext"/>
              <w:jc w:val="center"/>
            </w:pPr>
            <w:r>
              <w:t>Not observed</w:t>
            </w:r>
          </w:p>
        </w:tc>
        <w:tc>
          <w:tcPr>
            <w:tcW w:w="569" w:type="pct"/>
          </w:tcPr>
          <w:p w14:paraId="1ACCADF3" w14:textId="77777777" w:rsidR="00E24985" w:rsidRDefault="00E24985" w:rsidP="00E24985">
            <w:pPr>
              <w:pStyle w:val="Tablesmalltext"/>
              <w:jc w:val="center"/>
            </w:pPr>
            <w:r>
              <w:t>Major</w:t>
            </w:r>
          </w:p>
        </w:tc>
        <w:tc>
          <w:tcPr>
            <w:tcW w:w="848" w:type="pct"/>
          </w:tcPr>
          <w:p w14:paraId="393A1147" w14:textId="77777777" w:rsidR="00E24985" w:rsidRDefault="00E24985" w:rsidP="00E24985">
            <w:pPr>
              <w:pStyle w:val="Tablesmalltext"/>
            </w:pPr>
            <w:r w:rsidRPr="00F11CA0">
              <w:t>C2.2.1.2/5, 2.5.1.2, M3.5.1.1</w:t>
            </w:r>
            <w:r>
              <w:t>, 4.2.1.1, 7.1.2.1, P4.3.1.1</w:t>
            </w:r>
          </w:p>
        </w:tc>
      </w:tr>
      <w:tr w:rsidR="00E24985" w14:paraId="4A49A6EF" w14:textId="77777777" w:rsidTr="00E24985">
        <w:tc>
          <w:tcPr>
            <w:tcW w:w="2516" w:type="pct"/>
          </w:tcPr>
          <w:p w14:paraId="54B6AF05" w14:textId="65C28FC7" w:rsidR="00E24985" w:rsidRDefault="00E24985" w:rsidP="005B05BB">
            <w:pPr>
              <w:pStyle w:val="Tablesmallnumber"/>
              <w:keepNext/>
              <w:numPr>
                <w:ilvl w:val="0"/>
                <w:numId w:val="20"/>
              </w:numPr>
              <w:ind w:left="284" w:hanging="284"/>
            </w:pPr>
            <w:r>
              <w:lastRenderedPageBreak/>
              <w:t>Damage to adjacent coupe due to regeneration burn crossing a coupe boundary</w:t>
            </w:r>
          </w:p>
          <w:p w14:paraId="7F65477A" w14:textId="77777777" w:rsidR="00E24985" w:rsidRDefault="00E24985" w:rsidP="00384C00">
            <w:pPr>
              <w:pStyle w:val="Tablesmallnumber"/>
            </w:pPr>
            <w:r w:rsidRPr="00384C00">
              <w:t xml:space="preserve">Potential consequences: </w:t>
            </w:r>
            <w:r>
              <w:t>soil erosion, loss of productive capacity of regenerating forest.</w:t>
            </w:r>
          </w:p>
        </w:tc>
        <w:tc>
          <w:tcPr>
            <w:tcW w:w="498" w:type="pct"/>
          </w:tcPr>
          <w:p w14:paraId="6B740C67" w14:textId="77777777" w:rsidR="00E24985" w:rsidRDefault="00E24985" w:rsidP="00384C00">
            <w:pPr>
              <w:pStyle w:val="Tablesmalltext"/>
              <w:jc w:val="center"/>
            </w:pPr>
            <w:r>
              <w:t>1</w:t>
            </w:r>
          </w:p>
        </w:tc>
        <w:tc>
          <w:tcPr>
            <w:tcW w:w="569" w:type="pct"/>
          </w:tcPr>
          <w:p w14:paraId="5E0CB9A3" w14:textId="457F7EE2" w:rsidR="00E24985" w:rsidRDefault="005B05BB" w:rsidP="00384C00">
            <w:pPr>
              <w:pStyle w:val="Tablesmalltext"/>
              <w:jc w:val="center"/>
            </w:pPr>
            <w:r>
              <w:t>Not observed</w:t>
            </w:r>
          </w:p>
        </w:tc>
        <w:tc>
          <w:tcPr>
            <w:tcW w:w="569" w:type="pct"/>
          </w:tcPr>
          <w:p w14:paraId="293A838C" w14:textId="77777777" w:rsidR="00E24985" w:rsidRDefault="00E24985" w:rsidP="00384C00">
            <w:pPr>
              <w:pStyle w:val="Tablesmalltext"/>
              <w:jc w:val="center"/>
            </w:pPr>
            <w:r>
              <w:t>Moderate</w:t>
            </w:r>
          </w:p>
        </w:tc>
        <w:tc>
          <w:tcPr>
            <w:tcW w:w="848" w:type="pct"/>
          </w:tcPr>
          <w:p w14:paraId="44D569D3" w14:textId="77777777" w:rsidR="00E24985" w:rsidRDefault="00E24985" w:rsidP="00384C00">
            <w:pPr>
              <w:pStyle w:val="Tablesmalltext"/>
            </w:pPr>
            <w:r w:rsidRPr="00F11CA0">
              <w:t>C2.2.2.5, 2.5.1.2</w:t>
            </w:r>
          </w:p>
        </w:tc>
      </w:tr>
      <w:tr w:rsidR="00E24985" w14:paraId="084B170E" w14:textId="77777777" w:rsidTr="00E24985">
        <w:tc>
          <w:tcPr>
            <w:tcW w:w="2516" w:type="pct"/>
          </w:tcPr>
          <w:p w14:paraId="0695EC27" w14:textId="77777777" w:rsidR="00E24985" w:rsidRDefault="00E24985" w:rsidP="00E74AFC">
            <w:pPr>
              <w:pStyle w:val="Tablesmallnumber"/>
              <w:numPr>
                <w:ilvl w:val="0"/>
                <w:numId w:val="20"/>
              </w:numPr>
            </w:pPr>
            <w:r>
              <w:t>Harvesting of tree outside coupe boundary</w:t>
            </w:r>
          </w:p>
          <w:p w14:paraId="40915907" w14:textId="77777777" w:rsidR="00E24985" w:rsidRPr="00F11CA0" w:rsidRDefault="00E24985" w:rsidP="00E24985">
            <w:pPr>
              <w:pStyle w:val="Tablesmallnumber"/>
              <w:ind w:left="284" w:hanging="284"/>
              <w:rPr>
                <w:i/>
              </w:rPr>
            </w:pPr>
            <w:r w:rsidRPr="00F11CA0">
              <w:rPr>
                <w:i/>
              </w:rPr>
              <w:t>Minimal potential consequence</w:t>
            </w:r>
            <w:r>
              <w:rPr>
                <w:i/>
              </w:rPr>
              <w:t>.</w:t>
            </w:r>
          </w:p>
        </w:tc>
        <w:tc>
          <w:tcPr>
            <w:tcW w:w="498" w:type="pct"/>
          </w:tcPr>
          <w:p w14:paraId="2311389D" w14:textId="77777777" w:rsidR="00E24985" w:rsidRDefault="00E24985" w:rsidP="00E24985">
            <w:pPr>
              <w:pStyle w:val="Tablesmalltext"/>
              <w:jc w:val="center"/>
            </w:pPr>
            <w:r>
              <w:t>1</w:t>
            </w:r>
          </w:p>
        </w:tc>
        <w:tc>
          <w:tcPr>
            <w:tcW w:w="569" w:type="pct"/>
          </w:tcPr>
          <w:p w14:paraId="66B5950E" w14:textId="0E3430E0" w:rsidR="00E24985" w:rsidRDefault="005B05BB" w:rsidP="00E24985">
            <w:pPr>
              <w:pStyle w:val="Tablesmalltext"/>
              <w:jc w:val="center"/>
            </w:pPr>
            <w:r>
              <w:t>Not observed</w:t>
            </w:r>
          </w:p>
        </w:tc>
        <w:tc>
          <w:tcPr>
            <w:tcW w:w="569" w:type="pct"/>
          </w:tcPr>
          <w:p w14:paraId="5F2438DD" w14:textId="77777777" w:rsidR="00E24985" w:rsidRDefault="00E24985" w:rsidP="00E24985">
            <w:pPr>
              <w:pStyle w:val="Tablesmalltext"/>
              <w:jc w:val="center"/>
            </w:pPr>
            <w:r>
              <w:t>Moderate</w:t>
            </w:r>
          </w:p>
        </w:tc>
        <w:tc>
          <w:tcPr>
            <w:tcW w:w="848" w:type="pct"/>
          </w:tcPr>
          <w:p w14:paraId="0BA65D04" w14:textId="77777777" w:rsidR="00E24985" w:rsidRDefault="00E24985" w:rsidP="00E24985">
            <w:pPr>
              <w:pStyle w:val="Tablesmalltext"/>
            </w:pPr>
            <w:r>
              <w:t>C2.5.1.2</w:t>
            </w:r>
          </w:p>
        </w:tc>
      </w:tr>
      <w:tr w:rsidR="00E24985" w14:paraId="2EC88DC7" w14:textId="77777777" w:rsidTr="00E24985">
        <w:tc>
          <w:tcPr>
            <w:tcW w:w="2516" w:type="pct"/>
          </w:tcPr>
          <w:p w14:paraId="43C03B31" w14:textId="77777777" w:rsidR="00E24985" w:rsidRDefault="00E24985" w:rsidP="00E74AFC">
            <w:pPr>
              <w:pStyle w:val="Tablesmallnumber"/>
              <w:numPr>
                <w:ilvl w:val="0"/>
                <w:numId w:val="20"/>
              </w:numPr>
            </w:pPr>
            <w:r>
              <w:t>Inadequate maintenance of road drainage structure (silt trap) leading to impairment of effectiveness</w:t>
            </w:r>
          </w:p>
          <w:p w14:paraId="40ABAF1A" w14:textId="77777777" w:rsidR="00E24985" w:rsidRDefault="00E24985" w:rsidP="00E24985">
            <w:pPr>
              <w:pStyle w:val="Tablesmallnumber"/>
            </w:pPr>
            <w:r>
              <w:rPr>
                <w:i/>
              </w:rPr>
              <w:t xml:space="preserve">Potential consequences: </w:t>
            </w:r>
            <w:r>
              <w:t>soil erosion, sediment deposition into waterways, impairment of aquatic habitat, reduced water quality.</w:t>
            </w:r>
          </w:p>
        </w:tc>
        <w:tc>
          <w:tcPr>
            <w:tcW w:w="498" w:type="pct"/>
          </w:tcPr>
          <w:p w14:paraId="15694C4B" w14:textId="77777777" w:rsidR="00E24985" w:rsidRDefault="00E24985" w:rsidP="00E24985">
            <w:pPr>
              <w:pStyle w:val="Tablesmalltext"/>
              <w:jc w:val="center"/>
            </w:pPr>
            <w:r>
              <w:t>1</w:t>
            </w:r>
          </w:p>
        </w:tc>
        <w:tc>
          <w:tcPr>
            <w:tcW w:w="569" w:type="pct"/>
          </w:tcPr>
          <w:p w14:paraId="03A0968B" w14:textId="77777777" w:rsidR="00E24985" w:rsidRDefault="00E24985" w:rsidP="00E24985">
            <w:pPr>
              <w:pStyle w:val="Tablesmalltext"/>
              <w:jc w:val="center"/>
            </w:pPr>
            <w:r>
              <w:t>4</w:t>
            </w:r>
          </w:p>
        </w:tc>
        <w:tc>
          <w:tcPr>
            <w:tcW w:w="569" w:type="pct"/>
          </w:tcPr>
          <w:p w14:paraId="42BBF5F0" w14:textId="77777777" w:rsidR="00E24985" w:rsidRDefault="00E24985" w:rsidP="00E24985">
            <w:pPr>
              <w:pStyle w:val="Tablesmalltext"/>
              <w:jc w:val="center"/>
            </w:pPr>
            <w:r>
              <w:t>Minor</w:t>
            </w:r>
          </w:p>
        </w:tc>
        <w:tc>
          <w:tcPr>
            <w:tcW w:w="848" w:type="pct"/>
          </w:tcPr>
          <w:p w14:paraId="3FD6CECE" w14:textId="77777777" w:rsidR="00E24985" w:rsidRDefault="00E24985" w:rsidP="00E24985">
            <w:pPr>
              <w:pStyle w:val="Tablesmalltext"/>
            </w:pPr>
            <w:r>
              <w:t>M2.2.1.8/12</w:t>
            </w:r>
          </w:p>
        </w:tc>
      </w:tr>
      <w:tr w:rsidR="00E24985" w14:paraId="09759390" w14:textId="77777777" w:rsidTr="00E24985">
        <w:tc>
          <w:tcPr>
            <w:tcW w:w="2516" w:type="pct"/>
          </w:tcPr>
          <w:p w14:paraId="5EF3D612" w14:textId="77777777" w:rsidR="00E24985" w:rsidRDefault="00E24985" w:rsidP="00E74AFC">
            <w:pPr>
              <w:pStyle w:val="Tablesmallnumber"/>
              <w:numPr>
                <w:ilvl w:val="0"/>
                <w:numId w:val="20"/>
              </w:numPr>
            </w:pPr>
            <w:r>
              <w:t xml:space="preserve">Part of the base of a tree retained in a coupe covered by in-coupe road or landing embankment materials </w:t>
            </w:r>
          </w:p>
          <w:p w14:paraId="4B685504" w14:textId="77777777" w:rsidR="00E24985" w:rsidRDefault="00E24985" w:rsidP="00E24985">
            <w:pPr>
              <w:pStyle w:val="Tablesmallnumber"/>
              <w:ind w:left="-38"/>
            </w:pPr>
            <w:r>
              <w:rPr>
                <w:i/>
              </w:rPr>
              <w:t xml:space="preserve">Potential consequences: </w:t>
            </w:r>
            <w:r>
              <w:t>(minimal) reduction in productive capacity of regenerating forest.</w:t>
            </w:r>
          </w:p>
        </w:tc>
        <w:tc>
          <w:tcPr>
            <w:tcW w:w="498" w:type="pct"/>
          </w:tcPr>
          <w:p w14:paraId="7C926A8B" w14:textId="77777777" w:rsidR="00E24985" w:rsidRDefault="00E24985" w:rsidP="00E24985">
            <w:pPr>
              <w:pStyle w:val="Tablesmalltext"/>
              <w:jc w:val="center"/>
            </w:pPr>
            <w:r>
              <w:t>1</w:t>
            </w:r>
          </w:p>
        </w:tc>
        <w:tc>
          <w:tcPr>
            <w:tcW w:w="569" w:type="pct"/>
          </w:tcPr>
          <w:p w14:paraId="180E4C83" w14:textId="77777777" w:rsidR="00E24985" w:rsidRDefault="00E24985" w:rsidP="00E24985">
            <w:pPr>
              <w:pStyle w:val="Tablesmalltext"/>
              <w:jc w:val="center"/>
            </w:pPr>
            <w:r>
              <w:t>3</w:t>
            </w:r>
          </w:p>
        </w:tc>
        <w:tc>
          <w:tcPr>
            <w:tcW w:w="569" w:type="pct"/>
          </w:tcPr>
          <w:p w14:paraId="7799F45C" w14:textId="77777777" w:rsidR="00E24985" w:rsidRDefault="00E24985" w:rsidP="00E24985">
            <w:pPr>
              <w:pStyle w:val="Tablesmalltext"/>
              <w:jc w:val="center"/>
            </w:pPr>
            <w:r>
              <w:t>Minor</w:t>
            </w:r>
          </w:p>
        </w:tc>
        <w:tc>
          <w:tcPr>
            <w:tcW w:w="848" w:type="pct"/>
          </w:tcPr>
          <w:p w14:paraId="68406528" w14:textId="77777777" w:rsidR="00E24985" w:rsidRDefault="00E24985" w:rsidP="00E24985">
            <w:pPr>
              <w:pStyle w:val="Tablesmalltext"/>
            </w:pPr>
            <w:r>
              <w:t>M6.2.2.1</w:t>
            </w:r>
          </w:p>
        </w:tc>
      </w:tr>
      <w:tr w:rsidR="00E24985" w14:paraId="36B9C850" w14:textId="77777777" w:rsidTr="00E24985">
        <w:tc>
          <w:tcPr>
            <w:tcW w:w="2516" w:type="pct"/>
          </w:tcPr>
          <w:p w14:paraId="7EAAC197" w14:textId="77777777" w:rsidR="00E24985" w:rsidRDefault="00E24985" w:rsidP="00E74AFC">
            <w:pPr>
              <w:pStyle w:val="Tablesmallnumber"/>
              <w:numPr>
                <w:ilvl w:val="0"/>
                <w:numId w:val="20"/>
              </w:numPr>
            </w:pPr>
            <w:r>
              <w:t>Entry of harvesting machinery into riparian filter strip</w:t>
            </w:r>
          </w:p>
          <w:p w14:paraId="77D1CC97" w14:textId="77777777" w:rsidR="00E24985" w:rsidRDefault="00E24985" w:rsidP="00E24985">
            <w:pPr>
              <w:pStyle w:val="Tablesmallnumber"/>
            </w:pPr>
            <w:r>
              <w:rPr>
                <w:i/>
              </w:rPr>
              <w:t xml:space="preserve">Potential consequences: </w:t>
            </w:r>
            <w:r>
              <w:t>soil erosion, sediment deposition into waterways, impairment of aquatic habitat, reduced water quality.</w:t>
            </w:r>
          </w:p>
        </w:tc>
        <w:tc>
          <w:tcPr>
            <w:tcW w:w="498" w:type="pct"/>
          </w:tcPr>
          <w:p w14:paraId="46A2BE1B" w14:textId="77777777" w:rsidR="00E24985" w:rsidRDefault="00E24985" w:rsidP="00E24985">
            <w:pPr>
              <w:pStyle w:val="Tablesmalltext"/>
              <w:jc w:val="center"/>
            </w:pPr>
            <w:r>
              <w:t>1</w:t>
            </w:r>
          </w:p>
        </w:tc>
        <w:tc>
          <w:tcPr>
            <w:tcW w:w="569" w:type="pct"/>
          </w:tcPr>
          <w:p w14:paraId="6C63F862" w14:textId="77777777" w:rsidR="00E24985" w:rsidRDefault="00E24985" w:rsidP="00E24985">
            <w:pPr>
              <w:pStyle w:val="Tablesmalltext"/>
              <w:jc w:val="center"/>
            </w:pPr>
            <w:r>
              <w:t>1</w:t>
            </w:r>
          </w:p>
        </w:tc>
        <w:tc>
          <w:tcPr>
            <w:tcW w:w="569" w:type="pct"/>
          </w:tcPr>
          <w:p w14:paraId="523CBAFE" w14:textId="77777777" w:rsidR="00E24985" w:rsidRDefault="00E24985" w:rsidP="00E24985">
            <w:pPr>
              <w:pStyle w:val="Tablesmalltext"/>
              <w:jc w:val="center"/>
            </w:pPr>
            <w:r>
              <w:t>Minor</w:t>
            </w:r>
          </w:p>
        </w:tc>
        <w:tc>
          <w:tcPr>
            <w:tcW w:w="848" w:type="pct"/>
          </w:tcPr>
          <w:p w14:paraId="7EDE719E" w14:textId="77777777" w:rsidR="00E24985" w:rsidRDefault="00E24985" w:rsidP="00E24985">
            <w:pPr>
              <w:pStyle w:val="Tablesmalltext"/>
            </w:pPr>
            <w:r>
              <w:t>C2.2.1.2/12, 2.5.1.2</w:t>
            </w:r>
          </w:p>
        </w:tc>
      </w:tr>
    </w:tbl>
    <w:p w14:paraId="15761A45" w14:textId="2AA46B78" w:rsidR="005B05BB" w:rsidRDefault="005B05BB" w:rsidP="005B05BB">
      <w:pPr>
        <w:pStyle w:val="Tablesmalltext"/>
      </w:pPr>
      <w:bookmarkStart w:id="131" w:name="_Toc21354800"/>
      <w:r>
        <w:t>Note:</w:t>
      </w:r>
    </w:p>
    <w:p w14:paraId="00BBAFB7" w14:textId="4B8E3979" w:rsidR="005B05BB" w:rsidRDefault="005B05BB" w:rsidP="005B05BB">
      <w:pPr>
        <w:pStyle w:val="Tablesmalltext"/>
        <w:numPr>
          <w:ilvl w:val="0"/>
          <w:numId w:val="91"/>
        </w:numPr>
      </w:pPr>
      <w:r>
        <w:t>Not observed: non-conformance not observed in 2017-18 FAP audit; Not in scope: non-conformance relates to compliance requirement that was not with the scope of the 2017-18 FAP audit.</w:t>
      </w:r>
    </w:p>
    <w:p w14:paraId="1046801B" w14:textId="4346FD74" w:rsidR="00E24985" w:rsidRDefault="00E24985" w:rsidP="00E24985">
      <w:pPr>
        <w:pStyle w:val="Heading3"/>
      </w:pPr>
      <w:bookmarkStart w:id="132" w:name="_Toc33202293"/>
      <w:r>
        <w:t>Regeneration coupes</w:t>
      </w:r>
      <w:bookmarkEnd w:id="131"/>
      <w:bookmarkEnd w:id="132"/>
    </w:p>
    <w:p w14:paraId="7BAD3384" w14:textId="78308023" w:rsidR="00E24985" w:rsidRDefault="00E24985" w:rsidP="00E24985">
      <w:pPr>
        <w:pStyle w:val="Para0"/>
      </w:pPr>
      <w:r>
        <w:t xml:space="preserve">The regeneration component of the audit considered 10 coupes distributed across State forests in eastern Victoria. As coupe selection considered risk and logistics, the results of the audit of regeneration coupes </w:t>
      </w:r>
      <w:r w:rsidR="00931AF4">
        <w:t>are not</w:t>
      </w:r>
      <w:r>
        <w:t xml:space="preserve"> statistically representative of VicForests’ operations overall.</w:t>
      </w:r>
    </w:p>
    <w:p w14:paraId="3E9E597F" w14:textId="7C279C9F" w:rsidR="00E24985" w:rsidRDefault="00E24985" w:rsidP="00E24985">
      <w:pPr>
        <w:pStyle w:val="Para0"/>
      </w:pPr>
      <w:r>
        <w:t xml:space="preserve">The overall level of full conformance with applicable audit criteria ranged between </w:t>
      </w:r>
      <w:r w:rsidR="00303409">
        <w:t>73</w:t>
      </w:r>
      <w:r>
        <w:t xml:space="preserve">% and 100%, with the average being </w:t>
      </w:r>
      <w:r w:rsidR="00303409">
        <w:t>90</w:t>
      </w:r>
      <w:r>
        <w:t>% (</w:t>
      </w:r>
      <w:r>
        <w:fldChar w:fldCharType="begin" w:fldLock="1"/>
      </w:r>
      <w:r>
        <w:instrText xml:space="preserve"> REF _Ref11871868 \h </w:instrText>
      </w:r>
      <w:r>
        <w:fldChar w:fldCharType="separate"/>
      </w:r>
      <w:r w:rsidR="005544E2">
        <w:t xml:space="preserve">Figure </w:t>
      </w:r>
      <w:r w:rsidR="005544E2">
        <w:rPr>
          <w:noProof/>
        </w:rPr>
        <w:t>4</w:t>
      </w:r>
      <w:r w:rsidR="005544E2">
        <w:t>.</w:t>
      </w:r>
      <w:r w:rsidR="005544E2">
        <w:rPr>
          <w:noProof/>
        </w:rPr>
        <w:t>2</w:t>
      </w:r>
      <w:r>
        <w:fldChar w:fldCharType="end"/>
      </w:r>
      <w:r>
        <w:t>). Seven of the 10 coupes were assessed to be adequately regenerated at the time of the audit</w:t>
      </w:r>
      <w:r w:rsidR="007E0985">
        <w:rPr>
          <w:rFonts w:ascii="ZWAdobeF" w:hAnsi="ZWAdobeF" w:cs="ZWAdobeF"/>
          <w:sz w:val="2"/>
          <w:szCs w:val="2"/>
        </w:rPr>
        <w:t>18F</w:t>
      </w:r>
      <w:r>
        <w:rPr>
          <w:rStyle w:val="FootnoteReference"/>
        </w:rPr>
        <w:footnoteReference w:id="19"/>
      </w:r>
      <w:r>
        <w:t>. Landings on two of the coupes were not fully rehabilitated at the time of the audit.</w:t>
      </w:r>
    </w:p>
    <w:p w14:paraId="5BDC316E" w14:textId="05F9E02B" w:rsidR="00E24985" w:rsidRDefault="00E24985" w:rsidP="00E24985">
      <w:pPr>
        <w:pStyle w:val="Para0"/>
      </w:pPr>
      <w:r>
        <w:t>Non-conformances with potential EI were identified on four of the 10 coupes (</w:t>
      </w:r>
      <w:r>
        <w:fldChar w:fldCharType="begin" w:fldLock="1"/>
      </w:r>
      <w:r>
        <w:instrText xml:space="preserve"> REF _Ref11871868 \h </w:instrText>
      </w:r>
      <w:r>
        <w:fldChar w:fldCharType="separate"/>
      </w:r>
      <w:r w:rsidR="005544E2">
        <w:t xml:space="preserve">Figure </w:t>
      </w:r>
      <w:r w:rsidR="005544E2">
        <w:rPr>
          <w:noProof/>
        </w:rPr>
        <w:t>4</w:t>
      </w:r>
      <w:r w:rsidR="005544E2">
        <w:t>.</w:t>
      </w:r>
      <w:r w:rsidR="005544E2">
        <w:rPr>
          <w:noProof/>
        </w:rPr>
        <w:t>2</w:t>
      </w:r>
      <w:r>
        <w:fldChar w:fldCharType="end"/>
      </w:r>
      <w:r>
        <w:t>). Incidents resulting in these non-conformances resulted from regeneration activities, as well as earlier harvesting and roading activities. They included:</w:t>
      </w:r>
    </w:p>
    <w:p w14:paraId="29613010" w14:textId="580E451C" w:rsidR="00E24985" w:rsidRDefault="00303409" w:rsidP="00E24985">
      <w:pPr>
        <w:pStyle w:val="Para0bullet"/>
      </w:pPr>
      <w:r>
        <w:t>R</w:t>
      </w:r>
      <w:r w:rsidR="00E24985">
        <w:t>egeneration burn</w:t>
      </w:r>
      <w:r>
        <w:t>s entering</w:t>
      </w:r>
      <w:r w:rsidR="00E24985">
        <w:t xml:space="preserve"> into an adjacent SPZ</w:t>
      </w:r>
    </w:p>
    <w:p w14:paraId="107DAD42" w14:textId="3FFE9687" w:rsidR="00E24985" w:rsidRDefault="00E24985" w:rsidP="00E24985">
      <w:pPr>
        <w:pStyle w:val="Para0bullet"/>
      </w:pPr>
      <w:r>
        <w:t>Insufficient removal of bark from the landing</w:t>
      </w:r>
      <w:r w:rsidR="007E0985">
        <w:rPr>
          <w:rFonts w:ascii="ZWAdobeF" w:hAnsi="ZWAdobeF" w:cs="ZWAdobeF"/>
          <w:sz w:val="2"/>
          <w:szCs w:val="2"/>
        </w:rPr>
        <w:t>19F</w:t>
      </w:r>
      <w:r>
        <w:rPr>
          <w:rStyle w:val="FootnoteReference"/>
        </w:rPr>
        <w:footnoteReference w:id="20"/>
      </w:r>
    </w:p>
    <w:p w14:paraId="406C6F7B" w14:textId="77777777" w:rsidR="00E24985" w:rsidRDefault="00E24985" w:rsidP="00E24985">
      <w:pPr>
        <w:pStyle w:val="Para0bullet"/>
      </w:pPr>
      <w:r>
        <w:t>Non-reinstatement of appropriately spaced drainage on a snig track used in regeneration burning</w:t>
      </w:r>
    </w:p>
    <w:p w14:paraId="1AFD857F" w14:textId="77777777" w:rsidR="00E24985" w:rsidRDefault="00E24985" w:rsidP="00E24985">
      <w:pPr>
        <w:pStyle w:val="Para0bullet"/>
      </w:pPr>
      <w:r>
        <w:t>Failure of embankments on an in-coupe road and the landing it connected to</w:t>
      </w:r>
    </w:p>
    <w:p w14:paraId="0AF71B60" w14:textId="77777777" w:rsidR="00E24985" w:rsidRDefault="00E24985" w:rsidP="00E24985">
      <w:pPr>
        <w:pStyle w:val="Para0bullet"/>
      </w:pPr>
      <w:r>
        <w:t>Landing embankment materials covered the base of unharvested trees</w:t>
      </w:r>
    </w:p>
    <w:p w14:paraId="44E1FB3B" w14:textId="77777777" w:rsidR="00E24985" w:rsidRDefault="00E24985" w:rsidP="00E24985">
      <w:pPr>
        <w:pStyle w:val="Para0bullet"/>
      </w:pPr>
      <w:r>
        <w:t>Partial rehabilitation of the landing.</w:t>
      </w:r>
    </w:p>
    <w:p w14:paraId="2C6FD99B" w14:textId="48272CD8" w:rsidR="00E24985" w:rsidRDefault="00E24985" w:rsidP="00E24985">
      <w:pPr>
        <w:pStyle w:val="Para0"/>
      </w:pPr>
      <w:r>
        <w:lastRenderedPageBreak/>
        <w:t xml:space="preserve">The only incident with greater than minor potential EI, was the unplanned entry of the regeneration burn in R1 Lil John into the adjacent SPZ. </w:t>
      </w:r>
    </w:p>
    <w:p w14:paraId="59FBDA9C" w14:textId="77777777" w:rsidR="00E24985" w:rsidRDefault="00E24985" w:rsidP="00E24985">
      <w:pPr>
        <w:pStyle w:val="Heading2"/>
      </w:pPr>
      <w:bookmarkStart w:id="133" w:name="_Toc21354801"/>
      <w:bookmarkStart w:id="134" w:name="_Toc33202294"/>
      <w:r>
        <w:t>Comparison with previous audits</w:t>
      </w:r>
      <w:bookmarkEnd w:id="133"/>
      <w:bookmarkEnd w:id="134"/>
    </w:p>
    <w:p w14:paraId="2DFE8191" w14:textId="38D2705F" w:rsidR="00E24985" w:rsidRDefault="00E24985" w:rsidP="00E24985">
      <w:pPr>
        <w:pStyle w:val="Para0"/>
      </w:pPr>
      <w:r>
        <w:t xml:space="preserve">As has been noted previously, coupe selection for the audit is risk-based, rather than fully randomised. This means that audit results may not be statistically representative of VicForests’ operations overall and audit results </w:t>
      </w:r>
      <w:r w:rsidR="00750911">
        <w:t>therefore</w:t>
      </w:r>
      <w:r>
        <w:t xml:space="preserve"> not be directly comparable between years. However, since there has been a broadly consistent approach to coupe selection and compliance criteria for at least the environment and roading themes</w:t>
      </w:r>
      <w:r w:rsidRPr="00EE0F23">
        <w:t xml:space="preserve"> </w:t>
      </w:r>
      <w:r>
        <w:t xml:space="preserve">over the past three audits (from 2016-17 onwards), there is some basis for comparison of audit results for harvest coupes over time. </w:t>
      </w:r>
    </w:p>
    <w:p w14:paraId="17BD6AED" w14:textId="6B7897AD" w:rsidR="00E24985" w:rsidRDefault="00E24985" w:rsidP="00E24985">
      <w:pPr>
        <w:pStyle w:val="Para0"/>
      </w:pPr>
      <w:r>
        <w:t>The comparison of audit results (</w:t>
      </w:r>
      <w:r>
        <w:fldChar w:fldCharType="begin" w:fldLock="1"/>
      </w:r>
      <w:r>
        <w:instrText xml:space="preserve"> REF _Ref526254627 \h </w:instrText>
      </w:r>
      <w:r>
        <w:fldChar w:fldCharType="separate"/>
      </w:r>
      <w:r w:rsidR="005544E2">
        <w:t xml:space="preserve">Table </w:t>
      </w:r>
      <w:r w:rsidR="005544E2">
        <w:rPr>
          <w:noProof/>
        </w:rPr>
        <w:t>5</w:t>
      </w:r>
      <w:r w:rsidR="005544E2">
        <w:t>.</w:t>
      </w:r>
      <w:r w:rsidR="005544E2">
        <w:rPr>
          <w:noProof/>
        </w:rPr>
        <w:t>2</w:t>
      </w:r>
      <w:r>
        <w:fldChar w:fldCharType="end"/>
      </w:r>
      <w:r>
        <w:t xml:space="preserve">) suggests reductions in conformance with audit criteria overall and in the environmental sub-themes, relative to both the 2016-17 and 2017-18 audits. </w:t>
      </w:r>
      <w:r w:rsidR="00C56140">
        <w:t>L</w:t>
      </w:r>
      <w:r>
        <w:t>arge</w:t>
      </w:r>
      <w:r w:rsidR="00C56140">
        <w:t>r</w:t>
      </w:r>
      <w:r>
        <w:t xml:space="preserve"> reduction</w:t>
      </w:r>
      <w:r w:rsidR="00C56140">
        <w:t>s</w:t>
      </w:r>
      <w:r>
        <w:t xml:space="preserve"> in full conformance with audit criteria </w:t>
      </w:r>
      <w:r w:rsidR="00C56140">
        <w:t xml:space="preserve">were </w:t>
      </w:r>
      <w:r>
        <w:t xml:space="preserve">recorded for the </w:t>
      </w:r>
      <w:r w:rsidR="00C56140">
        <w:t xml:space="preserve">soils, </w:t>
      </w:r>
      <w:r>
        <w:t xml:space="preserve">biodiversity </w:t>
      </w:r>
      <w:r w:rsidR="00C56140">
        <w:t xml:space="preserve">, road design and road construction </w:t>
      </w:r>
      <w:r>
        <w:t>sub-theme</w:t>
      </w:r>
      <w:r w:rsidR="00C56140">
        <w:t>s</w:t>
      </w:r>
      <w:r>
        <w:t xml:space="preserve">. </w:t>
      </w:r>
      <w:r w:rsidR="006730ED">
        <w:t>Some of these differences</w:t>
      </w:r>
      <w:r>
        <w:t xml:space="preserve"> reflect the more stringent approach taken in this year’s audit to assessing conformance with biosecurity requirements under the Code and MSPs</w:t>
      </w:r>
      <w:r w:rsidR="00C56140">
        <w:t xml:space="preserve"> (particularly confirmation of the soil-borne disease free status of gravel used on in-coupe roads)</w:t>
      </w:r>
      <w:r w:rsidR="006D707B">
        <w:t>,</w:t>
      </w:r>
      <w:r w:rsidR="00C56140">
        <w:t xml:space="preserve"> the greater incidence of detection of regeneration burns entering planned protection areas</w:t>
      </w:r>
      <w:r w:rsidR="006D707B">
        <w:t xml:space="preserve"> and the capacity in this audit to record such incidents as non-conformances in all FMAs</w:t>
      </w:r>
      <w:r w:rsidR="007E0985">
        <w:rPr>
          <w:rFonts w:ascii="ZWAdobeF" w:hAnsi="ZWAdobeF" w:cs="ZWAdobeF"/>
          <w:sz w:val="2"/>
          <w:szCs w:val="2"/>
        </w:rPr>
        <w:t>20F</w:t>
      </w:r>
      <w:r w:rsidR="006D707B">
        <w:rPr>
          <w:rStyle w:val="FootnoteReference"/>
        </w:rPr>
        <w:footnoteReference w:id="21"/>
      </w:r>
      <w:r>
        <w:t>.</w:t>
      </w:r>
    </w:p>
    <w:p w14:paraId="6B200155" w14:textId="265022F7" w:rsidR="00E24985" w:rsidRDefault="00E24985" w:rsidP="00E24985">
      <w:pPr>
        <w:pStyle w:val="Caption"/>
      </w:pPr>
      <w:bookmarkStart w:id="135" w:name="_Ref526254627"/>
      <w:r>
        <w:t xml:space="preserve">Table </w:t>
      </w:r>
      <w:r w:rsidR="0013561C">
        <w:fldChar w:fldCharType="begin" w:fldLock="1"/>
      </w:r>
      <w:r w:rsidR="0013561C">
        <w:instrText xml:space="preserve"> STYLEREF 1 \s </w:instrText>
      </w:r>
      <w:r w:rsidR="0013561C">
        <w:fldChar w:fldCharType="separate"/>
      </w:r>
      <w:r w:rsidR="005544E2">
        <w:rPr>
          <w:noProof/>
        </w:rPr>
        <w:t>5</w:t>
      </w:r>
      <w:r w:rsidR="0013561C">
        <w:rPr>
          <w:noProof/>
        </w:rPr>
        <w:fldChar w:fldCharType="end"/>
      </w:r>
      <w:r>
        <w:t>.</w:t>
      </w:r>
      <w:r w:rsidR="0013561C">
        <w:fldChar w:fldCharType="begin"/>
      </w:r>
      <w:r w:rsidR="0013561C">
        <w:instrText xml:space="preserve"> SEQ Table \* ARABIC \s 1</w:instrText>
      </w:r>
      <w:r w:rsidR="0013561C">
        <w:instrText xml:space="preserve"> </w:instrText>
      </w:r>
      <w:r w:rsidR="0013561C">
        <w:fldChar w:fldCharType="separate"/>
      </w:r>
      <w:r w:rsidR="007E0985">
        <w:rPr>
          <w:noProof/>
        </w:rPr>
        <w:t>2</w:t>
      </w:r>
      <w:r w:rsidR="0013561C">
        <w:rPr>
          <w:noProof/>
        </w:rPr>
        <w:fldChar w:fldCharType="end"/>
      </w:r>
      <w:bookmarkEnd w:id="135"/>
      <w:r>
        <w:t xml:space="preserve"> Comparison of audit results for recent FAP audits of harvesting coupes </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2662"/>
        <w:gridCol w:w="1143"/>
        <w:gridCol w:w="1143"/>
        <w:gridCol w:w="1145"/>
        <w:gridCol w:w="1143"/>
        <w:gridCol w:w="1143"/>
        <w:gridCol w:w="1145"/>
      </w:tblGrid>
      <w:tr w:rsidR="00E24985" w:rsidRPr="00D27DDC" w14:paraId="496531E4" w14:textId="77777777" w:rsidTr="00D27DDC">
        <w:trPr>
          <w:tblHeader/>
        </w:trPr>
        <w:tc>
          <w:tcPr>
            <w:tcW w:w="1398" w:type="pct"/>
            <w:tcBorders>
              <w:right w:val="single" w:sz="4" w:space="0" w:color="808080"/>
            </w:tcBorders>
            <w:shd w:val="clear" w:color="auto" w:fill="E5E5E5" w:themeFill="background2"/>
          </w:tcPr>
          <w:p w14:paraId="45E00EFE" w14:textId="77777777" w:rsidR="00E24985" w:rsidRPr="00D27DDC" w:rsidRDefault="00E24985" w:rsidP="00D27DDC">
            <w:pPr>
              <w:pStyle w:val="Tablesmalltext"/>
              <w:rPr>
                <w:b/>
              </w:rPr>
            </w:pPr>
          </w:p>
        </w:tc>
        <w:tc>
          <w:tcPr>
            <w:tcW w:w="1801" w:type="pct"/>
            <w:gridSpan w:val="3"/>
            <w:tcBorders>
              <w:left w:val="single" w:sz="4" w:space="0" w:color="808080"/>
              <w:right w:val="single" w:sz="4" w:space="0" w:color="808080"/>
            </w:tcBorders>
            <w:shd w:val="clear" w:color="auto" w:fill="E5E5E5" w:themeFill="background2"/>
          </w:tcPr>
          <w:p w14:paraId="3FABFC84" w14:textId="77777777" w:rsidR="00E24985" w:rsidRPr="00D27DDC" w:rsidRDefault="00E24985" w:rsidP="00D27DDC">
            <w:pPr>
              <w:pStyle w:val="Tablesmalltext"/>
              <w:rPr>
                <w:b/>
              </w:rPr>
            </w:pPr>
            <w:r w:rsidRPr="00D27DDC">
              <w:rPr>
                <w:b/>
              </w:rPr>
              <w:t>% Full conformance with applicable audit criteria</w:t>
            </w:r>
          </w:p>
        </w:tc>
        <w:tc>
          <w:tcPr>
            <w:tcW w:w="1801" w:type="pct"/>
            <w:gridSpan w:val="3"/>
            <w:tcBorders>
              <w:left w:val="single" w:sz="4" w:space="0" w:color="808080"/>
            </w:tcBorders>
            <w:shd w:val="clear" w:color="auto" w:fill="E5E5E5" w:themeFill="background2"/>
          </w:tcPr>
          <w:p w14:paraId="4403306A" w14:textId="77777777" w:rsidR="00E24985" w:rsidRPr="00D27DDC" w:rsidRDefault="00E24985" w:rsidP="00D27DDC">
            <w:pPr>
              <w:pStyle w:val="Tablesmalltext"/>
              <w:rPr>
                <w:b/>
                <w:vertAlign w:val="superscript"/>
              </w:rPr>
            </w:pPr>
            <w:r w:rsidRPr="00D27DDC">
              <w:rPr>
                <w:b/>
              </w:rPr>
              <w:t># Non-conformances with major potential environmental impact</w:t>
            </w:r>
            <w:r w:rsidRPr="00D27DDC">
              <w:rPr>
                <w:b/>
                <w:vertAlign w:val="superscript"/>
              </w:rPr>
              <w:t>1</w:t>
            </w:r>
          </w:p>
        </w:tc>
      </w:tr>
      <w:tr w:rsidR="00E24985" w:rsidRPr="00D27DDC" w14:paraId="342E7DA4" w14:textId="77777777" w:rsidTr="00384C00">
        <w:trPr>
          <w:tblHeader/>
        </w:trPr>
        <w:tc>
          <w:tcPr>
            <w:tcW w:w="1398" w:type="pct"/>
            <w:tcBorders>
              <w:bottom w:val="single" w:sz="4" w:space="0" w:color="808080"/>
              <w:right w:val="single" w:sz="4" w:space="0" w:color="808080"/>
            </w:tcBorders>
            <w:shd w:val="clear" w:color="auto" w:fill="CCFFCC"/>
          </w:tcPr>
          <w:p w14:paraId="4A37DA6F" w14:textId="77777777" w:rsidR="00E24985" w:rsidRPr="00D27DDC" w:rsidRDefault="00E24985" w:rsidP="00D27DDC">
            <w:pPr>
              <w:pStyle w:val="Tablesmalltext"/>
              <w:rPr>
                <w:b/>
              </w:rPr>
            </w:pPr>
            <w:r w:rsidRPr="00D27DDC">
              <w:rPr>
                <w:b/>
              </w:rPr>
              <w:t>FAP compliance theme and sub-theme</w:t>
            </w:r>
          </w:p>
        </w:tc>
        <w:tc>
          <w:tcPr>
            <w:tcW w:w="600" w:type="pct"/>
            <w:tcBorders>
              <w:left w:val="single" w:sz="4" w:space="0" w:color="808080"/>
              <w:bottom w:val="single" w:sz="4" w:space="0" w:color="808080"/>
              <w:right w:val="single" w:sz="4" w:space="0" w:color="808080"/>
            </w:tcBorders>
            <w:shd w:val="clear" w:color="auto" w:fill="CCFFCC"/>
          </w:tcPr>
          <w:p w14:paraId="5BC3AFA9" w14:textId="77777777" w:rsidR="00E24985" w:rsidRPr="00D27DDC" w:rsidRDefault="00E24985" w:rsidP="00384C00">
            <w:pPr>
              <w:pStyle w:val="Tablesmalltext"/>
              <w:jc w:val="center"/>
              <w:rPr>
                <w:b/>
                <w:vertAlign w:val="superscript"/>
              </w:rPr>
            </w:pPr>
            <w:r w:rsidRPr="00D27DDC">
              <w:rPr>
                <w:b/>
              </w:rPr>
              <w:t>2016-17</w:t>
            </w:r>
            <w:r w:rsidRPr="00D27DDC">
              <w:rPr>
                <w:b/>
                <w:vertAlign w:val="superscript"/>
              </w:rPr>
              <w:t>2</w:t>
            </w:r>
          </w:p>
        </w:tc>
        <w:tc>
          <w:tcPr>
            <w:tcW w:w="600" w:type="pct"/>
            <w:tcBorders>
              <w:left w:val="single" w:sz="4" w:space="0" w:color="808080"/>
              <w:bottom w:val="single" w:sz="4" w:space="0" w:color="808080"/>
              <w:right w:val="single" w:sz="4" w:space="0" w:color="808080"/>
            </w:tcBorders>
            <w:shd w:val="clear" w:color="auto" w:fill="CCFFCC"/>
          </w:tcPr>
          <w:p w14:paraId="7D36D057" w14:textId="77777777" w:rsidR="00E24985" w:rsidRPr="00D27DDC" w:rsidRDefault="00E24985" w:rsidP="00384C00">
            <w:pPr>
              <w:pStyle w:val="Tablesmalltext"/>
              <w:jc w:val="center"/>
              <w:rPr>
                <w:b/>
                <w:vertAlign w:val="superscript"/>
              </w:rPr>
            </w:pPr>
            <w:r w:rsidRPr="00D27DDC">
              <w:rPr>
                <w:b/>
              </w:rPr>
              <w:t>2017-18</w:t>
            </w:r>
            <w:r w:rsidRPr="00D27DDC">
              <w:rPr>
                <w:b/>
                <w:vertAlign w:val="superscript"/>
              </w:rPr>
              <w:t>3</w:t>
            </w:r>
          </w:p>
        </w:tc>
        <w:tc>
          <w:tcPr>
            <w:tcW w:w="601" w:type="pct"/>
            <w:tcBorders>
              <w:left w:val="single" w:sz="4" w:space="0" w:color="808080"/>
              <w:bottom w:val="single" w:sz="4" w:space="0" w:color="808080"/>
              <w:right w:val="single" w:sz="4" w:space="0" w:color="808080"/>
            </w:tcBorders>
            <w:shd w:val="clear" w:color="auto" w:fill="CCFFCC"/>
          </w:tcPr>
          <w:p w14:paraId="3AE393AA" w14:textId="77777777" w:rsidR="00E24985" w:rsidRPr="00D27DDC" w:rsidRDefault="00E24985" w:rsidP="00384C00">
            <w:pPr>
              <w:pStyle w:val="Tablesmalltext"/>
              <w:jc w:val="center"/>
              <w:rPr>
                <w:b/>
              </w:rPr>
            </w:pPr>
            <w:r w:rsidRPr="00D27DDC">
              <w:rPr>
                <w:b/>
              </w:rPr>
              <w:t>2018-19</w:t>
            </w:r>
          </w:p>
        </w:tc>
        <w:tc>
          <w:tcPr>
            <w:tcW w:w="600" w:type="pct"/>
            <w:tcBorders>
              <w:left w:val="single" w:sz="4" w:space="0" w:color="808080"/>
              <w:bottom w:val="single" w:sz="4" w:space="0" w:color="808080"/>
              <w:right w:val="single" w:sz="4" w:space="0" w:color="808080"/>
            </w:tcBorders>
            <w:shd w:val="clear" w:color="auto" w:fill="CCFFCC"/>
          </w:tcPr>
          <w:p w14:paraId="47A4B68D" w14:textId="77777777" w:rsidR="00E24985" w:rsidRPr="00D27DDC" w:rsidRDefault="00E24985" w:rsidP="00384C00">
            <w:pPr>
              <w:pStyle w:val="Tablesmalltext"/>
              <w:jc w:val="center"/>
              <w:rPr>
                <w:b/>
              </w:rPr>
            </w:pPr>
            <w:r w:rsidRPr="00D27DDC">
              <w:rPr>
                <w:b/>
              </w:rPr>
              <w:t>2016-17</w:t>
            </w:r>
            <w:r w:rsidRPr="00D27DDC">
              <w:rPr>
                <w:b/>
                <w:vertAlign w:val="superscript"/>
              </w:rPr>
              <w:t>2</w:t>
            </w:r>
          </w:p>
        </w:tc>
        <w:tc>
          <w:tcPr>
            <w:tcW w:w="600" w:type="pct"/>
            <w:tcBorders>
              <w:left w:val="single" w:sz="4" w:space="0" w:color="808080"/>
              <w:bottom w:val="single" w:sz="4" w:space="0" w:color="808080"/>
            </w:tcBorders>
            <w:shd w:val="clear" w:color="auto" w:fill="CCFFCC"/>
          </w:tcPr>
          <w:p w14:paraId="14FC183E" w14:textId="77777777" w:rsidR="00E24985" w:rsidRPr="00D27DDC" w:rsidRDefault="00E24985" w:rsidP="00384C00">
            <w:pPr>
              <w:pStyle w:val="Tablesmalltext"/>
              <w:jc w:val="center"/>
              <w:rPr>
                <w:b/>
              </w:rPr>
            </w:pPr>
            <w:r w:rsidRPr="00D27DDC">
              <w:rPr>
                <w:b/>
              </w:rPr>
              <w:t>2017-18</w:t>
            </w:r>
            <w:r w:rsidRPr="00D27DDC">
              <w:rPr>
                <w:b/>
                <w:vertAlign w:val="superscript"/>
              </w:rPr>
              <w:t>3</w:t>
            </w:r>
          </w:p>
        </w:tc>
        <w:tc>
          <w:tcPr>
            <w:tcW w:w="601" w:type="pct"/>
            <w:tcBorders>
              <w:left w:val="single" w:sz="4" w:space="0" w:color="808080"/>
              <w:bottom w:val="single" w:sz="4" w:space="0" w:color="808080"/>
            </w:tcBorders>
            <w:shd w:val="clear" w:color="auto" w:fill="CCFFCC"/>
          </w:tcPr>
          <w:p w14:paraId="263AADE9" w14:textId="77777777" w:rsidR="00E24985" w:rsidRPr="00D27DDC" w:rsidRDefault="00E24985" w:rsidP="00384C00">
            <w:pPr>
              <w:pStyle w:val="Tablesmalltext"/>
              <w:jc w:val="center"/>
              <w:rPr>
                <w:b/>
              </w:rPr>
            </w:pPr>
            <w:r w:rsidRPr="00D27DDC">
              <w:rPr>
                <w:b/>
              </w:rPr>
              <w:t>2018-19</w:t>
            </w:r>
          </w:p>
        </w:tc>
      </w:tr>
      <w:tr w:rsidR="00E24985" w14:paraId="661EEF68" w14:textId="77777777" w:rsidTr="00E24985">
        <w:tc>
          <w:tcPr>
            <w:tcW w:w="1398" w:type="pct"/>
            <w:tcBorders>
              <w:bottom w:val="single" w:sz="4" w:space="0" w:color="808080"/>
              <w:right w:val="single" w:sz="4" w:space="0" w:color="808080"/>
            </w:tcBorders>
            <w:shd w:val="clear" w:color="auto" w:fill="auto"/>
          </w:tcPr>
          <w:p w14:paraId="7696C6AE" w14:textId="77777777" w:rsidR="00E24985" w:rsidRPr="00D27DDC" w:rsidRDefault="00E24985" w:rsidP="00D27DDC">
            <w:pPr>
              <w:pStyle w:val="Tablesmalltext"/>
              <w:rPr>
                <w:b/>
                <w:vertAlign w:val="superscript"/>
              </w:rPr>
            </w:pPr>
            <w:r w:rsidRPr="00D27DDC">
              <w:rPr>
                <w:b/>
              </w:rPr>
              <w:t>Overall</w:t>
            </w:r>
            <w:r w:rsidRPr="00D27DDC">
              <w:rPr>
                <w:b/>
                <w:vertAlign w:val="superscript"/>
              </w:rPr>
              <w:t>4</w:t>
            </w:r>
          </w:p>
        </w:tc>
        <w:tc>
          <w:tcPr>
            <w:tcW w:w="600" w:type="pct"/>
            <w:tcBorders>
              <w:left w:val="single" w:sz="4" w:space="0" w:color="808080"/>
              <w:bottom w:val="single" w:sz="4" w:space="0" w:color="808080"/>
              <w:right w:val="single" w:sz="4" w:space="0" w:color="808080"/>
            </w:tcBorders>
            <w:shd w:val="clear" w:color="auto" w:fill="auto"/>
          </w:tcPr>
          <w:p w14:paraId="1150F3B4" w14:textId="77777777" w:rsidR="00E24985" w:rsidRPr="00FF4C78" w:rsidRDefault="00E24985" w:rsidP="00C56140">
            <w:pPr>
              <w:pStyle w:val="Tablesmalltext"/>
              <w:jc w:val="center"/>
            </w:pPr>
            <w:r>
              <w:t>86%</w:t>
            </w:r>
          </w:p>
        </w:tc>
        <w:tc>
          <w:tcPr>
            <w:tcW w:w="600" w:type="pct"/>
            <w:tcBorders>
              <w:left w:val="single" w:sz="4" w:space="0" w:color="808080"/>
              <w:bottom w:val="single" w:sz="4" w:space="0" w:color="808080"/>
              <w:right w:val="single" w:sz="4" w:space="0" w:color="808080"/>
            </w:tcBorders>
            <w:shd w:val="clear" w:color="auto" w:fill="auto"/>
          </w:tcPr>
          <w:p w14:paraId="69A208D8" w14:textId="77777777" w:rsidR="00E24985" w:rsidRPr="00FF4C78" w:rsidRDefault="00E24985" w:rsidP="00C56140">
            <w:pPr>
              <w:pStyle w:val="Tablesmalltext"/>
              <w:jc w:val="center"/>
            </w:pPr>
            <w:r>
              <w:t>91%</w:t>
            </w:r>
          </w:p>
        </w:tc>
        <w:tc>
          <w:tcPr>
            <w:tcW w:w="601" w:type="pct"/>
            <w:tcBorders>
              <w:left w:val="single" w:sz="4" w:space="0" w:color="808080"/>
              <w:bottom w:val="single" w:sz="4" w:space="0" w:color="808080"/>
              <w:right w:val="single" w:sz="4" w:space="0" w:color="808080"/>
            </w:tcBorders>
            <w:shd w:val="clear" w:color="auto" w:fill="auto"/>
          </w:tcPr>
          <w:p w14:paraId="083A391D" w14:textId="02522CFA" w:rsidR="00E24985" w:rsidRPr="00FF4C78" w:rsidRDefault="00E24985" w:rsidP="00C56140">
            <w:pPr>
              <w:pStyle w:val="Tablesmalltext"/>
              <w:jc w:val="center"/>
            </w:pPr>
            <w:r>
              <w:t>7</w:t>
            </w:r>
            <w:r w:rsidR="00700232">
              <w:t>9</w:t>
            </w:r>
            <w:r>
              <w:t>%</w:t>
            </w:r>
          </w:p>
        </w:tc>
        <w:tc>
          <w:tcPr>
            <w:tcW w:w="600" w:type="pct"/>
            <w:tcBorders>
              <w:left w:val="single" w:sz="4" w:space="0" w:color="808080"/>
              <w:bottom w:val="single" w:sz="4" w:space="0" w:color="808080"/>
              <w:right w:val="single" w:sz="4" w:space="0" w:color="808080"/>
            </w:tcBorders>
            <w:shd w:val="clear" w:color="auto" w:fill="auto"/>
          </w:tcPr>
          <w:p w14:paraId="3CADBD91" w14:textId="77777777" w:rsidR="00E24985" w:rsidRPr="00FF4C78" w:rsidRDefault="00E24985" w:rsidP="00C56140">
            <w:pPr>
              <w:pStyle w:val="Tablesmalltext"/>
              <w:jc w:val="center"/>
            </w:pPr>
            <w:r>
              <w:t>37</w:t>
            </w:r>
          </w:p>
        </w:tc>
        <w:tc>
          <w:tcPr>
            <w:tcW w:w="600" w:type="pct"/>
            <w:tcBorders>
              <w:left w:val="single" w:sz="4" w:space="0" w:color="808080"/>
              <w:bottom w:val="single" w:sz="4" w:space="0" w:color="808080"/>
            </w:tcBorders>
            <w:shd w:val="clear" w:color="auto" w:fill="auto"/>
          </w:tcPr>
          <w:p w14:paraId="704E27B5" w14:textId="77777777" w:rsidR="00E24985" w:rsidRPr="00FF4C78" w:rsidRDefault="00E24985" w:rsidP="00C56140">
            <w:pPr>
              <w:pStyle w:val="Tablesmalltext"/>
              <w:jc w:val="center"/>
            </w:pPr>
            <w:r>
              <w:t>4</w:t>
            </w:r>
          </w:p>
        </w:tc>
        <w:tc>
          <w:tcPr>
            <w:tcW w:w="601" w:type="pct"/>
            <w:tcBorders>
              <w:left w:val="single" w:sz="4" w:space="0" w:color="808080"/>
              <w:bottom w:val="single" w:sz="4" w:space="0" w:color="808080"/>
            </w:tcBorders>
            <w:shd w:val="clear" w:color="auto" w:fill="auto"/>
          </w:tcPr>
          <w:p w14:paraId="01564843" w14:textId="2ADA24F8" w:rsidR="00303409" w:rsidRPr="00FF4C78" w:rsidRDefault="00712E9C" w:rsidP="00C56140">
            <w:pPr>
              <w:pStyle w:val="Tablesmalltext"/>
              <w:jc w:val="center"/>
            </w:pPr>
            <w:r>
              <w:t>31</w:t>
            </w:r>
          </w:p>
        </w:tc>
      </w:tr>
      <w:tr w:rsidR="00E24985" w14:paraId="206890DF" w14:textId="77777777" w:rsidTr="00384C00">
        <w:tc>
          <w:tcPr>
            <w:tcW w:w="1398" w:type="pct"/>
            <w:tcBorders>
              <w:top w:val="single" w:sz="4" w:space="0" w:color="808080"/>
              <w:right w:val="nil"/>
            </w:tcBorders>
            <w:shd w:val="clear" w:color="auto" w:fill="FFFFCC"/>
          </w:tcPr>
          <w:p w14:paraId="4BD3440B" w14:textId="77777777" w:rsidR="00E24985" w:rsidRPr="00FF4C78" w:rsidRDefault="00E24985" w:rsidP="00E24985">
            <w:pPr>
              <w:pStyle w:val="Tablesmalltext"/>
              <w:rPr>
                <w:b/>
              </w:rPr>
            </w:pPr>
            <w:r w:rsidRPr="00FF4C78">
              <w:rPr>
                <w:b/>
              </w:rPr>
              <w:t>Environment</w:t>
            </w:r>
          </w:p>
        </w:tc>
        <w:tc>
          <w:tcPr>
            <w:tcW w:w="600" w:type="pct"/>
            <w:tcBorders>
              <w:top w:val="single" w:sz="4" w:space="0" w:color="808080"/>
              <w:left w:val="nil"/>
              <w:right w:val="nil"/>
            </w:tcBorders>
            <w:shd w:val="clear" w:color="auto" w:fill="FFFFCC"/>
          </w:tcPr>
          <w:p w14:paraId="02E64872" w14:textId="77777777" w:rsidR="00E24985" w:rsidRPr="00FF4C78" w:rsidRDefault="00E24985" w:rsidP="00E24985">
            <w:pPr>
              <w:pStyle w:val="Tablesmalltext"/>
              <w:jc w:val="center"/>
              <w:rPr>
                <w:b/>
              </w:rPr>
            </w:pPr>
          </w:p>
        </w:tc>
        <w:tc>
          <w:tcPr>
            <w:tcW w:w="600" w:type="pct"/>
            <w:tcBorders>
              <w:top w:val="single" w:sz="4" w:space="0" w:color="808080"/>
              <w:left w:val="nil"/>
              <w:right w:val="nil"/>
            </w:tcBorders>
            <w:shd w:val="clear" w:color="auto" w:fill="FFFFCC"/>
          </w:tcPr>
          <w:p w14:paraId="5775E6D9" w14:textId="77777777" w:rsidR="00E24985" w:rsidRPr="00FF4C78" w:rsidRDefault="00E24985" w:rsidP="00E24985">
            <w:pPr>
              <w:pStyle w:val="Tablesmalltext"/>
              <w:jc w:val="center"/>
              <w:rPr>
                <w:b/>
              </w:rPr>
            </w:pPr>
          </w:p>
        </w:tc>
        <w:tc>
          <w:tcPr>
            <w:tcW w:w="601" w:type="pct"/>
            <w:tcBorders>
              <w:top w:val="single" w:sz="4" w:space="0" w:color="808080"/>
              <w:left w:val="nil"/>
              <w:right w:val="nil"/>
            </w:tcBorders>
            <w:shd w:val="clear" w:color="auto" w:fill="FFFFCC"/>
          </w:tcPr>
          <w:p w14:paraId="6125FDD5" w14:textId="77777777" w:rsidR="00E24985" w:rsidRPr="00FF4C78" w:rsidRDefault="00E24985" w:rsidP="00E24985">
            <w:pPr>
              <w:pStyle w:val="Tablesmalltext"/>
              <w:jc w:val="center"/>
              <w:rPr>
                <w:b/>
              </w:rPr>
            </w:pPr>
          </w:p>
        </w:tc>
        <w:tc>
          <w:tcPr>
            <w:tcW w:w="600" w:type="pct"/>
            <w:tcBorders>
              <w:top w:val="single" w:sz="4" w:space="0" w:color="808080"/>
              <w:left w:val="nil"/>
              <w:right w:val="nil"/>
            </w:tcBorders>
            <w:shd w:val="clear" w:color="auto" w:fill="FFFFCC"/>
          </w:tcPr>
          <w:p w14:paraId="0987AD8C" w14:textId="77777777" w:rsidR="00E24985" w:rsidRPr="00FF4C78" w:rsidRDefault="00E24985" w:rsidP="00E24985">
            <w:pPr>
              <w:pStyle w:val="Tablesmalltext"/>
              <w:jc w:val="center"/>
              <w:rPr>
                <w:b/>
              </w:rPr>
            </w:pPr>
          </w:p>
        </w:tc>
        <w:tc>
          <w:tcPr>
            <w:tcW w:w="600" w:type="pct"/>
            <w:tcBorders>
              <w:top w:val="single" w:sz="4" w:space="0" w:color="808080"/>
              <w:left w:val="nil"/>
            </w:tcBorders>
            <w:shd w:val="clear" w:color="auto" w:fill="FFFFCC"/>
          </w:tcPr>
          <w:p w14:paraId="35198D2E" w14:textId="77777777" w:rsidR="00E24985" w:rsidRPr="00FF4C78" w:rsidRDefault="00E24985" w:rsidP="00E24985">
            <w:pPr>
              <w:pStyle w:val="Tablesmalltext"/>
              <w:jc w:val="center"/>
              <w:rPr>
                <w:b/>
              </w:rPr>
            </w:pPr>
          </w:p>
        </w:tc>
        <w:tc>
          <w:tcPr>
            <w:tcW w:w="601" w:type="pct"/>
            <w:tcBorders>
              <w:top w:val="single" w:sz="4" w:space="0" w:color="808080"/>
              <w:left w:val="nil"/>
            </w:tcBorders>
            <w:shd w:val="clear" w:color="auto" w:fill="FFFFCC"/>
          </w:tcPr>
          <w:p w14:paraId="3049F5D4" w14:textId="77777777" w:rsidR="00E24985" w:rsidRPr="00FF4C78" w:rsidRDefault="00E24985" w:rsidP="00E24985">
            <w:pPr>
              <w:pStyle w:val="Tablesmalltext"/>
              <w:jc w:val="center"/>
              <w:rPr>
                <w:b/>
              </w:rPr>
            </w:pPr>
          </w:p>
        </w:tc>
      </w:tr>
      <w:tr w:rsidR="00E24985" w14:paraId="02D46160" w14:textId="77777777" w:rsidTr="00E24985">
        <w:tc>
          <w:tcPr>
            <w:tcW w:w="1398" w:type="pct"/>
          </w:tcPr>
          <w:p w14:paraId="668A8018" w14:textId="77777777" w:rsidR="00E24985" w:rsidRDefault="00E24985" w:rsidP="00E74AFC">
            <w:pPr>
              <w:pStyle w:val="Tablesmallbullet"/>
              <w:numPr>
                <w:ilvl w:val="0"/>
                <w:numId w:val="88"/>
              </w:numPr>
            </w:pPr>
            <w:r>
              <w:t>Soils</w:t>
            </w:r>
          </w:p>
        </w:tc>
        <w:tc>
          <w:tcPr>
            <w:tcW w:w="600" w:type="pct"/>
          </w:tcPr>
          <w:p w14:paraId="6A6104B0" w14:textId="77777777" w:rsidR="00E24985" w:rsidRDefault="00E24985" w:rsidP="00E24985">
            <w:pPr>
              <w:pStyle w:val="Tablesmalltext"/>
              <w:jc w:val="center"/>
            </w:pPr>
            <w:r>
              <w:t>83%</w:t>
            </w:r>
          </w:p>
        </w:tc>
        <w:tc>
          <w:tcPr>
            <w:tcW w:w="600" w:type="pct"/>
          </w:tcPr>
          <w:p w14:paraId="26FDCA53" w14:textId="77777777" w:rsidR="00E24985" w:rsidRDefault="00E24985" w:rsidP="00E24985">
            <w:pPr>
              <w:pStyle w:val="Tablesmalltext"/>
              <w:jc w:val="center"/>
            </w:pPr>
            <w:r>
              <w:t>87%</w:t>
            </w:r>
          </w:p>
        </w:tc>
        <w:tc>
          <w:tcPr>
            <w:tcW w:w="601" w:type="pct"/>
          </w:tcPr>
          <w:p w14:paraId="7147ABB0" w14:textId="7D9DF435" w:rsidR="00E24985" w:rsidRDefault="00E24985" w:rsidP="00E24985">
            <w:pPr>
              <w:pStyle w:val="Tablesmalltext"/>
              <w:jc w:val="center"/>
            </w:pPr>
            <w:r>
              <w:t>7</w:t>
            </w:r>
            <w:r w:rsidR="00303409">
              <w:t>4</w:t>
            </w:r>
            <w:r>
              <w:t>%</w:t>
            </w:r>
          </w:p>
        </w:tc>
        <w:tc>
          <w:tcPr>
            <w:tcW w:w="600" w:type="pct"/>
          </w:tcPr>
          <w:p w14:paraId="65928176" w14:textId="77777777" w:rsidR="00E24985" w:rsidRDefault="00E24985" w:rsidP="00E24985">
            <w:pPr>
              <w:pStyle w:val="Tablesmalltext"/>
              <w:jc w:val="center"/>
            </w:pPr>
            <w:r>
              <w:t>13</w:t>
            </w:r>
          </w:p>
        </w:tc>
        <w:tc>
          <w:tcPr>
            <w:tcW w:w="600" w:type="pct"/>
          </w:tcPr>
          <w:p w14:paraId="407D75E4" w14:textId="77777777" w:rsidR="00E24985" w:rsidRDefault="00E24985" w:rsidP="00E24985">
            <w:pPr>
              <w:pStyle w:val="Tablesmalltext"/>
              <w:jc w:val="center"/>
            </w:pPr>
            <w:r>
              <w:t>2</w:t>
            </w:r>
          </w:p>
        </w:tc>
        <w:tc>
          <w:tcPr>
            <w:tcW w:w="601" w:type="pct"/>
          </w:tcPr>
          <w:p w14:paraId="2820867E" w14:textId="77777777" w:rsidR="00E24985" w:rsidRDefault="00E24985" w:rsidP="00E24985">
            <w:pPr>
              <w:pStyle w:val="Tablesmalltext"/>
              <w:jc w:val="center"/>
            </w:pPr>
            <w:r>
              <w:t>2</w:t>
            </w:r>
          </w:p>
        </w:tc>
      </w:tr>
      <w:tr w:rsidR="00E24985" w14:paraId="040A26AF" w14:textId="77777777" w:rsidTr="00E24985">
        <w:tc>
          <w:tcPr>
            <w:tcW w:w="1398" w:type="pct"/>
          </w:tcPr>
          <w:p w14:paraId="28A84BEF" w14:textId="77777777" w:rsidR="00E24985" w:rsidRDefault="00E24985" w:rsidP="00E74AFC">
            <w:pPr>
              <w:pStyle w:val="Tablesmallbullet"/>
              <w:numPr>
                <w:ilvl w:val="0"/>
                <w:numId w:val="88"/>
              </w:numPr>
            </w:pPr>
            <w:r>
              <w:t>Water</w:t>
            </w:r>
          </w:p>
        </w:tc>
        <w:tc>
          <w:tcPr>
            <w:tcW w:w="600" w:type="pct"/>
          </w:tcPr>
          <w:p w14:paraId="5B75E22C" w14:textId="77777777" w:rsidR="00E24985" w:rsidRDefault="00E24985" w:rsidP="00E24985">
            <w:pPr>
              <w:pStyle w:val="Tablesmalltext"/>
              <w:jc w:val="center"/>
            </w:pPr>
            <w:r>
              <w:t>85%</w:t>
            </w:r>
          </w:p>
        </w:tc>
        <w:tc>
          <w:tcPr>
            <w:tcW w:w="600" w:type="pct"/>
          </w:tcPr>
          <w:p w14:paraId="5472945D" w14:textId="77777777" w:rsidR="00E24985" w:rsidRDefault="00E24985" w:rsidP="00E24985">
            <w:pPr>
              <w:pStyle w:val="Tablesmalltext"/>
              <w:jc w:val="center"/>
            </w:pPr>
            <w:r>
              <w:t>90%</w:t>
            </w:r>
          </w:p>
        </w:tc>
        <w:tc>
          <w:tcPr>
            <w:tcW w:w="601" w:type="pct"/>
          </w:tcPr>
          <w:p w14:paraId="4AB2A095" w14:textId="22B65EAA" w:rsidR="00E24985" w:rsidRDefault="00303409" w:rsidP="00E24985">
            <w:pPr>
              <w:pStyle w:val="Tablesmalltext"/>
              <w:jc w:val="center"/>
            </w:pPr>
            <w:r>
              <w:t>81</w:t>
            </w:r>
            <w:r w:rsidR="00E24985">
              <w:t>%</w:t>
            </w:r>
          </w:p>
        </w:tc>
        <w:tc>
          <w:tcPr>
            <w:tcW w:w="600" w:type="pct"/>
          </w:tcPr>
          <w:p w14:paraId="41C74414" w14:textId="77777777" w:rsidR="00E24985" w:rsidRDefault="00E24985" w:rsidP="00E24985">
            <w:pPr>
              <w:pStyle w:val="Tablesmalltext"/>
              <w:jc w:val="center"/>
            </w:pPr>
            <w:r>
              <w:t>29</w:t>
            </w:r>
          </w:p>
        </w:tc>
        <w:tc>
          <w:tcPr>
            <w:tcW w:w="600" w:type="pct"/>
          </w:tcPr>
          <w:p w14:paraId="148B85D7" w14:textId="77777777" w:rsidR="00E24985" w:rsidRDefault="00E24985" w:rsidP="00E24985">
            <w:pPr>
              <w:pStyle w:val="Tablesmalltext"/>
              <w:jc w:val="center"/>
            </w:pPr>
            <w:r>
              <w:t>4</w:t>
            </w:r>
          </w:p>
        </w:tc>
        <w:tc>
          <w:tcPr>
            <w:tcW w:w="601" w:type="pct"/>
          </w:tcPr>
          <w:p w14:paraId="479A4306" w14:textId="77777777" w:rsidR="00E24985" w:rsidRDefault="00E24985" w:rsidP="00E24985">
            <w:pPr>
              <w:pStyle w:val="Tablesmalltext"/>
              <w:jc w:val="center"/>
            </w:pPr>
            <w:r>
              <w:t>16</w:t>
            </w:r>
          </w:p>
        </w:tc>
      </w:tr>
      <w:tr w:rsidR="00E24985" w14:paraId="7B641250" w14:textId="77777777" w:rsidTr="00E24985">
        <w:tc>
          <w:tcPr>
            <w:tcW w:w="1398" w:type="pct"/>
            <w:tcBorders>
              <w:bottom w:val="single" w:sz="4" w:space="0" w:color="808080"/>
            </w:tcBorders>
          </w:tcPr>
          <w:p w14:paraId="147AB176" w14:textId="77777777" w:rsidR="00E24985" w:rsidRDefault="00E24985" w:rsidP="00E74AFC">
            <w:pPr>
              <w:pStyle w:val="Tablesmallbullet"/>
              <w:numPr>
                <w:ilvl w:val="0"/>
                <w:numId w:val="88"/>
              </w:numPr>
            </w:pPr>
            <w:r>
              <w:t>Biodiversity</w:t>
            </w:r>
          </w:p>
        </w:tc>
        <w:tc>
          <w:tcPr>
            <w:tcW w:w="600" w:type="pct"/>
            <w:tcBorders>
              <w:bottom w:val="single" w:sz="4" w:space="0" w:color="808080"/>
            </w:tcBorders>
          </w:tcPr>
          <w:p w14:paraId="41F6C3F3" w14:textId="77777777" w:rsidR="00E24985" w:rsidRDefault="00E24985" w:rsidP="00E24985">
            <w:pPr>
              <w:pStyle w:val="Tablesmalltext"/>
              <w:jc w:val="center"/>
            </w:pPr>
            <w:r>
              <w:t>90%</w:t>
            </w:r>
          </w:p>
        </w:tc>
        <w:tc>
          <w:tcPr>
            <w:tcW w:w="600" w:type="pct"/>
            <w:tcBorders>
              <w:bottom w:val="single" w:sz="4" w:space="0" w:color="808080"/>
            </w:tcBorders>
          </w:tcPr>
          <w:p w14:paraId="32C81114" w14:textId="77777777" w:rsidR="00E24985" w:rsidRDefault="00E24985" w:rsidP="00E24985">
            <w:pPr>
              <w:pStyle w:val="Tablesmalltext"/>
              <w:jc w:val="center"/>
            </w:pPr>
            <w:r>
              <w:t>92%</w:t>
            </w:r>
          </w:p>
        </w:tc>
        <w:tc>
          <w:tcPr>
            <w:tcW w:w="601" w:type="pct"/>
            <w:tcBorders>
              <w:bottom w:val="single" w:sz="4" w:space="0" w:color="808080"/>
            </w:tcBorders>
          </w:tcPr>
          <w:p w14:paraId="4043F0E6" w14:textId="4C224644" w:rsidR="00E24985" w:rsidRDefault="00C56140" w:rsidP="00E24985">
            <w:pPr>
              <w:pStyle w:val="Tablesmalltext"/>
              <w:jc w:val="center"/>
            </w:pPr>
            <w:r>
              <w:t>8</w:t>
            </w:r>
            <w:r w:rsidR="00CE4578">
              <w:t>4</w:t>
            </w:r>
            <w:r w:rsidR="00E24985">
              <w:t>%</w:t>
            </w:r>
          </w:p>
        </w:tc>
        <w:tc>
          <w:tcPr>
            <w:tcW w:w="600" w:type="pct"/>
            <w:tcBorders>
              <w:bottom w:val="single" w:sz="4" w:space="0" w:color="808080"/>
            </w:tcBorders>
          </w:tcPr>
          <w:p w14:paraId="097D9015" w14:textId="77777777" w:rsidR="00E24985" w:rsidRDefault="00E24985" w:rsidP="00E24985">
            <w:pPr>
              <w:pStyle w:val="Tablesmalltext"/>
              <w:jc w:val="center"/>
            </w:pPr>
            <w:r>
              <w:t>13</w:t>
            </w:r>
          </w:p>
        </w:tc>
        <w:tc>
          <w:tcPr>
            <w:tcW w:w="600" w:type="pct"/>
            <w:tcBorders>
              <w:bottom w:val="single" w:sz="4" w:space="0" w:color="808080"/>
            </w:tcBorders>
          </w:tcPr>
          <w:p w14:paraId="310D3804" w14:textId="77777777" w:rsidR="00E24985" w:rsidRDefault="00E24985" w:rsidP="00E24985">
            <w:pPr>
              <w:pStyle w:val="Tablesmalltext"/>
              <w:jc w:val="center"/>
            </w:pPr>
            <w:r>
              <w:t>0</w:t>
            </w:r>
          </w:p>
        </w:tc>
        <w:tc>
          <w:tcPr>
            <w:tcW w:w="601" w:type="pct"/>
            <w:tcBorders>
              <w:bottom w:val="single" w:sz="4" w:space="0" w:color="808080"/>
            </w:tcBorders>
          </w:tcPr>
          <w:p w14:paraId="632AC8BE" w14:textId="77777777" w:rsidR="00E24985" w:rsidRDefault="00E24985" w:rsidP="00E24985">
            <w:pPr>
              <w:pStyle w:val="Tablesmalltext"/>
              <w:jc w:val="center"/>
            </w:pPr>
            <w:r>
              <w:t>18</w:t>
            </w:r>
          </w:p>
        </w:tc>
      </w:tr>
      <w:tr w:rsidR="00E24985" w14:paraId="2214B84A" w14:textId="77777777" w:rsidTr="00384C00">
        <w:tc>
          <w:tcPr>
            <w:tcW w:w="1398" w:type="pct"/>
            <w:tcBorders>
              <w:right w:val="nil"/>
            </w:tcBorders>
            <w:shd w:val="clear" w:color="auto" w:fill="FFFFCC"/>
          </w:tcPr>
          <w:p w14:paraId="491F797A" w14:textId="77777777" w:rsidR="00E24985" w:rsidRPr="00FF4C78" w:rsidRDefault="00E24985" w:rsidP="00E24985">
            <w:pPr>
              <w:pStyle w:val="Tablesmalltext"/>
              <w:rPr>
                <w:b/>
              </w:rPr>
            </w:pPr>
            <w:r w:rsidRPr="00FF4C78">
              <w:rPr>
                <w:b/>
              </w:rPr>
              <w:t>Roading</w:t>
            </w:r>
          </w:p>
        </w:tc>
        <w:tc>
          <w:tcPr>
            <w:tcW w:w="600" w:type="pct"/>
            <w:tcBorders>
              <w:left w:val="nil"/>
              <w:right w:val="nil"/>
            </w:tcBorders>
            <w:shd w:val="clear" w:color="auto" w:fill="FFFFCC"/>
          </w:tcPr>
          <w:p w14:paraId="5784253F" w14:textId="77777777" w:rsidR="00E24985" w:rsidRPr="00FF4C78" w:rsidRDefault="00E24985" w:rsidP="00E24985">
            <w:pPr>
              <w:pStyle w:val="Tablesmalltext"/>
              <w:jc w:val="center"/>
              <w:rPr>
                <w:b/>
              </w:rPr>
            </w:pPr>
          </w:p>
        </w:tc>
        <w:tc>
          <w:tcPr>
            <w:tcW w:w="600" w:type="pct"/>
            <w:tcBorders>
              <w:left w:val="nil"/>
              <w:right w:val="nil"/>
            </w:tcBorders>
            <w:shd w:val="clear" w:color="auto" w:fill="FFFFCC"/>
          </w:tcPr>
          <w:p w14:paraId="0395B942" w14:textId="77777777" w:rsidR="00E24985" w:rsidRPr="00FF4C78" w:rsidRDefault="00E24985" w:rsidP="00E24985">
            <w:pPr>
              <w:pStyle w:val="Tablesmalltext"/>
              <w:jc w:val="center"/>
              <w:rPr>
                <w:b/>
              </w:rPr>
            </w:pPr>
          </w:p>
        </w:tc>
        <w:tc>
          <w:tcPr>
            <w:tcW w:w="601" w:type="pct"/>
            <w:tcBorders>
              <w:left w:val="nil"/>
              <w:right w:val="nil"/>
            </w:tcBorders>
            <w:shd w:val="clear" w:color="auto" w:fill="FFFFCC"/>
          </w:tcPr>
          <w:p w14:paraId="21F0C483" w14:textId="77777777" w:rsidR="00E24985" w:rsidRPr="00FF4C78" w:rsidRDefault="00E24985" w:rsidP="00E24985">
            <w:pPr>
              <w:pStyle w:val="Tablesmalltext"/>
              <w:jc w:val="center"/>
              <w:rPr>
                <w:b/>
              </w:rPr>
            </w:pPr>
          </w:p>
        </w:tc>
        <w:tc>
          <w:tcPr>
            <w:tcW w:w="600" w:type="pct"/>
            <w:tcBorders>
              <w:left w:val="nil"/>
              <w:right w:val="nil"/>
            </w:tcBorders>
            <w:shd w:val="clear" w:color="auto" w:fill="FFFFCC"/>
          </w:tcPr>
          <w:p w14:paraId="2CAF9D86" w14:textId="77777777" w:rsidR="00E24985" w:rsidRPr="00FF4C78" w:rsidRDefault="00E24985" w:rsidP="00E24985">
            <w:pPr>
              <w:pStyle w:val="Tablesmalltext"/>
              <w:jc w:val="center"/>
              <w:rPr>
                <w:b/>
              </w:rPr>
            </w:pPr>
          </w:p>
        </w:tc>
        <w:tc>
          <w:tcPr>
            <w:tcW w:w="600" w:type="pct"/>
            <w:tcBorders>
              <w:left w:val="nil"/>
            </w:tcBorders>
            <w:shd w:val="clear" w:color="auto" w:fill="FFFFCC"/>
          </w:tcPr>
          <w:p w14:paraId="683ADF8A" w14:textId="77777777" w:rsidR="00E24985" w:rsidRPr="00FF4C78" w:rsidRDefault="00E24985" w:rsidP="00E24985">
            <w:pPr>
              <w:pStyle w:val="Tablesmalltext"/>
              <w:jc w:val="center"/>
              <w:rPr>
                <w:b/>
              </w:rPr>
            </w:pPr>
          </w:p>
        </w:tc>
        <w:tc>
          <w:tcPr>
            <w:tcW w:w="601" w:type="pct"/>
            <w:tcBorders>
              <w:left w:val="nil"/>
            </w:tcBorders>
            <w:shd w:val="clear" w:color="auto" w:fill="FFFFCC"/>
          </w:tcPr>
          <w:p w14:paraId="359EA460" w14:textId="77777777" w:rsidR="00E24985" w:rsidRPr="00FF4C78" w:rsidRDefault="00E24985" w:rsidP="00E24985">
            <w:pPr>
              <w:pStyle w:val="Tablesmalltext"/>
              <w:jc w:val="center"/>
              <w:rPr>
                <w:b/>
              </w:rPr>
            </w:pPr>
          </w:p>
        </w:tc>
      </w:tr>
      <w:tr w:rsidR="00E24985" w14:paraId="1F8ECD93" w14:textId="77777777" w:rsidTr="00E24985">
        <w:tc>
          <w:tcPr>
            <w:tcW w:w="1398" w:type="pct"/>
          </w:tcPr>
          <w:p w14:paraId="0FEEB851" w14:textId="77777777" w:rsidR="00E24985" w:rsidRDefault="00E24985" w:rsidP="00E74AFC">
            <w:pPr>
              <w:pStyle w:val="Tablesmallbullet"/>
              <w:numPr>
                <w:ilvl w:val="0"/>
                <w:numId w:val="88"/>
              </w:numPr>
            </w:pPr>
            <w:r>
              <w:t>Design</w:t>
            </w:r>
          </w:p>
        </w:tc>
        <w:tc>
          <w:tcPr>
            <w:tcW w:w="600" w:type="pct"/>
          </w:tcPr>
          <w:p w14:paraId="5421AF33" w14:textId="77777777" w:rsidR="00E24985" w:rsidRDefault="00E24985" w:rsidP="00E24985">
            <w:pPr>
              <w:pStyle w:val="Tablesmalltext"/>
              <w:jc w:val="center"/>
            </w:pPr>
            <w:r>
              <w:t>57%</w:t>
            </w:r>
          </w:p>
        </w:tc>
        <w:tc>
          <w:tcPr>
            <w:tcW w:w="600" w:type="pct"/>
          </w:tcPr>
          <w:p w14:paraId="2B4B2513" w14:textId="77777777" w:rsidR="00E24985" w:rsidRDefault="00E24985" w:rsidP="00E24985">
            <w:pPr>
              <w:pStyle w:val="Tablesmalltext"/>
              <w:jc w:val="center"/>
            </w:pPr>
            <w:r>
              <w:t>81%</w:t>
            </w:r>
          </w:p>
        </w:tc>
        <w:tc>
          <w:tcPr>
            <w:tcW w:w="601" w:type="pct"/>
          </w:tcPr>
          <w:p w14:paraId="7CDA12CE" w14:textId="77777777" w:rsidR="00E24985" w:rsidRDefault="00E24985" w:rsidP="00E24985">
            <w:pPr>
              <w:pStyle w:val="Tablesmalltext"/>
              <w:jc w:val="center"/>
            </w:pPr>
            <w:r>
              <w:t>67%</w:t>
            </w:r>
          </w:p>
        </w:tc>
        <w:tc>
          <w:tcPr>
            <w:tcW w:w="600" w:type="pct"/>
          </w:tcPr>
          <w:p w14:paraId="55105EEC" w14:textId="77777777" w:rsidR="00E24985" w:rsidRDefault="00E24985" w:rsidP="00E24985">
            <w:pPr>
              <w:pStyle w:val="Tablesmalltext"/>
              <w:jc w:val="center"/>
            </w:pPr>
            <w:r>
              <w:t>7</w:t>
            </w:r>
          </w:p>
        </w:tc>
        <w:tc>
          <w:tcPr>
            <w:tcW w:w="600" w:type="pct"/>
          </w:tcPr>
          <w:p w14:paraId="701667C3" w14:textId="77777777" w:rsidR="00E24985" w:rsidRDefault="00E24985" w:rsidP="00E24985">
            <w:pPr>
              <w:pStyle w:val="Tablesmalltext"/>
              <w:jc w:val="center"/>
            </w:pPr>
            <w:r>
              <w:t>0</w:t>
            </w:r>
          </w:p>
        </w:tc>
        <w:tc>
          <w:tcPr>
            <w:tcW w:w="601" w:type="pct"/>
          </w:tcPr>
          <w:p w14:paraId="2697907D" w14:textId="77777777" w:rsidR="00E24985" w:rsidRDefault="00E24985" w:rsidP="00E24985">
            <w:pPr>
              <w:pStyle w:val="Tablesmalltext"/>
              <w:jc w:val="center"/>
            </w:pPr>
            <w:r>
              <w:t>1</w:t>
            </w:r>
          </w:p>
        </w:tc>
      </w:tr>
      <w:tr w:rsidR="00E24985" w14:paraId="2A7E03A8" w14:textId="77777777" w:rsidTr="00E24985">
        <w:tc>
          <w:tcPr>
            <w:tcW w:w="1398" w:type="pct"/>
          </w:tcPr>
          <w:p w14:paraId="447142CA" w14:textId="77777777" w:rsidR="00E24985" w:rsidRDefault="00E24985" w:rsidP="00E74AFC">
            <w:pPr>
              <w:pStyle w:val="Tablesmallbullet"/>
              <w:numPr>
                <w:ilvl w:val="0"/>
                <w:numId w:val="88"/>
              </w:numPr>
            </w:pPr>
            <w:r>
              <w:t>Construction</w:t>
            </w:r>
          </w:p>
        </w:tc>
        <w:tc>
          <w:tcPr>
            <w:tcW w:w="600" w:type="pct"/>
          </w:tcPr>
          <w:p w14:paraId="481C16AD" w14:textId="77777777" w:rsidR="00E24985" w:rsidRDefault="00E24985" w:rsidP="00E24985">
            <w:pPr>
              <w:pStyle w:val="Tablesmalltext"/>
              <w:jc w:val="center"/>
            </w:pPr>
            <w:r>
              <w:t>79%</w:t>
            </w:r>
          </w:p>
        </w:tc>
        <w:tc>
          <w:tcPr>
            <w:tcW w:w="600" w:type="pct"/>
          </w:tcPr>
          <w:p w14:paraId="789EB5C6" w14:textId="77777777" w:rsidR="00E24985" w:rsidRDefault="00E24985" w:rsidP="00E24985">
            <w:pPr>
              <w:pStyle w:val="Tablesmalltext"/>
              <w:jc w:val="center"/>
            </w:pPr>
            <w:r>
              <w:t>92%</w:t>
            </w:r>
          </w:p>
        </w:tc>
        <w:tc>
          <w:tcPr>
            <w:tcW w:w="601" w:type="pct"/>
          </w:tcPr>
          <w:p w14:paraId="7BB05F58" w14:textId="0A20D79C" w:rsidR="00E24985" w:rsidRDefault="00C56140" w:rsidP="00E24985">
            <w:pPr>
              <w:pStyle w:val="Tablesmalltext"/>
              <w:jc w:val="center"/>
            </w:pPr>
            <w:r>
              <w:t>81</w:t>
            </w:r>
            <w:r w:rsidR="00E24985">
              <w:t>%</w:t>
            </w:r>
          </w:p>
        </w:tc>
        <w:tc>
          <w:tcPr>
            <w:tcW w:w="600" w:type="pct"/>
          </w:tcPr>
          <w:p w14:paraId="38469AE5" w14:textId="77777777" w:rsidR="00E24985" w:rsidRDefault="00E24985" w:rsidP="00E24985">
            <w:pPr>
              <w:pStyle w:val="Tablesmalltext"/>
              <w:jc w:val="center"/>
            </w:pPr>
            <w:r>
              <w:t>30</w:t>
            </w:r>
          </w:p>
        </w:tc>
        <w:tc>
          <w:tcPr>
            <w:tcW w:w="600" w:type="pct"/>
          </w:tcPr>
          <w:p w14:paraId="07B11AA3" w14:textId="77777777" w:rsidR="00E24985" w:rsidRDefault="00E24985" w:rsidP="00E24985">
            <w:pPr>
              <w:pStyle w:val="Tablesmalltext"/>
              <w:jc w:val="center"/>
            </w:pPr>
            <w:r>
              <w:t>0</w:t>
            </w:r>
          </w:p>
        </w:tc>
        <w:tc>
          <w:tcPr>
            <w:tcW w:w="601" w:type="pct"/>
          </w:tcPr>
          <w:p w14:paraId="305791B8" w14:textId="77777777" w:rsidR="00E24985" w:rsidRDefault="00E24985" w:rsidP="00E24985">
            <w:pPr>
              <w:pStyle w:val="Tablesmalltext"/>
              <w:jc w:val="center"/>
            </w:pPr>
            <w:r>
              <w:t>5</w:t>
            </w:r>
          </w:p>
        </w:tc>
      </w:tr>
      <w:tr w:rsidR="00E24985" w14:paraId="312BAAEC" w14:textId="77777777" w:rsidTr="00E24985">
        <w:tc>
          <w:tcPr>
            <w:tcW w:w="1398" w:type="pct"/>
          </w:tcPr>
          <w:p w14:paraId="3F5F0645" w14:textId="77777777" w:rsidR="00E24985" w:rsidRDefault="00E24985" w:rsidP="00E74AFC">
            <w:pPr>
              <w:pStyle w:val="Tablesmallbullet"/>
              <w:numPr>
                <w:ilvl w:val="0"/>
                <w:numId w:val="88"/>
              </w:numPr>
            </w:pPr>
            <w:r>
              <w:t>Maintenance and closure</w:t>
            </w:r>
          </w:p>
        </w:tc>
        <w:tc>
          <w:tcPr>
            <w:tcW w:w="600" w:type="pct"/>
          </w:tcPr>
          <w:p w14:paraId="3B804E6C" w14:textId="77777777" w:rsidR="00E24985" w:rsidRDefault="00E24985" w:rsidP="00E24985">
            <w:pPr>
              <w:pStyle w:val="Tablesmalltext"/>
              <w:jc w:val="center"/>
            </w:pPr>
            <w:r>
              <w:t>73%</w:t>
            </w:r>
          </w:p>
        </w:tc>
        <w:tc>
          <w:tcPr>
            <w:tcW w:w="600" w:type="pct"/>
          </w:tcPr>
          <w:p w14:paraId="444D5868" w14:textId="77777777" w:rsidR="00E24985" w:rsidRDefault="00E24985" w:rsidP="00E24985">
            <w:pPr>
              <w:pStyle w:val="Tablesmalltext"/>
              <w:jc w:val="center"/>
            </w:pPr>
            <w:r>
              <w:t>71%</w:t>
            </w:r>
          </w:p>
        </w:tc>
        <w:tc>
          <w:tcPr>
            <w:tcW w:w="601" w:type="pct"/>
          </w:tcPr>
          <w:p w14:paraId="66455915" w14:textId="77777777" w:rsidR="00E24985" w:rsidRDefault="00E24985" w:rsidP="00E24985">
            <w:pPr>
              <w:pStyle w:val="Tablesmalltext"/>
              <w:jc w:val="center"/>
            </w:pPr>
            <w:r>
              <w:t>83%</w:t>
            </w:r>
          </w:p>
        </w:tc>
        <w:tc>
          <w:tcPr>
            <w:tcW w:w="600" w:type="pct"/>
          </w:tcPr>
          <w:p w14:paraId="0D776987" w14:textId="77777777" w:rsidR="00E24985" w:rsidRDefault="00E24985" w:rsidP="00E24985">
            <w:pPr>
              <w:pStyle w:val="Tablesmalltext"/>
              <w:jc w:val="center"/>
            </w:pPr>
            <w:r>
              <w:t>5</w:t>
            </w:r>
          </w:p>
        </w:tc>
        <w:tc>
          <w:tcPr>
            <w:tcW w:w="600" w:type="pct"/>
          </w:tcPr>
          <w:p w14:paraId="39180CED" w14:textId="77777777" w:rsidR="00E24985" w:rsidRDefault="00E24985" w:rsidP="00E24985">
            <w:pPr>
              <w:pStyle w:val="Tablesmalltext"/>
              <w:jc w:val="center"/>
            </w:pPr>
            <w:r>
              <w:t>0</w:t>
            </w:r>
          </w:p>
        </w:tc>
        <w:tc>
          <w:tcPr>
            <w:tcW w:w="601" w:type="pct"/>
          </w:tcPr>
          <w:p w14:paraId="6AB4B25E" w14:textId="77777777" w:rsidR="00E24985" w:rsidRDefault="00E24985" w:rsidP="00E24985">
            <w:pPr>
              <w:pStyle w:val="Tablesmalltext"/>
              <w:jc w:val="center"/>
            </w:pPr>
            <w:r>
              <w:t>2</w:t>
            </w:r>
          </w:p>
        </w:tc>
      </w:tr>
    </w:tbl>
    <w:p w14:paraId="0DEA9CF3" w14:textId="3ABBA4AB" w:rsidR="00700232" w:rsidRDefault="00700232" w:rsidP="00700232">
      <w:pPr>
        <w:pStyle w:val="Tablesmalltext"/>
      </w:pPr>
      <w:r>
        <w:t>Notes:</w:t>
      </w:r>
    </w:p>
    <w:p w14:paraId="7348F35A" w14:textId="2510BB35" w:rsidR="00E24985" w:rsidRDefault="00E24985" w:rsidP="00E74AFC">
      <w:pPr>
        <w:pStyle w:val="Tablesmalltext"/>
        <w:numPr>
          <w:ilvl w:val="0"/>
          <w:numId w:val="89"/>
        </w:numPr>
      </w:pPr>
      <w:r>
        <w:t>Note that individual incidents may give rise to non-</w:t>
      </w:r>
      <w:r w:rsidR="00700232">
        <w:t>conformances</w:t>
      </w:r>
      <w:r>
        <w:t xml:space="preserve"> against more than one audit criterion.</w:t>
      </w:r>
    </w:p>
    <w:p w14:paraId="50ACB8CF" w14:textId="77777777" w:rsidR="00E24985" w:rsidRDefault="00E24985" w:rsidP="00E74AFC">
      <w:pPr>
        <w:pStyle w:val="Tablesmalltext"/>
        <w:numPr>
          <w:ilvl w:val="0"/>
          <w:numId w:val="89"/>
        </w:numPr>
      </w:pPr>
      <w:r>
        <w:t>Jacobs 2018a</w:t>
      </w:r>
    </w:p>
    <w:p w14:paraId="0D3AB372" w14:textId="77777777" w:rsidR="00E24985" w:rsidRDefault="00E24985" w:rsidP="00E74AFC">
      <w:pPr>
        <w:pStyle w:val="Tablesmalltext"/>
        <w:numPr>
          <w:ilvl w:val="0"/>
          <w:numId w:val="89"/>
        </w:numPr>
      </w:pPr>
      <w:r>
        <w:t>Jacobs 2018b</w:t>
      </w:r>
    </w:p>
    <w:p w14:paraId="2002D284" w14:textId="6237E4FC" w:rsidR="00E24985" w:rsidRDefault="00E24985" w:rsidP="00E74AFC">
      <w:pPr>
        <w:pStyle w:val="Tablesmalltext"/>
        <w:numPr>
          <w:ilvl w:val="0"/>
          <w:numId w:val="89"/>
        </w:numPr>
      </w:pPr>
      <w:r>
        <w:t xml:space="preserve">The overall assessment result for the 2018-19 audit has been adjusted from that reported in </w:t>
      </w:r>
      <w:r>
        <w:fldChar w:fldCharType="begin" w:fldLock="1"/>
      </w:r>
      <w:r>
        <w:instrText xml:space="preserve"> REF _Ref18337773 \h </w:instrText>
      </w:r>
      <w:r>
        <w:fldChar w:fldCharType="separate"/>
      </w:r>
      <w:r w:rsidR="005544E2">
        <w:t xml:space="preserve">Figure </w:t>
      </w:r>
      <w:r w:rsidR="005544E2">
        <w:rPr>
          <w:noProof/>
        </w:rPr>
        <w:t>5</w:t>
      </w:r>
      <w:r w:rsidR="005544E2">
        <w:t>.</w:t>
      </w:r>
      <w:r w:rsidR="005544E2">
        <w:rPr>
          <w:noProof/>
        </w:rPr>
        <w:t>1</w:t>
      </w:r>
      <w:r>
        <w:fldChar w:fldCharType="end"/>
      </w:r>
      <w:r>
        <w:t xml:space="preserve"> to restrict it to the sub-themes included in previous audits.</w:t>
      </w:r>
      <w:r w:rsidR="008D21DB">
        <w:t xml:space="preserve"> However, this adjustment does not account for the inclusion, in this year’s audit, of additional regulatory requirements in the sub-themes considered by previous audits. Accounting for these additional criteria potentially adds 1-2% to the overall % full conformance and that for water and biodiversity sub-themes </w:t>
      </w:r>
    </w:p>
    <w:p w14:paraId="0B753FC3" w14:textId="0A54DFB4" w:rsidR="00384C00" w:rsidRDefault="00384C00" w:rsidP="00384C00">
      <w:pPr>
        <w:pStyle w:val="Para0"/>
      </w:pPr>
      <w:bookmarkStart w:id="136" w:name="_Toc21354802"/>
      <w:r>
        <w:lastRenderedPageBreak/>
        <w:t xml:space="preserve">The number of non-conformances with major potential EI recorded in the current audit was </w:t>
      </w:r>
      <w:r w:rsidR="00C56140">
        <w:t>greater</w:t>
      </w:r>
      <w:r>
        <w:t xml:space="preserve"> overall than in the 2017-18</w:t>
      </w:r>
      <w:r w:rsidR="00C56140">
        <w:t xml:space="preserve"> audit</w:t>
      </w:r>
      <w:r w:rsidR="00712E9C">
        <w:t xml:space="preserve">, but less overall than was recorded in the 2016-17 audit. </w:t>
      </w:r>
      <w:r>
        <w:t xml:space="preserve">Some of the </w:t>
      </w:r>
      <w:r w:rsidR="00712E9C">
        <w:t>reductions</w:t>
      </w:r>
      <w:r>
        <w:t xml:space="preserve"> in the number of non-conformances with major potential EI </w:t>
      </w:r>
      <w:r w:rsidR="00712E9C">
        <w:t xml:space="preserve">recorded (between 2016-17 and 2018-19) </w:t>
      </w:r>
      <w:r>
        <w:t>reflects the reduced duplication of compliance criteria between sub-themes in the current audit and more stringent analysis of the relevance of the actual non-conformance incident to the audit criterion.</w:t>
      </w:r>
    </w:p>
    <w:p w14:paraId="2C1BC594" w14:textId="2422ADDE" w:rsidR="00384C00" w:rsidRDefault="00384C00" w:rsidP="00384C00">
      <w:pPr>
        <w:pStyle w:val="Para0"/>
      </w:pPr>
      <w:r>
        <w:t>The types of incident giving rise to potential EI (</w:t>
      </w:r>
      <w:r>
        <w:fldChar w:fldCharType="begin" w:fldLock="1"/>
      </w:r>
      <w:r>
        <w:instrText xml:space="preserve"> REF _Ref18353094 \h </w:instrText>
      </w:r>
      <w:r>
        <w:fldChar w:fldCharType="separate"/>
      </w:r>
      <w:r w:rsidR="005544E2">
        <w:t xml:space="preserve">Table </w:t>
      </w:r>
      <w:r w:rsidR="005544E2">
        <w:rPr>
          <w:noProof/>
        </w:rPr>
        <w:t>5</w:t>
      </w:r>
      <w:r w:rsidR="005544E2">
        <w:t>.</w:t>
      </w:r>
      <w:r w:rsidR="005544E2">
        <w:rPr>
          <w:noProof/>
        </w:rPr>
        <w:t>1</w:t>
      </w:r>
      <w:r>
        <w:fldChar w:fldCharType="end"/>
      </w:r>
      <w:r>
        <w:t>) have generally remained consistent between recent audits</w:t>
      </w:r>
      <w:r w:rsidR="007E0985">
        <w:rPr>
          <w:rFonts w:ascii="ZWAdobeF" w:hAnsi="ZWAdobeF" w:cs="ZWAdobeF"/>
          <w:sz w:val="2"/>
          <w:szCs w:val="2"/>
        </w:rPr>
        <w:t>21F</w:t>
      </w:r>
      <w:r>
        <w:rPr>
          <w:rStyle w:val="FootnoteReference"/>
        </w:rPr>
        <w:footnoteReference w:id="22"/>
      </w:r>
      <w:r>
        <w:t>, although the frequency of incidents has changed over time. Incidents relating to waterway crossings (particularly those with major or moderate potential EI) were particularly numerous in 2016-17</w:t>
      </w:r>
      <w:r w:rsidR="00712E9C">
        <w:t>,</w:t>
      </w:r>
      <w:r>
        <w:t xml:space="preserve"> but were significantly less frequently observed in the two most recent audits. Issues with regeneration burns entering adjoining exclusion areas have been observed in previous audits, but not at the frequency observed in this audit. The audit team also observed two instances of tracks being constructed</w:t>
      </w:r>
      <w:r w:rsidR="00BC5E8A">
        <w:t xml:space="preserve"> or cleared</w:t>
      </w:r>
      <w:r>
        <w:t xml:space="preserve"> into SPZ areas adjoining the coupe, a non-conformance that had not previously been recorded. </w:t>
      </w:r>
    </w:p>
    <w:p w14:paraId="2752CAFA" w14:textId="7A6E8CFD" w:rsidR="00E24985" w:rsidRDefault="00E24985" w:rsidP="00E24985">
      <w:pPr>
        <w:pStyle w:val="Heading2"/>
      </w:pPr>
      <w:bookmarkStart w:id="137" w:name="_Toc33202295"/>
      <w:r>
        <w:t>Potential improvements to coupe planning, timber harvesting and coupe regeneration practices</w:t>
      </w:r>
      <w:bookmarkEnd w:id="136"/>
      <w:bookmarkEnd w:id="137"/>
    </w:p>
    <w:p w14:paraId="2E419510" w14:textId="77777777" w:rsidR="00E24985" w:rsidRDefault="00E24985" w:rsidP="00E24985">
      <w:pPr>
        <w:pStyle w:val="Para0"/>
      </w:pPr>
      <w:r>
        <w:t xml:space="preserve">Observations from the current audit and reflections on non-conformance incidents from previous audits suggests several potential areas for improvement in </w:t>
      </w:r>
      <w:r w:rsidRPr="00AF035A">
        <w:t>coupe planning, timber harvesting and coupe regeneration practices</w:t>
      </w:r>
      <w:r>
        <w:t>, as discussed in the following sections.</w:t>
      </w:r>
    </w:p>
    <w:p w14:paraId="25006227" w14:textId="77777777" w:rsidR="00E24985" w:rsidRDefault="00E24985" w:rsidP="00E24985">
      <w:pPr>
        <w:pStyle w:val="Heading3"/>
      </w:pPr>
      <w:bookmarkStart w:id="138" w:name="_Toc21354803"/>
      <w:bookmarkStart w:id="139" w:name="_Toc33202296"/>
      <w:r>
        <w:t>Coupe planning</w:t>
      </w:r>
      <w:bookmarkEnd w:id="138"/>
      <w:bookmarkEnd w:id="139"/>
    </w:p>
    <w:p w14:paraId="1AC235C2" w14:textId="77777777" w:rsidR="00E24985" w:rsidRDefault="00E24985" w:rsidP="00E24985">
      <w:pPr>
        <w:pStyle w:val="Para0"/>
      </w:pPr>
      <w:r>
        <w:t>Coupe planning and its documentation by VicForests typically conforms well with Code and MSP requirements. Several incremental improvements in practice are suggested by observations made in this audit, some of which have been made in previous audits, as follows:</w:t>
      </w:r>
    </w:p>
    <w:p w14:paraId="279500CF" w14:textId="7286E8F0" w:rsidR="00E24985" w:rsidRDefault="00E24985" w:rsidP="00E24985">
      <w:pPr>
        <w:pStyle w:val="Para0bullet"/>
      </w:pPr>
      <w:r>
        <w:rPr>
          <w:i/>
        </w:rPr>
        <w:t xml:space="preserve">Explicit mapping of waterway classifications: </w:t>
      </w:r>
      <w:r>
        <w:t xml:space="preserve">there is significant variation in practice between operators in </w:t>
      </w:r>
      <w:r w:rsidR="001B4E4A">
        <w:t xml:space="preserve">the mapping of </w:t>
      </w:r>
      <w:r>
        <w:t xml:space="preserve">waterways </w:t>
      </w:r>
      <w:r w:rsidR="001B4E4A">
        <w:t>in coupe operations maps</w:t>
      </w:r>
      <w:r>
        <w:t xml:space="preserve">. The MSPs require that waterways are accurately mapped (2.3.1.2 </w:t>
      </w:r>
      <w:r w:rsidR="00526496">
        <w:t>b</w:t>
      </w:r>
      <w:r>
        <w:t xml:space="preserve">) and that the three waterway classes (permanent streams, temporary streams and drainage lines; 3.1.1.1) are used to determine buffer and filter widths. The practice of some operators is to explicitly label waterways according to the class (as above). Other operators, in mapping the planned harvest boundary, colour filters, buffers and non-waterway boundaries differently. </w:t>
      </w:r>
    </w:p>
    <w:p w14:paraId="1A4CDAEB" w14:textId="77777777" w:rsidR="00E24985" w:rsidRDefault="00E24985" w:rsidP="00E24985">
      <w:pPr>
        <w:pStyle w:val="Para0bullet"/>
        <w:numPr>
          <w:ilvl w:val="0"/>
          <w:numId w:val="0"/>
        </w:numPr>
        <w:ind w:left="425"/>
      </w:pPr>
      <w:r>
        <w:t>While both practices are assessed to conform to MSP requirements, the auditor’s preference is to explicitly mark the waterway classification and indicate whether the boundary is a buffer, filter or combination of the two (as per MSP Tables 9 and 10). This provides unambiguous evidence of how the coupe planner has classified the waterway and may be used to demonstrate waterway protection beyond minimum compliance (e.g. where buffers are used along temporary drainage lines).</w:t>
      </w:r>
    </w:p>
    <w:p w14:paraId="11773B6C" w14:textId="7CDA7496" w:rsidR="00E24985" w:rsidRDefault="00E24985" w:rsidP="00E24985">
      <w:pPr>
        <w:pStyle w:val="Para0bullet"/>
      </w:pPr>
      <w:r w:rsidRPr="00800983">
        <w:rPr>
          <w:i/>
        </w:rPr>
        <w:t xml:space="preserve">Mapping of coupe slope: </w:t>
      </w:r>
      <w:r>
        <w:t>many FCPs were found to include maps showing slope classes as a guide to where harvesting would or would not be appropriate. These are typically only included (or necessary) where slopes exceed about 20</w:t>
      </w:r>
      <w:r w:rsidRPr="00800983">
        <w:rPr>
          <w:rFonts w:cs="Arial"/>
        </w:rPr>
        <w:t>°</w:t>
      </w:r>
      <w:r>
        <w:t xml:space="preserve"> and help to demonstrate conformance with MSP</w:t>
      </w:r>
      <w:r w:rsidR="00526496">
        <w:t>s</w:t>
      </w:r>
      <w:r>
        <w:t xml:space="preserve"> </w:t>
      </w:r>
      <w:r w:rsidR="00526496">
        <w:t xml:space="preserve">2.3.1.2 b, </w:t>
      </w:r>
      <w:r>
        <w:t>3.4.1 and Table 11 (for Water Supply Protection Areas; WSPAs). Where they are used, they typically show slopes in the range 20-30</w:t>
      </w:r>
      <w:r w:rsidRPr="00800983">
        <w:rPr>
          <w:rFonts w:cs="Arial"/>
        </w:rPr>
        <w:t>°</w:t>
      </w:r>
      <w:r>
        <w:t xml:space="preserve"> and &gt;30</w:t>
      </w:r>
      <w:r w:rsidRPr="00800983">
        <w:rPr>
          <w:rFonts w:cs="Arial"/>
        </w:rPr>
        <w:t>°</w:t>
      </w:r>
      <w:r>
        <w:t>. No examples have been sighted (in relevant coupes) showing slopes &gt;25</w:t>
      </w:r>
      <w:r w:rsidRPr="00800983">
        <w:rPr>
          <w:rFonts w:cs="Arial"/>
        </w:rPr>
        <w:t>°</w:t>
      </w:r>
      <w:r>
        <w:t xml:space="preserve">, which is the limit for harvesting on granite soils in East Gippsland FMA and in some WSPAs. </w:t>
      </w:r>
    </w:p>
    <w:p w14:paraId="262F4DBE" w14:textId="77777777" w:rsidR="00E24985" w:rsidRDefault="00E24985" w:rsidP="00E24985">
      <w:pPr>
        <w:pStyle w:val="Para0bullet"/>
        <w:numPr>
          <w:ilvl w:val="0"/>
          <w:numId w:val="0"/>
        </w:numPr>
        <w:ind w:left="425"/>
      </w:pPr>
      <w:r>
        <w:t>While it is recognised that slope mapping has limited accuracy, the inclusion of such information helps to provide evidence supporting the coupe planner’s decisions about marking harvest boundaries. The auditor’s preference is for such maps to be included in FCPs in all applicable coupes.</w:t>
      </w:r>
    </w:p>
    <w:p w14:paraId="7FC62BA4" w14:textId="0B2E9BFC" w:rsidR="00E24985" w:rsidRDefault="00E24985" w:rsidP="00E24985">
      <w:pPr>
        <w:pStyle w:val="Para0bullet"/>
      </w:pPr>
      <w:r>
        <w:rPr>
          <w:i/>
        </w:rPr>
        <w:lastRenderedPageBreak/>
        <w:t xml:space="preserve">Geology: </w:t>
      </w:r>
      <w:r>
        <w:t>geology is only specifically relevant to coupe planning in East Gippsland FMA, where the slope limit for harvesting is reduced to 25</w:t>
      </w:r>
      <w:r>
        <w:rPr>
          <w:rFonts w:cs="Arial"/>
        </w:rPr>
        <w:t>°</w:t>
      </w:r>
      <w:r>
        <w:t xml:space="preserve"> on sites with granite-derived soils (MSP 3.4.1.3). In the auditors’ experience, land systems or geological mapping is typically used to determine if soils are granite-derived. Since this mapping is rather coarse in scale (1:250,000), it should not be used as the sole arbiter of the presence of granite-derived soils. It is suggested that for coupes located within (say) 2 km of granite geology, the soil assessments specifically determine and note the actual parent material. If it is granite, then this information should inform the selection of the slope limit for harvesting. </w:t>
      </w:r>
    </w:p>
    <w:p w14:paraId="70852691" w14:textId="77777777" w:rsidR="00E24985" w:rsidRDefault="00E24985" w:rsidP="00E24985">
      <w:pPr>
        <w:pStyle w:val="Para0bullet"/>
        <w:numPr>
          <w:ilvl w:val="0"/>
          <w:numId w:val="0"/>
        </w:numPr>
        <w:ind w:left="425"/>
      </w:pPr>
      <w:r>
        <w:t>Several East Gippsland coupes located near to (but not within) areas mapped as having granite geology were suspected of having granite-derived soils, but this was not noted in the FCP. However, these coupes did not have steep slopes and there was no danger of the 25</w:t>
      </w:r>
      <w:r>
        <w:rPr>
          <w:rFonts w:cs="Arial"/>
        </w:rPr>
        <w:t>°</w:t>
      </w:r>
      <w:r>
        <w:t xml:space="preserve"> slope limit for harvesting on such soils having been breached.</w:t>
      </w:r>
    </w:p>
    <w:p w14:paraId="3F256969" w14:textId="13C74412" w:rsidR="00E24985" w:rsidRDefault="00E24985" w:rsidP="00E24985">
      <w:pPr>
        <w:pStyle w:val="Para0bullet"/>
        <w:numPr>
          <w:ilvl w:val="0"/>
          <w:numId w:val="0"/>
        </w:numPr>
        <w:ind w:left="425"/>
      </w:pPr>
      <w:r>
        <w:t>VicForests’ coupe planning template</w:t>
      </w:r>
      <w:r w:rsidR="00526496">
        <w:t xml:space="preserve"> (for the coupes included in this audit)</w:t>
      </w:r>
      <w:r>
        <w:t xml:space="preserve"> d</w:t>
      </w:r>
      <w:r w:rsidR="00526496">
        <w:t>id</w:t>
      </w:r>
      <w:r>
        <w:t xml:space="preserve"> not specifically enable recording of the combination of granite soils and slopes &gt;25</w:t>
      </w:r>
      <w:r>
        <w:rPr>
          <w:rFonts w:cs="Arial"/>
        </w:rPr>
        <w:t>°</w:t>
      </w:r>
      <w:r>
        <w:t xml:space="preserve">, which could result in this special slope limit being overlooked. </w:t>
      </w:r>
    </w:p>
    <w:p w14:paraId="5E8B1944" w14:textId="160A158B" w:rsidR="006A26E2" w:rsidRPr="00632CE1" w:rsidRDefault="006A26E2" w:rsidP="006A26E2">
      <w:pPr>
        <w:pStyle w:val="Para0"/>
      </w:pPr>
      <w:r>
        <w:t xml:space="preserve">In comments on the draft audit report, VicForests reported that they have addressed the two latter points. A spatial data layer has been produced </w:t>
      </w:r>
      <w:r w:rsidR="002B0FD4">
        <w:t xml:space="preserve">(copy provided to the auditors) </w:t>
      </w:r>
      <w:r>
        <w:t xml:space="preserve">that combines slope class and the presence of granite-based soils and is based on the best available (LiDAR) slope and lithological data. The data is used to flag coupes with these combined risks and is field checked. Outputs are recorded in the coupe file. </w:t>
      </w:r>
      <w:r w:rsidR="002B0FD4">
        <w:t>Generation of this data set post-dates planning for the East Gippsland coupes included in the audit. VicForests also report having adopted a more general practice of using LiDAR data to classify and map coupe slopes</w:t>
      </w:r>
      <w:r>
        <w:t>.</w:t>
      </w:r>
      <w:r w:rsidR="002B0FD4">
        <w:t xml:space="preserve"> Recommendations regarding the latter two issues discussed above that were in the draft Audit Report are no longer applicable and have not been included here.</w:t>
      </w:r>
    </w:p>
    <w:tbl>
      <w:tblPr>
        <w:tblStyle w:val="TableGrid"/>
        <w:tblW w:w="4963"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9534"/>
      </w:tblGrid>
      <w:tr w:rsidR="00E24985" w14:paraId="39B74854" w14:textId="77777777" w:rsidTr="00D27DDC">
        <w:trPr>
          <w:tblHeader/>
        </w:trPr>
        <w:tc>
          <w:tcPr>
            <w:tcW w:w="5000" w:type="pct"/>
            <w:tcBorders>
              <w:right w:val="single" w:sz="4" w:space="0" w:color="FFFFFF" w:themeColor="background1"/>
            </w:tcBorders>
            <w:shd w:val="clear" w:color="auto" w:fill="FFD8A1" w:themeFill="accent4" w:themeFillTint="66"/>
          </w:tcPr>
          <w:p w14:paraId="1949A7CE" w14:textId="77777777" w:rsidR="00E24985" w:rsidRDefault="00E24985" w:rsidP="00E24985">
            <w:pPr>
              <w:pStyle w:val="Tablesmalltext"/>
            </w:pPr>
            <w:r>
              <w:t>Recommendation V-01 Medium priority</w:t>
            </w:r>
          </w:p>
        </w:tc>
      </w:tr>
      <w:tr w:rsidR="00E24985" w14:paraId="10168E9E" w14:textId="77777777" w:rsidTr="00E24985">
        <w:tc>
          <w:tcPr>
            <w:tcW w:w="5000" w:type="pct"/>
          </w:tcPr>
          <w:p w14:paraId="475E84B9" w14:textId="77777777" w:rsidR="00E24985" w:rsidRDefault="00E24985" w:rsidP="00E24985">
            <w:pPr>
              <w:pStyle w:val="Tablesmalltext"/>
            </w:pPr>
            <w:r>
              <w:t>That VicForests adopt a consistent practice of marking maps of in-coupe waterways with the waterway classification as well as whether a buffer, filter or buffer and filter have been applied.</w:t>
            </w:r>
          </w:p>
        </w:tc>
      </w:tr>
    </w:tbl>
    <w:p w14:paraId="5CDF6259" w14:textId="77777777" w:rsidR="00E24985" w:rsidRDefault="00E24985" w:rsidP="00E24985">
      <w:pPr>
        <w:pStyle w:val="Heading3"/>
      </w:pPr>
      <w:bookmarkStart w:id="140" w:name="_Toc21354804"/>
      <w:bookmarkStart w:id="141" w:name="_Toc33202297"/>
      <w:r>
        <w:t>Design, construction and maintenance of in-coupe roads and waterway crossings</w:t>
      </w:r>
      <w:bookmarkEnd w:id="140"/>
      <w:bookmarkEnd w:id="141"/>
    </w:p>
    <w:p w14:paraId="00CCE274" w14:textId="3EEB4787" w:rsidR="00E24985" w:rsidRDefault="00E24985" w:rsidP="00E24985">
      <w:pPr>
        <w:pStyle w:val="Para0"/>
      </w:pPr>
      <w:r>
        <w:t>Recent FAP audits by this audit team (Jacobs, 2016; 2018a; 2018b) have consistently identified deficiencies in the design, construction and maintenance of in-coupe roads and waterway crossings. Most of these deficiencies were also observed in this audit, including the following:</w:t>
      </w:r>
    </w:p>
    <w:p w14:paraId="4F1821C1" w14:textId="77777777" w:rsidR="00E24985" w:rsidRDefault="00E24985" w:rsidP="00E24985">
      <w:pPr>
        <w:pStyle w:val="Para0bullet"/>
      </w:pPr>
      <w:r>
        <w:rPr>
          <w:i/>
        </w:rPr>
        <w:t xml:space="preserve">Design: </w:t>
      </w:r>
      <w:r>
        <w:t xml:space="preserve">Section 2.4.2 of the Code notes that </w:t>
      </w:r>
      <w:r>
        <w:rPr>
          <w:i/>
        </w:rPr>
        <w:t xml:space="preserve">good design is vital to minimise construction and maintenance costs, reduce environmental risk … and ensure public safety is </w:t>
      </w:r>
      <w:r w:rsidRPr="00D27DDC">
        <w:rPr>
          <w:i/>
        </w:rPr>
        <w:t>maintained</w:t>
      </w:r>
      <w:r>
        <w:t xml:space="preserve">. It specifically </w:t>
      </w:r>
      <w:r w:rsidRPr="005778C5">
        <w:t>addresses</w:t>
      </w:r>
      <w:r>
        <w:t xml:space="preserve"> design requirements for in-coupe roads, waterway crossings and embankments. In common with previous audits, this audit identified little evidence of formal design of any of these features. This contributed to non-conformance incidents that were observed to be associated with:</w:t>
      </w:r>
    </w:p>
    <w:p w14:paraId="6BD3C9FF" w14:textId="77777777" w:rsidR="00E24985" w:rsidRDefault="00E24985" w:rsidP="00E24985">
      <w:pPr>
        <w:pStyle w:val="Para1dash"/>
      </w:pPr>
      <w:r>
        <w:t>Erosion of the road surface</w:t>
      </w:r>
    </w:p>
    <w:p w14:paraId="36F91B9F" w14:textId="77777777" w:rsidR="00E24985" w:rsidRDefault="00E24985" w:rsidP="00E24985">
      <w:pPr>
        <w:pStyle w:val="Para1dash"/>
      </w:pPr>
      <w:r>
        <w:t>Deposition of in-coupe road sediments into temporary and permanent waterways</w:t>
      </w:r>
    </w:p>
    <w:p w14:paraId="0DA57077" w14:textId="77777777" w:rsidR="00E24985" w:rsidRDefault="00E24985" w:rsidP="00E24985">
      <w:pPr>
        <w:pStyle w:val="Para1dash"/>
      </w:pPr>
      <w:r>
        <w:t xml:space="preserve">Mass movement of in-coupe road, waterway crossing and landing embankments </w:t>
      </w:r>
    </w:p>
    <w:p w14:paraId="1ED84692" w14:textId="77777777" w:rsidR="00E24985" w:rsidRDefault="00E24985" w:rsidP="00E24985">
      <w:pPr>
        <w:pStyle w:val="Para1dash"/>
      </w:pPr>
      <w:r>
        <w:t>Blockage of any potential for the passage of fish or other aquatic fauna across a waterway crossing culvert.</w:t>
      </w:r>
    </w:p>
    <w:p w14:paraId="6A181180" w14:textId="75F20A77" w:rsidR="00E24985" w:rsidRDefault="00E24985" w:rsidP="00E24985">
      <w:pPr>
        <w:pStyle w:val="Para1"/>
        <w:spacing w:before="120"/>
      </w:pPr>
      <w:r>
        <w:t xml:space="preserve">Lack of formal designs for in-coupe roads, waterway crossings and embankments has been addressed in recommendations in previous FAP audits (Jacobs 2018a; 2018b), which are supported, but not reiterated here. Potential EIs associated with the lack of formal design are moderate or lower, except for waterway crossings. Since these involve environmentally sensitive locations, the lack of design </w:t>
      </w:r>
      <w:r>
        <w:lastRenderedPageBreak/>
        <w:t xml:space="preserve">(combined with poor construction practices) can lead to potential EI assessments of major for non-conformances. </w:t>
      </w:r>
    </w:p>
    <w:p w14:paraId="386439C3" w14:textId="6029DBA0" w:rsidR="00E24985" w:rsidRPr="00A41B8B" w:rsidRDefault="00E24985" w:rsidP="00E24985">
      <w:pPr>
        <w:pStyle w:val="Para1"/>
        <w:spacing w:before="120"/>
      </w:pPr>
      <w:r>
        <w:t xml:space="preserve">VicForests </w:t>
      </w:r>
      <w:r w:rsidR="00526496">
        <w:t>report having recently develop</w:t>
      </w:r>
      <w:r w:rsidR="0064504C">
        <w:t>ed</w:t>
      </w:r>
      <w:r w:rsidR="00526496">
        <w:t xml:space="preserve"> new procedures and guidance for </w:t>
      </w:r>
      <w:r>
        <w:t>the planning, design and construction of in-coupe roads</w:t>
      </w:r>
      <w:r w:rsidR="0064504C">
        <w:t>, (at least) partly in response to related recommendations from previous audits. It is hoped that this will significantly improve roading practice, reduce the incidence of regulatory non-conformances and reduce the risks posed to soil and water values (particularly) associated with the construction and operation of in-coupe roads.</w:t>
      </w:r>
    </w:p>
    <w:p w14:paraId="7808B4A5" w14:textId="66FEB65B" w:rsidR="00E24985" w:rsidRPr="00992D38" w:rsidRDefault="00E24985" w:rsidP="00E24985">
      <w:pPr>
        <w:pStyle w:val="Para0bullet"/>
        <w:rPr>
          <w:i/>
        </w:rPr>
      </w:pPr>
      <w:r w:rsidRPr="00A41B8B">
        <w:rPr>
          <w:i/>
        </w:rPr>
        <w:t xml:space="preserve">Waterway </w:t>
      </w:r>
      <w:r>
        <w:rPr>
          <w:i/>
        </w:rPr>
        <w:t xml:space="preserve">crossing construction: </w:t>
      </w:r>
      <w:r>
        <w:t xml:space="preserve">shortcomings in waterway crossing construction that were observed in this audit were discussed in Sections </w:t>
      </w:r>
      <w:r>
        <w:fldChar w:fldCharType="begin" w:fldLock="1"/>
      </w:r>
      <w:r>
        <w:instrText xml:space="preserve"> REF _Ref497128366 \r \h </w:instrText>
      </w:r>
      <w:r>
        <w:fldChar w:fldCharType="separate"/>
      </w:r>
      <w:r w:rsidR="005544E2">
        <w:t>4.2.1</w:t>
      </w:r>
      <w:r>
        <w:fldChar w:fldCharType="end"/>
      </w:r>
      <w:r>
        <w:t xml:space="preserve"> and </w:t>
      </w:r>
      <w:r>
        <w:fldChar w:fldCharType="begin" w:fldLock="1"/>
      </w:r>
      <w:r>
        <w:instrText xml:space="preserve"> REF _Ref961472 \r \h </w:instrText>
      </w:r>
      <w:r>
        <w:fldChar w:fldCharType="separate"/>
      </w:r>
      <w:r w:rsidR="005544E2">
        <w:t>4.2.2</w:t>
      </w:r>
      <w:r>
        <w:fldChar w:fldCharType="end"/>
      </w:r>
      <w:r>
        <w:t>. These were generally similar to the kinds of issues observed in previous audits (e.g. Jacobs 2018a; 2018b), and included:</w:t>
      </w:r>
    </w:p>
    <w:p w14:paraId="010710BC" w14:textId="77777777" w:rsidR="00E24985" w:rsidRDefault="00E24985" w:rsidP="00E24985">
      <w:pPr>
        <w:pStyle w:val="Para1dash"/>
      </w:pPr>
      <w:r>
        <w:t xml:space="preserve">Lack of drainage to divert water flowing along the in-coupe road into unharvested vegetation rather than the waterway </w:t>
      </w:r>
    </w:p>
    <w:p w14:paraId="0719BA44" w14:textId="77777777" w:rsidR="00E24985" w:rsidRDefault="00E24985" w:rsidP="00E24985">
      <w:pPr>
        <w:pStyle w:val="Para1dash"/>
      </w:pPr>
      <w:r>
        <w:t>Culvert outlets being elevated above the downstream (and upstream in one case) bed of the waterway, with potential for erosion, sediment mobilisation and water quality impacts and preventing any opportunity for upstream movement of aquatic fauna.</w:t>
      </w:r>
    </w:p>
    <w:p w14:paraId="010B7E80" w14:textId="1FB59CF8" w:rsidR="00E24985" w:rsidRDefault="00E24985" w:rsidP="00E24985">
      <w:pPr>
        <w:pStyle w:val="Para1"/>
        <w:spacing w:before="120"/>
      </w:pPr>
      <w:r>
        <w:t xml:space="preserve">Recommendations addressing non-conforming waterway crossing construction practices have been made in previous audits (Jacobs 2018a; 2018b). These are supported, but not reiterated here. As above, it is </w:t>
      </w:r>
      <w:r w:rsidR="0064504C">
        <w:t xml:space="preserve">hoped that VicForests’ new procedures and guidance for in-coupe road planning, design and construction will address observed deficiencies and non-conformances in waterway crossing construction. </w:t>
      </w:r>
    </w:p>
    <w:p w14:paraId="3100B188" w14:textId="42595A60" w:rsidR="00E24985" w:rsidRPr="00300BC3" w:rsidRDefault="00E24985" w:rsidP="00E24985">
      <w:pPr>
        <w:pStyle w:val="Para0bullet"/>
        <w:rPr>
          <w:i/>
        </w:rPr>
      </w:pPr>
      <w:r>
        <w:rPr>
          <w:i/>
        </w:rPr>
        <w:t xml:space="preserve">Drainage on in-coupe roads: </w:t>
      </w:r>
      <w:r>
        <w:t>repeated instances (incidents in nine coupes) were observed in this audit of in-coupe roads with (effective) drainage at the spacings that exceeded the specifications in Table 21 of the MSPs. Potential EI</w:t>
      </w:r>
      <w:r w:rsidR="0064504C">
        <w:t>s</w:t>
      </w:r>
      <w:r>
        <w:t xml:space="preserve"> associated with most of these non-conformances </w:t>
      </w:r>
      <w:r w:rsidR="0064504C">
        <w:t>were</w:t>
      </w:r>
      <w:r>
        <w:t xml:space="preserve"> assessed to be minor or negligible and reflected relatively small excess distances between drainage structures in areas of lower environmental sensitivity. However, several non-conformances were assessed to have moderate or major potential EI. In two coupes (23 Pilcrow, 28 Vox), this reflected that there were several hundred metres of recently constructed in-coupe road without any formally constructed drainage. In these coupes and 5 Creepy, the long lengths of in-coupe drained directly into temporary or permanent waterways (respectively). </w:t>
      </w:r>
    </w:p>
    <w:p w14:paraId="02A77302" w14:textId="6C21EA39" w:rsidR="00E24985" w:rsidRDefault="00E24985" w:rsidP="00E24985">
      <w:pPr>
        <w:pStyle w:val="Para1"/>
        <w:spacing w:before="120" w:after="240"/>
      </w:pPr>
      <w:r>
        <w:t xml:space="preserve">Repeated instances of non-conforming drainage spacings have been commented on in previous audits (e.g. Jacobs 2018a; 2018b). As with other recurring issues relating to design and construction of in-coupe roads and waterway crossings, it </w:t>
      </w:r>
      <w:r w:rsidR="001E3CC6">
        <w:t xml:space="preserve">hoped that VicForests’ new procedures and guidance will lead to improved regulatory compliance and environmental performance. </w:t>
      </w:r>
    </w:p>
    <w:tbl>
      <w:tblPr>
        <w:tblStyle w:val="TableGrid"/>
        <w:tblW w:w="4963" w:type="pct"/>
        <w:tblInd w:w="85" w:type="dxa"/>
        <w:tblLook w:val="04A0" w:firstRow="1" w:lastRow="0" w:firstColumn="1" w:lastColumn="0" w:noHBand="0" w:noVBand="1"/>
      </w:tblPr>
      <w:tblGrid>
        <w:gridCol w:w="9534"/>
      </w:tblGrid>
      <w:tr w:rsidR="00E24985" w14:paraId="5FB5017C" w14:textId="77777777" w:rsidTr="00D27DDC">
        <w:tc>
          <w:tcPr>
            <w:tcW w:w="5000" w:type="pct"/>
            <w:shd w:val="clear" w:color="auto" w:fill="F7D4DB" w:themeFill="accent3" w:themeFillTint="33"/>
          </w:tcPr>
          <w:p w14:paraId="6CF3CAB9" w14:textId="77777777" w:rsidR="00E24985" w:rsidRDefault="00E24985" w:rsidP="00E24985">
            <w:pPr>
              <w:pStyle w:val="Tablesmalltext"/>
            </w:pPr>
            <w:r>
              <w:t>Recommendation D-01 High priority</w:t>
            </w:r>
          </w:p>
        </w:tc>
      </w:tr>
      <w:tr w:rsidR="00E24985" w14:paraId="28E1F172" w14:textId="77777777" w:rsidTr="00E24985">
        <w:tc>
          <w:tcPr>
            <w:tcW w:w="5000" w:type="pct"/>
          </w:tcPr>
          <w:p w14:paraId="3E06E091" w14:textId="05178A33" w:rsidR="00E24985" w:rsidRDefault="00E24985" w:rsidP="00E24985">
            <w:pPr>
              <w:pStyle w:val="Tablesmalltext"/>
            </w:pPr>
            <w:r>
              <w:t xml:space="preserve">That DELWP </w:t>
            </w:r>
            <w:r w:rsidR="001E3CC6">
              <w:t>engage</w:t>
            </w:r>
            <w:r>
              <w:t xml:space="preserve"> with VicForests to </w:t>
            </w:r>
            <w:r w:rsidR="001E3CC6">
              <w:t xml:space="preserve">monitor and evaluate implementation of new in-coupe road planning, design and construction procedures to </w:t>
            </w:r>
            <w:r>
              <w:t xml:space="preserve">ensure </w:t>
            </w:r>
            <w:r w:rsidR="001E3CC6">
              <w:t xml:space="preserve">they lead to improved regulatory compliance and environmental performance. </w:t>
            </w:r>
          </w:p>
        </w:tc>
      </w:tr>
    </w:tbl>
    <w:p w14:paraId="7EF862EC" w14:textId="77777777" w:rsidR="00E24985" w:rsidRPr="00A41B8B" w:rsidRDefault="00E24985" w:rsidP="00E24985">
      <w:pPr>
        <w:pStyle w:val="Para0bullet"/>
        <w:numPr>
          <w:ilvl w:val="0"/>
          <w:numId w:val="0"/>
        </w:numPr>
        <w:ind w:left="425" w:hanging="425"/>
        <w:rPr>
          <w:i/>
        </w:rPr>
      </w:pPr>
    </w:p>
    <w:p w14:paraId="19F80700" w14:textId="77777777" w:rsidR="00E24985" w:rsidRDefault="00E24985" w:rsidP="00E24985">
      <w:pPr>
        <w:pStyle w:val="Heading3"/>
      </w:pPr>
      <w:bookmarkStart w:id="142" w:name="_Toc21354805"/>
      <w:bookmarkStart w:id="143" w:name="_Toc33202298"/>
      <w:r>
        <w:t>Coupe infrastructure</w:t>
      </w:r>
      <w:bookmarkEnd w:id="142"/>
      <w:bookmarkEnd w:id="143"/>
    </w:p>
    <w:p w14:paraId="5B3149DD" w14:textId="77777777" w:rsidR="00E24985" w:rsidRDefault="00E24985" w:rsidP="00E24985">
      <w:pPr>
        <w:pStyle w:val="Para0"/>
      </w:pPr>
      <w:r>
        <w:t>The location and construction of coupe infrastructure has not been within the scope of recent audits conducted by this audit team (i.e. Jacobs 2018a; 2018b). Several non-conformance issues were repeatedly observed in this audit that should be addressed by VicForests, namely:</w:t>
      </w:r>
    </w:p>
    <w:p w14:paraId="0CEB8C57" w14:textId="03C9E116" w:rsidR="00E24985" w:rsidRPr="00103D5F" w:rsidRDefault="00E24985" w:rsidP="00E24985">
      <w:pPr>
        <w:pStyle w:val="Para0bullet"/>
        <w:rPr>
          <w:i/>
        </w:rPr>
      </w:pPr>
      <w:r w:rsidRPr="00A84B5E">
        <w:rPr>
          <w:i/>
        </w:rPr>
        <w:t>Drainage spacing</w:t>
      </w:r>
      <w:r>
        <w:rPr>
          <w:i/>
        </w:rPr>
        <w:t xml:space="preserve">: </w:t>
      </w:r>
      <w:r>
        <w:t xml:space="preserve">numerous instances were observed in this audit of snig and boundary tracks being closed without effective drainage features (typically outsloping or ‘bar and breach’ cross drains) being </w:t>
      </w:r>
      <w:r>
        <w:lastRenderedPageBreak/>
        <w:t xml:space="preserve">constructed at intervals consistent with VicForests </w:t>
      </w:r>
      <w:r>
        <w:rPr>
          <w:i/>
        </w:rPr>
        <w:t>Utilisation Procedures</w:t>
      </w:r>
      <w:r w:rsidR="007E0985">
        <w:rPr>
          <w:rFonts w:ascii="ZWAdobeF" w:hAnsi="ZWAdobeF" w:cs="ZWAdobeF"/>
          <w:sz w:val="2"/>
          <w:szCs w:val="2"/>
        </w:rPr>
        <w:t>22F</w:t>
      </w:r>
      <w:r>
        <w:rPr>
          <w:rStyle w:val="FootnoteReference"/>
          <w:i/>
        </w:rPr>
        <w:footnoteReference w:id="23"/>
      </w:r>
      <w:r>
        <w:rPr>
          <w:i/>
          <w:vertAlign w:val="superscript"/>
        </w:rPr>
        <w:t xml:space="preserve"> </w:t>
      </w:r>
      <w:r w:rsidRPr="00726163">
        <w:t>(UPs)</w:t>
      </w:r>
      <w:r>
        <w:rPr>
          <w:i/>
        </w:rPr>
        <w:t xml:space="preserve">. </w:t>
      </w:r>
      <w:r>
        <w:t xml:space="preserve">Only instances where drainage features were more widely-spaced than specified in the UPs were assessed as non-conformances (14 coupes; </w:t>
      </w:r>
      <w:r>
        <w:fldChar w:fldCharType="begin" w:fldLock="1"/>
      </w:r>
      <w:r>
        <w:instrText xml:space="preserve"> REF _Ref18353094 \h </w:instrText>
      </w:r>
      <w:r>
        <w:fldChar w:fldCharType="separate"/>
      </w:r>
      <w:r w:rsidR="005544E2">
        <w:t xml:space="preserve">Table </w:t>
      </w:r>
      <w:r w:rsidR="005544E2">
        <w:rPr>
          <w:noProof/>
        </w:rPr>
        <w:t>5</w:t>
      </w:r>
      <w:r w:rsidR="005544E2">
        <w:t>.</w:t>
      </w:r>
      <w:r w:rsidR="005544E2">
        <w:rPr>
          <w:noProof/>
        </w:rPr>
        <w:t>1</w:t>
      </w:r>
      <w:r>
        <w:fldChar w:fldCharType="end"/>
      </w:r>
      <w:r>
        <w:t>). Potential EI associated with these non-</w:t>
      </w:r>
      <w:r w:rsidRPr="00103D5F">
        <w:t>conformances</w:t>
      </w:r>
      <w:r>
        <w:t xml:space="preserve"> was generally low (minor or less), with the snig tracks typically being located away from sensitive environments and the excess distance between drainage structures being relatively small.</w:t>
      </w:r>
    </w:p>
    <w:p w14:paraId="43738C0B" w14:textId="77777777" w:rsidR="00E24985" w:rsidRPr="00A84B5E" w:rsidRDefault="00E24985" w:rsidP="00E24985">
      <w:pPr>
        <w:pStyle w:val="Para0bullet"/>
        <w:numPr>
          <w:ilvl w:val="0"/>
          <w:numId w:val="0"/>
        </w:numPr>
        <w:ind w:left="425"/>
        <w:rPr>
          <w:i/>
        </w:rPr>
      </w:pPr>
      <w:r>
        <w:t xml:space="preserve">The spacing between drainage structures along some snig tracks was considered by the auditors to be unnecessarily small and the level of disturbance to the coupe from drainage structure construction excessive. </w:t>
      </w:r>
    </w:p>
    <w:p w14:paraId="42D062CE" w14:textId="7C9BB4E8" w:rsidR="00E24985" w:rsidRPr="00103D5F" w:rsidRDefault="00E24985" w:rsidP="00E24985">
      <w:pPr>
        <w:pStyle w:val="Para0bullet"/>
        <w:rPr>
          <w:i/>
        </w:rPr>
      </w:pPr>
      <w:r w:rsidRPr="00A84B5E">
        <w:rPr>
          <w:i/>
        </w:rPr>
        <w:t xml:space="preserve">Construction of snig tracks </w:t>
      </w:r>
      <w:r>
        <w:rPr>
          <w:i/>
        </w:rPr>
        <w:t xml:space="preserve">through waterways: </w:t>
      </w:r>
      <w:r>
        <w:t xml:space="preserve">the MSPs specify that machinery is to be excluded from waterway buffers and filters (7.1.3.2 and 7.1.4.1, respectively), except during the construction of a sanctioned stream crossing or use of an established crossing. This applies to in-coupe roads, as well as to snig and boundary tracks (MSP 7.2.1.1, 7.2.3.1). Several instances were observed in this audit of snig tracks being constructed across temporary stream and drainage line filters or buffers. In some cases (generally for temporary streams), there was no reasonably practicable alternative to construction and use of these crossings and these were marked on the coupe plan. In other instances (3 coupes, </w:t>
      </w:r>
      <w:r>
        <w:fldChar w:fldCharType="begin" w:fldLock="1"/>
      </w:r>
      <w:r>
        <w:instrText xml:space="preserve"> REF _Ref18353094 \h </w:instrText>
      </w:r>
      <w:r>
        <w:fldChar w:fldCharType="separate"/>
      </w:r>
      <w:r w:rsidR="005544E2">
        <w:t xml:space="preserve">Table </w:t>
      </w:r>
      <w:r w:rsidR="005544E2">
        <w:rPr>
          <w:noProof/>
        </w:rPr>
        <w:t>5</w:t>
      </w:r>
      <w:r w:rsidR="005544E2">
        <w:t>.</w:t>
      </w:r>
      <w:r w:rsidR="005544E2">
        <w:rPr>
          <w:noProof/>
        </w:rPr>
        <w:t>1</w:t>
      </w:r>
      <w:r>
        <w:fldChar w:fldCharType="end"/>
      </w:r>
      <w:r>
        <w:t>), snig tracks were either constructed along (#7 The Wolfman) or across (e.g. 18 Mulloway) drainage line filters without apparent consideration of drainage construction or the use of alternative snig track routes (</w:t>
      </w:r>
      <w:r>
        <w:fldChar w:fldCharType="begin" w:fldLock="1"/>
      </w:r>
      <w:r>
        <w:instrText xml:space="preserve"> REF _Ref20924366 \h </w:instrText>
      </w:r>
      <w:r>
        <w:fldChar w:fldCharType="separate"/>
      </w:r>
      <w:r w:rsidR="005544E2" w:rsidRPr="009038E7">
        <w:t xml:space="preserve">Figure </w:t>
      </w:r>
      <w:r w:rsidR="005544E2">
        <w:rPr>
          <w:noProof/>
        </w:rPr>
        <w:t>5</w:t>
      </w:r>
      <w:r w:rsidR="005544E2" w:rsidRPr="009038E7">
        <w:t>.</w:t>
      </w:r>
      <w:r w:rsidR="005544E2">
        <w:rPr>
          <w:noProof/>
        </w:rPr>
        <w:t>2</w:t>
      </w:r>
      <w:r>
        <w:fldChar w:fldCharType="end"/>
      </w:r>
      <w:r>
        <w:t xml:space="preserve">). </w:t>
      </w:r>
    </w:p>
    <w:p w14:paraId="4F6B4663" w14:textId="562DB57D" w:rsidR="00E24985" w:rsidRDefault="00E24985" w:rsidP="00E24985">
      <w:pPr>
        <w:pStyle w:val="Para0bullet"/>
        <w:numPr>
          <w:ilvl w:val="0"/>
          <w:numId w:val="0"/>
        </w:numPr>
        <w:ind w:left="425"/>
      </w:pPr>
      <w:r>
        <w:t>Non-conformances of these types were assessed to have greater potential EI than those relating to drainage structure spacing, due to the greater sensitivity of locations in which they were observed. Although they were identified along drainage lines which only carry water infrequently, there is potential for sediment to be mobilised to at least a temporary stream during an extreme rainfall event.</w:t>
      </w:r>
    </w:p>
    <w:tbl>
      <w:tblPr>
        <w:tblStyle w:val="Table1"/>
        <w:tblW w:w="10071"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1"/>
        <w:gridCol w:w="5220"/>
      </w:tblGrid>
      <w:tr w:rsidR="00E24985" w14:paraId="581959A3" w14:textId="77777777" w:rsidTr="00A113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1" w:type="dxa"/>
            <w:gridSpan w:val="2"/>
            <w:shd w:val="clear" w:color="auto" w:fill="auto"/>
          </w:tcPr>
          <w:p w14:paraId="61781DBA" w14:textId="77777777" w:rsidR="00E24985" w:rsidRDefault="00E24985" w:rsidP="00E24985">
            <w:pPr>
              <w:pStyle w:val="Tablesmalltext"/>
            </w:pPr>
            <w:r>
              <w:rPr>
                <w:noProof/>
              </w:rPr>
              <w:drawing>
                <wp:inline distT="0" distB="0" distL="0" distR="0" wp14:anchorId="3D5BFB15" wp14:editId="0CBC2F85">
                  <wp:extent cx="6257925" cy="2457138"/>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272263" cy="2462768"/>
                          </a:xfrm>
                          <a:prstGeom prst="rect">
                            <a:avLst/>
                          </a:prstGeom>
                          <a:noFill/>
                        </pic:spPr>
                      </pic:pic>
                    </a:graphicData>
                  </a:graphic>
                </wp:inline>
              </w:drawing>
            </w:r>
          </w:p>
        </w:tc>
      </w:tr>
      <w:tr w:rsidR="00E24985" w14:paraId="7181AE81" w14:textId="77777777" w:rsidTr="00A113E1">
        <w:tc>
          <w:tcPr>
            <w:cnfStyle w:val="001000000000" w:firstRow="0" w:lastRow="0" w:firstColumn="1" w:lastColumn="0" w:oddVBand="0" w:evenVBand="0" w:oddHBand="0" w:evenHBand="0" w:firstRowFirstColumn="0" w:firstRowLastColumn="0" w:lastRowFirstColumn="0" w:lastRowLastColumn="0"/>
            <w:tcW w:w="4851" w:type="dxa"/>
            <w:shd w:val="clear" w:color="auto" w:fill="auto"/>
          </w:tcPr>
          <w:p w14:paraId="5F909FB9" w14:textId="6058207D" w:rsidR="00E24985" w:rsidRPr="00AE50C0" w:rsidRDefault="00E24985" w:rsidP="00E24985">
            <w:pPr>
              <w:pStyle w:val="Tablesmalltext"/>
              <w:rPr>
                <w:b/>
              </w:rPr>
            </w:pPr>
            <w:r w:rsidRPr="00AE50C0">
              <w:rPr>
                <w:b/>
              </w:rPr>
              <w:t xml:space="preserve">a) </w:t>
            </w:r>
            <w:r>
              <w:rPr>
                <w:b/>
              </w:rPr>
              <w:t>18 Mulloway: snig track constructed across drainage line filter without effective drainage `line filter</w:t>
            </w:r>
          </w:p>
        </w:tc>
        <w:tc>
          <w:tcPr>
            <w:tcW w:w="5220" w:type="dxa"/>
            <w:shd w:val="clear" w:color="auto" w:fill="auto"/>
          </w:tcPr>
          <w:p w14:paraId="4A4C706C" w14:textId="3B928774" w:rsidR="00E24985" w:rsidRPr="00AE50C0" w:rsidRDefault="00E24985" w:rsidP="00E24985">
            <w:pPr>
              <w:pStyle w:val="Tablesmalltext"/>
              <w:cnfStyle w:val="000000000000" w:firstRow="0" w:lastRow="0" w:firstColumn="0" w:lastColumn="0" w:oddVBand="0" w:evenVBand="0" w:oddHBand="0" w:evenHBand="0" w:firstRowFirstColumn="0" w:firstRowLastColumn="0" w:lastRowFirstColumn="0" w:lastRowLastColumn="0"/>
              <w:rPr>
                <w:b/>
              </w:rPr>
            </w:pPr>
            <w:r w:rsidRPr="00AE50C0">
              <w:rPr>
                <w:b/>
              </w:rPr>
              <w:t xml:space="preserve">b) </w:t>
            </w:r>
            <w:r w:rsidR="00F737DA">
              <w:rPr>
                <w:b/>
              </w:rPr>
              <w:t>7 The Wolfman</w:t>
            </w:r>
            <w:r>
              <w:rPr>
                <w:b/>
              </w:rPr>
              <w:t>: snig track constructed across drainage line filter without effective drainage</w:t>
            </w:r>
          </w:p>
        </w:tc>
      </w:tr>
    </w:tbl>
    <w:p w14:paraId="171091D0" w14:textId="209DB39A" w:rsidR="00E24985" w:rsidRDefault="00E24985" w:rsidP="00E24985">
      <w:pPr>
        <w:pStyle w:val="Caption"/>
        <w:spacing w:before="120"/>
      </w:pPr>
      <w:bookmarkStart w:id="144" w:name="_Ref20924366"/>
      <w:r w:rsidRPr="009038E7">
        <w:t xml:space="preserve">Figure </w:t>
      </w:r>
      <w:r w:rsidR="0013561C">
        <w:fldChar w:fldCharType="begin" w:fldLock="1"/>
      </w:r>
      <w:r w:rsidR="0013561C">
        <w:instrText xml:space="preserve"> STYLEREF 1 \s </w:instrText>
      </w:r>
      <w:r w:rsidR="0013561C">
        <w:fldChar w:fldCharType="separate"/>
      </w:r>
      <w:r w:rsidR="005544E2">
        <w:rPr>
          <w:noProof/>
        </w:rPr>
        <w:t>5</w:t>
      </w:r>
      <w:r w:rsidR="0013561C">
        <w:rPr>
          <w:noProof/>
        </w:rPr>
        <w:fldChar w:fldCharType="end"/>
      </w:r>
      <w:r w:rsidRPr="009038E7">
        <w:t>.</w:t>
      </w:r>
      <w:r w:rsidR="0013561C">
        <w:fldChar w:fldCharType="begin"/>
      </w:r>
      <w:r w:rsidR="0013561C">
        <w:instrText xml:space="preserve"> SEQ Figure \* ARABIC \s 1 </w:instrText>
      </w:r>
      <w:r w:rsidR="0013561C">
        <w:fldChar w:fldCharType="separate"/>
      </w:r>
      <w:r w:rsidR="007E0985">
        <w:rPr>
          <w:noProof/>
        </w:rPr>
        <w:t>2</w:t>
      </w:r>
      <w:r w:rsidR="0013561C">
        <w:rPr>
          <w:noProof/>
        </w:rPr>
        <w:fldChar w:fldCharType="end"/>
      </w:r>
      <w:bookmarkEnd w:id="144"/>
      <w:r w:rsidRPr="009038E7">
        <w:t xml:space="preserve">: </w:t>
      </w:r>
      <w:r>
        <w:t>Examples of snig tracks constructed along or across drainage line filters, without apparent authorisation and not in conformance with the Code and MSPs</w:t>
      </w:r>
    </w:p>
    <w:p w14:paraId="5CB6A331" w14:textId="1424D297" w:rsidR="00A113E1" w:rsidRPr="00F94A5F" w:rsidRDefault="00A113E1" w:rsidP="00A113E1">
      <w:pPr>
        <w:pStyle w:val="Para0bullet"/>
        <w:rPr>
          <w:i/>
        </w:rPr>
      </w:pPr>
      <w:r w:rsidRPr="00A84B5E">
        <w:rPr>
          <w:i/>
        </w:rPr>
        <w:t>Construction of tracks in SPZ</w:t>
      </w:r>
      <w:r>
        <w:rPr>
          <w:i/>
        </w:rPr>
        <w:t xml:space="preserve">: </w:t>
      </w:r>
      <w:r>
        <w:t xml:space="preserve">three instances were observed in this audit of tracks being constructed into SPZ or other buffer areas that were not intended to be harvested or disturbed by harvest-related activity. In one case (14 Fairway, </w:t>
      </w:r>
      <w:r>
        <w:fldChar w:fldCharType="begin" w:fldLock="1"/>
      </w:r>
      <w:r>
        <w:instrText xml:space="preserve"> REF _Ref21350254 \h </w:instrText>
      </w:r>
      <w:r>
        <w:fldChar w:fldCharType="separate"/>
      </w:r>
      <w:r w:rsidR="005544E2" w:rsidRPr="009038E7">
        <w:t xml:space="preserve">Figure </w:t>
      </w:r>
      <w:r w:rsidR="005544E2">
        <w:rPr>
          <w:noProof/>
        </w:rPr>
        <w:t>5</w:t>
      </w:r>
      <w:r w:rsidR="005544E2" w:rsidRPr="009038E7">
        <w:t>.</w:t>
      </w:r>
      <w:r w:rsidR="005544E2">
        <w:rPr>
          <w:noProof/>
        </w:rPr>
        <w:t>3</w:t>
      </w:r>
      <w:r>
        <w:fldChar w:fldCharType="end"/>
      </w:r>
      <w:r>
        <w:t xml:space="preserve">), the track appears to have been constructed to help contain the </w:t>
      </w:r>
      <w:r>
        <w:lastRenderedPageBreak/>
        <w:t>regeneration burn</w:t>
      </w:r>
      <w:r w:rsidR="007E0985">
        <w:rPr>
          <w:rFonts w:ascii="ZWAdobeF" w:hAnsi="ZWAdobeF" w:cs="ZWAdobeF"/>
          <w:sz w:val="2"/>
          <w:szCs w:val="2"/>
        </w:rPr>
        <w:t>23F</w:t>
      </w:r>
      <w:r>
        <w:rPr>
          <w:rStyle w:val="FootnoteReference"/>
        </w:rPr>
        <w:footnoteReference w:id="24"/>
      </w:r>
      <w:r>
        <w:t>. The environmental sensitivity of the areas into which the tracks were constructed contributed to the high potential EI values that were assessed (up to major).</w:t>
      </w:r>
    </w:p>
    <w:p w14:paraId="60CCCB31" w14:textId="659F8676" w:rsidR="00A113E1" w:rsidRPr="00A113E1" w:rsidRDefault="00A113E1" w:rsidP="00A113E1">
      <w:pPr>
        <w:pStyle w:val="Para1"/>
      </w:pPr>
      <w:r>
        <w:t>While each of the non-conformances seemed to be random and unrelated events, they reflect a concerning lapse in attention by the parties involved (VicForests or its contractors).</w:t>
      </w:r>
    </w:p>
    <w:tbl>
      <w:tblPr>
        <w:tblStyle w:val="Table1"/>
        <w:tblW w:w="1011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16"/>
      </w:tblGrid>
      <w:tr w:rsidR="00E24985" w14:paraId="7741B5FC" w14:textId="77777777" w:rsidTr="00384C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16" w:type="dxa"/>
            <w:shd w:val="clear" w:color="auto" w:fill="auto"/>
          </w:tcPr>
          <w:p w14:paraId="3842D713" w14:textId="77777777" w:rsidR="00E24985" w:rsidRDefault="00E24985" w:rsidP="00E24985">
            <w:pPr>
              <w:pStyle w:val="Para0bullet"/>
              <w:numPr>
                <w:ilvl w:val="0"/>
                <w:numId w:val="0"/>
              </w:numPr>
            </w:pPr>
            <w:r>
              <w:rPr>
                <w:noProof/>
              </w:rPr>
              <w:drawing>
                <wp:inline distT="0" distB="0" distL="0" distR="0" wp14:anchorId="2A77C175" wp14:editId="4F456B90">
                  <wp:extent cx="6286500" cy="20783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295913" cy="2081468"/>
                          </a:xfrm>
                          <a:prstGeom prst="rect">
                            <a:avLst/>
                          </a:prstGeom>
                          <a:noFill/>
                        </pic:spPr>
                      </pic:pic>
                    </a:graphicData>
                  </a:graphic>
                </wp:inline>
              </w:drawing>
            </w:r>
          </w:p>
        </w:tc>
      </w:tr>
    </w:tbl>
    <w:p w14:paraId="2EEF8CB1" w14:textId="2F4E359D" w:rsidR="00E24985" w:rsidRPr="00AE50C0" w:rsidRDefault="00E24985" w:rsidP="00384C00">
      <w:pPr>
        <w:pStyle w:val="Caption"/>
        <w:keepNext w:val="0"/>
        <w:spacing w:before="120"/>
      </w:pPr>
      <w:bookmarkStart w:id="145" w:name="_Ref21350254"/>
      <w:r w:rsidRPr="009038E7">
        <w:t xml:space="preserve">Figure </w:t>
      </w:r>
      <w:r w:rsidR="0013561C">
        <w:fldChar w:fldCharType="begin" w:fldLock="1"/>
      </w:r>
      <w:r w:rsidR="0013561C">
        <w:instrText xml:space="preserve"> STYLEREF 1 \s </w:instrText>
      </w:r>
      <w:r w:rsidR="0013561C">
        <w:fldChar w:fldCharType="separate"/>
      </w:r>
      <w:r w:rsidR="005544E2">
        <w:rPr>
          <w:noProof/>
        </w:rPr>
        <w:t>5</w:t>
      </w:r>
      <w:r w:rsidR="0013561C">
        <w:rPr>
          <w:noProof/>
        </w:rPr>
        <w:fldChar w:fldCharType="end"/>
      </w:r>
      <w:r w:rsidRPr="009038E7">
        <w:t>.</w:t>
      </w:r>
      <w:r w:rsidR="0013561C">
        <w:fldChar w:fldCharType="begin"/>
      </w:r>
      <w:r w:rsidR="0013561C">
        <w:instrText xml:space="preserve"> SEQ Figure \* ARABIC \s 1 </w:instrText>
      </w:r>
      <w:r w:rsidR="0013561C">
        <w:fldChar w:fldCharType="separate"/>
      </w:r>
      <w:r w:rsidR="007E0985">
        <w:rPr>
          <w:noProof/>
        </w:rPr>
        <w:t>3</w:t>
      </w:r>
      <w:r w:rsidR="0013561C">
        <w:rPr>
          <w:noProof/>
        </w:rPr>
        <w:fldChar w:fldCharType="end"/>
      </w:r>
      <w:bookmarkEnd w:id="145"/>
      <w:r w:rsidRPr="009038E7">
        <w:t xml:space="preserve">: </w:t>
      </w:r>
      <w:r>
        <w:t>Track constructed into SPZ adjacent to 14 Fairway. Both images show that trees have been pushed into the SPZ during track construction. The yellow arrow points to tape marking the coupe boundary.</w:t>
      </w:r>
    </w:p>
    <w:tbl>
      <w:tblPr>
        <w:tblStyle w:val="TableGrid"/>
        <w:tblW w:w="4963" w:type="pct"/>
        <w:tblInd w:w="85" w:type="dxa"/>
        <w:tblLook w:val="04A0" w:firstRow="1" w:lastRow="0" w:firstColumn="1" w:lastColumn="0" w:noHBand="0" w:noVBand="1"/>
      </w:tblPr>
      <w:tblGrid>
        <w:gridCol w:w="9534"/>
      </w:tblGrid>
      <w:tr w:rsidR="00E24985" w14:paraId="79503FE7" w14:textId="77777777" w:rsidTr="00D27DDC">
        <w:tc>
          <w:tcPr>
            <w:tcW w:w="5000" w:type="pct"/>
            <w:shd w:val="clear" w:color="auto" w:fill="FFD8A1" w:themeFill="accent4" w:themeFillTint="66"/>
          </w:tcPr>
          <w:p w14:paraId="36F53DCA" w14:textId="64829FA0" w:rsidR="00E24985" w:rsidRDefault="00E24985" w:rsidP="00E24985">
            <w:pPr>
              <w:pStyle w:val="Tablesmalltext"/>
            </w:pPr>
            <w:r>
              <w:t>Recommendation V-0</w:t>
            </w:r>
            <w:r w:rsidR="002B0FD4">
              <w:t>2</w:t>
            </w:r>
            <w:r>
              <w:t xml:space="preserve"> Medium priority</w:t>
            </w:r>
          </w:p>
        </w:tc>
      </w:tr>
      <w:tr w:rsidR="00E24985" w14:paraId="0A2E6CD8" w14:textId="77777777" w:rsidTr="00E24985">
        <w:tc>
          <w:tcPr>
            <w:tcW w:w="5000" w:type="pct"/>
          </w:tcPr>
          <w:p w14:paraId="16B072BD" w14:textId="77777777" w:rsidR="00E24985" w:rsidRDefault="00E24985" w:rsidP="00E24985">
            <w:pPr>
              <w:pStyle w:val="Tablesmalltext"/>
            </w:pPr>
            <w:r>
              <w:t>That VicForests continue to work with its contractors to ensure that appropriately-spaced drainage structures are constructed on all snig tracks. This means not exceeding the spacings specified in the UPs and not having structures that are unnecessarily close and/or disproportionately large.</w:t>
            </w:r>
          </w:p>
        </w:tc>
      </w:tr>
      <w:tr w:rsidR="00E24985" w14:paraId="02173C2B" w14:textId="77777777" w:rsidTr="00D27DDC">
        <w:tc>
          <w:tcPr>
            <w:tcW w:w="5000" w:type="pct"/>
            <w:shd w:val="clear" w:color="auto" w:fill="F7D4DB" w:themeFill="accent3" w:themeFillTint="33"/>
          </w:tcPr>
          <w:p w14:paraId="32124614" w14:textId="0D7C53B0" w:rsidR="00E24985" w:rsidRDefault="00E24985" w:rsidP="00E24985">
            <w:pPr>
              <w:pStyle w:val="Tablesmalltext"/>
            </w:pPr>
            <w:r>
              <w:t>Recommendation V-0</w:t>
            </w:r>
            <w:r w:rsidR="002B0FD4">
              <w:t>3</w:t>
            </w:r>
            <w:r>
              <w:t xml:space="preserve"> High priority</w:t>
            </w:r>
          </w:p>
        </w:tc>
      </w:tr>
      <w:tr w:rsidR="00E24985" w14:paraId="5996EC0A" w14:textId="77777777" w:rsidTr="00E24985">
        <w:tc>
          <w:tcPr>
            <w:tcW w:w="5000" w:type="pct"/>
          </w:tcPr>
          <w:p w14:paraId="506BFB5D" w14:textId="77777777" w:rsidR="00E24985" w:rsidRDefault="00E24985" w:rsidP="00E24985">
            <w:pPr>
              <w:pStyle w:val="Tablesmalltext"/>
            </w:pPr>
            <w:r>
              <w:t xml:space="preserve">That VicForests work with its contractors to minimise disturbances of riparian buffers and filters by snig tracks. Where it is reasonably practicable to do so, snig track crossings of drainage lines and temporary streams should be avoided. Where crossings are necessary, appropriate drainage should be constructed and crossings should be appropriately rehabilitated once the snig track is no longer required. </w:t>
            </w:r>
          </w:p>
        </w:tc>
      </w:tr>
    </w:tbl>
    <w:p w14:paraId="0DEA1088" w14:textId="77777777" w:rsidR="00E24985" w:rsidRDefault="00E24985" w:rsidP="00E24985">
      <w:pPr>
        <w:pStyle w:val="Heading3"/>
      </w:pPr>
      <w:bookmarkStart w:id="146" w:name="_Toc21354806"/>
      <w:bookmarkStart w:id="147" w:name="_Toc33202299"/>
      <w:r>
        <w:t>Biosecurity</w:t>
      </w:r>
      <w:bookmarkEnd w:id="146"/>
      <w:bookmarkEnd w:id="147"/>
    </w:p>
    <w:p w14:paraId="6788DD2A" w14:textId="38089D8B" w:rsidR="00E24985" w:rsidRDefault="00E24985" w:rsidP="00E24985">
      <w:pPr>
        <w:pStyle w:val="Para0"/>
      </w:pPr>
      <w:r>
        <w:t>The 2016-17 FAP audit report (Jacobs 2018a) included discussion of Code mandatory actions in relation to biosecurity issues</w:t>
      </w:r>
      <w:r w:rsidR="00BC5E8A">
        <w:t>, particularly</w:t>
      </w:r>
      <w:r>
        <w:t xml:space="preserve"> pests, weeds and diseases. That discussion referenced earlier audit findings (URS 2015) of systematic non-conformance in relation to the </w:t>
      </w:r>
      <w:r w:rsidRPr="00902130">
        <w:t xml:space="preserve">prevention of </w:t>
      </w:r>
      <w:r w:rsidRPr="00902130">
        <w:rPr>
          <w:i/>
        </w:rPr>
        <w:t>Phytophthora cinnamomi</w:t>
      </w:r>
      <w:r w:rsidRPr="00902130">
        <w:t xml:space="preserve"> introduction via infected quarry materials</w:t>
      </w:r>
      <w:r>
        <w:t>. Jacobs (2018a) suggested three improvements to Code or MSP provisions for the management of biosecurity risks:</w:t>
      </w:r>
    </w:p>
    <w:p w14:paraId="08997119" w14:textId="77777777" w:rsidR="00E24985" w:rsidRDefault="00E24985" w:rsidP="00E24985">
      <w:pPr>
        <w:pStyle w:val="Para0bullet"/>
      </w:pPr>
      <w:r w:rsidRPr="002C2638">
        <w:rPr>
          <w:i/>
        </w:rPr>
        <w:t>Wash down:</w:t>
      </w:r>
      <w:r>
        <w:t xml:space="preserve"> of harvesting and road construction machinery prior to relocation to a new coupe, or at least forest area</w:t>
      </w:r>
    </w:p>
    <w:p w14:paraId="01948196" w14:textId="26AF42F9" w:rsidR="00E24985" w:rsidRDefault="00E24985" w:rsidP="00E24985">
      <w:pPr>
        <w:pStyle w:val="Para0bullet"/>
      </w:pPr>
      <w:r w:rsidRPr="002C2638">
        <w:rPr>
          <w:i/>
        </w:rPr>
        <w:t>Monitoring of disease status:</w:t>
      </w:r>
      <w:r>
        <w:t xml:space="preserve"> quarries from which materials are sourced for forest road construction should be checked annually by a competent, independent party to confirm disease and weed-free status</w:t>
      </w:r>
    </w:p>
    <w:p w14:paraId="393BFF21" w14:textId="77777777" w:rsidR="00E24985" w:rsidRDefault="00E24985" w:rsidP="00E24985">
      <w:pPr>
        <w:pStyle w:val="Para0bullet"/>
      </w:pPr>
      <w:r w:rsidRPr="002C2638">
        <w:rPr>
          <w:i/>
        </w:rPr>
        <w:t>Treatment:</w:t>
      </w:r>
      <w:r>
        <w:t xml:space="preserve"> gravel obtained from quarries which are not confirmed as weed and disease free should be treated to mitigate any weed or disease threat prior to use within a harvest coupe.</w:t>
      </w:r>
    </w:p>
    <w:p w14:paraId="4DB77233" w14:textId="59A7F783" w:rsidR="00E24985" w:rsidRDefault="00BC5E8A" w:rsidP="00E24985">
      <w:pPr>
        <w:pStyle w:val="Para0"/>
      </w:pPr>
      <w:r>
        <w:lastRenderedPageBreak/>
        <w:t>W</w:t>
      </w:r>
      <w:r w:rsidR="00E24985">
        <w:t>ash down of harvesting machinery is routine practice for VicForests (as per its UPs; VicForests, 2017)</w:t>
      </w:r>
      <w:r>
        <w:t xml:space="preserve"> but </w:t>
      </w:r>
      <w:r w:rsidR="00BE3102">
        <w:t xml:space="preserve">is not necessarily </w:t>
      </w:r>
      <w:r w:rsidR="00E24985">
        <w:t>routinely record</w:t>
      </w:r>
      <w:r w:rsidR="00BE3102">
        <w:t>ed in the coupe file</w:t>
      </w:r>
      <w:r w:rsidR="00E24985">
        <w:t xml:space="preserve">. Furthermore, there is no routine recording in the coupe file of the disease (free) status of quarries used to supply road materials. In both matters, the coupe files do not </w:t>
      </w:r>
      <w:r w:rsidR="00BE3102">
        <w:t xml:space="preserve">necessarily </w:t>
      </w:r>
      <w:r w:rsidR="00E24985">
        <w:t>provide evidence of conformance with applicable Code and MSP requirements and that biosecurity risks associated with machinery and importation of gravel have been appropriately addressed. In this audit, the lack of evidence that these risks were appropriately managed resulted in assessments of non-conformance without potential EI</w:t>
      </w:r>
      <w:r w:rsidR="007E0985">
        <w:rPr>
          <w:rFonts w:ascii="ZWAdobeF" w:hAnsi="ZWAdobeF" w:cs="ZWAdobeF"/>
          <w:sz w:val="2"/>
          <w:szCs w:val="2"/>
        </w:rPr>
        <w:t>24F</w:t>
      </w:r>
      <w:r w:rsidR="00E24985">
        <w:rPr>
          <w:rStyle w:val="FootnoteReference"/>
        </w:rPr>
        <w:footnoteReference w:id="25"/>
      </w:r>
      <w:r w:rsidR="00E24985">
        <w:t xml:space="preserve"> (as per the definitions in </w:t>
      </w:r>
      <w:r w:rsidR="00E24985">
        <w:fldChar w:fldCharType="begin" w:fldLock="1"/>
      </w:r>
      <w:r w:rsidR="00E24985">
        <w:instrText xml:space="preserve"> REF _Ref523302686 \h </w:instrText>
      </w:r>
      <w:r w:rsidR="00E24985">
        <w:fldChar w:fldCharType="separate"/>
      </w:r>
      <w:r w:rsidR="005544E2">
        <w:t xml:space="preserve">Table </w:t>
      </w:r>
      <w:r w:rsidR="005544E2">
        <w:rPr>
          <w:noProof/>
        </w:rPr>
        <w:t>3</w:t>
      </w:r>
      <w:r w:rsidR="005544E2">
        <w:t>.</w:t>
      </w:r>
      <w:r w:rsidR="005544E2">
        <w:rPr>
          <w:noProof/>
        </w:rPr>
        <w:t>4</w:t>
      </w:r>
      <w:r w:rsidR="00E24985">
        <w:fldChar w:fldCharType="end"/>
      </w:r>
      <w:r w:rsidR="00E24985">
        <w:t>).</w:t>
      </w:r>
    </w:p>
    <w:p w14:paraId="11A4F256" w14:textId="77777777" w:rsidR="00E24985" w:rsidRDefault="00E24985" w:rsidP="00E24985">
      <w:pPr>
        <w:pStyle w:val="Para0"/>
      </w:pPr>
      <w:r>
        <w:t xml:space="preserve">A similar lack of evidence was observed that the MSP requirement (4.5.1.2) to minimise the risk of Myrtle Wilt infestations in areas with Myrtle Beech had been conformed with. This again resulted in this audit in assessments of non-conformance without potential EI. </w:t>
      </w:r>
    </w:p>
    <w:p w14:paraId="7FF17E9E" w14:textId="41BA710F" w:rsidR="00E24985" w:rsidRDefault="00E24985" w:rsidP="00E24985">
      <w:pPr>
        <w:pStyle w:val="Para0"/>
      </w:pPr>
      <w:r>
        <w:t xml:space="preserve">The MSPs also require pre and post-harvest assessments of weed infestations (4.5.1.3). Some coupe files included the results of weed assessments, but many did not. </w:t>
      </w:r>
      <w:r w:rsidR="00520755">
        <w:t xml:space="preserve">When asked, VicForests were able to provide records from coupe reconnaissance to indicate that </w:t>
      </w:r>
      <w:r>
        <w:t>the assessments were undertaken</w:t>
      </w:r>
      <w:r w:rsidR="00520755">
        <w:t xml:space="preserve"> and hence no non-conformances were assessed</w:t>
      </w:r>
      <w:r>
        <w:t xml:space="preserve">. Post-harvest weed assessments are normally undertaken during regeneration surveys. </w:t>
      </w:r>
      <w:r w:rsidR="00520755">
        <w:t xml:space="preserve">VicForests were able to provide </w:t>
      </w:r>
      <w:r>
        <w:t>record</w:t>
      </w:r>
      <w:r w:rsidR="00520755">
        <w:t>s</w:t>
      </w:r>
      <w:r>
        <w:t xml:space="preserve"> of weed assessment results, </w:t>
      </w:r>
      <w:r w:rsidR="00520755">
        <w:t>where these were not held in the coupe file.</w:t>
      </w:r>
    </w:p>
    <w:p w14:paraId="6E936822" w14:textId="76E09175" w:rsidR="00E24985" w:rsidRDefault="00E24985" w:rsidP="00E24985">
      <w:pPr>
        <w:pStyle w:val="Para0"/>
      </w:pPr>
      <w:r>
        <w:t xml:space="preserve">VicForests treatment of biosecurity risks during coupe planning and operations </w:t>
      </w:r>
      <w:r w:rsidR="00520755">
        <w:t>is</w:t>
      </w:r>
      <w:r>
        <w:t xml:space="preserve"> not nearly as transparent or auditable as its treatment of risks to soil, catchment or biodiversity values. Section 5 of the FCPs (and some other records in paper coupe files) hold specific records of how the latter are addressed</w:t>
      </w:r>
      <w:r w:rsidR="00520755">
        <w:t xml:space="preserve">, but there is no corresponding section to demonstrate that biosecurity </w:t>
      </w:r>
      <w:r>
        <w:t>risks are actually being managed in conformance with the regulatory framework.</w:t>
      </w:r>
    </w:p>
    <w:tbl>
      <w:tblPr>
        <w:tblStyle w:val="TableGrid"/>
        <w:tblW w:w="4963" w:type="pct"/>
        <w:tblInd w:w="85" w:type="dxa"/>
        <w:tblLook w:val="04A0" w:firstRow="1" w:lastRow="0" w:firstColumn="1" w:lastColumn="0" w:noHBand="0" w:noVBand="1"/>
      </w:tblPr>
      <w:tblGrid>
        <w:gridCol w:w="9534"/>
      </w:tblGrid>
      <w:tr w:rsidR="00E24985" w14:paraId="5DC97955" w14:textId="77777777" w:rsidTr="00D27DDC">
        <w:tc>
          <w:tcPr>
            <w:tcW w:w="5000" w:type="pct"/>
            <w:shd w:val="clear" w:color="auto" w:fill="F7D4DB" w:themeFill="accent3" w:themeFillTint="33"/>
          </w:tcPr>
          <w:p w14:paraId="280EE08E" w14:textId="63F0BB1F" w:rsidR="00E24985" w:rsidRDefault="00E24985" w:rsidP="00384C00">
            <w:pPr>
              <w:pStyle w:val="Tablesmalltext"/>
              <w:keepNext/>
            </w:pPr>
            <w:r>
              <w:t>Recommendation V-</w:t>
            </w:r>
            <w:r w:rsidR="002B0FD4">
              <w:t>04</w:t>
            </w:r>
            <w:r>
              <w:t xml:space="preserve"> High priority</w:t>
            </w:r>
          </w:p>
        </w:tc>
      </w:tr>
      <w:tr w:rsidR="00E24985" w14:paraId="6936F843" w14:textId="77777777" w:rsidTr="00E24985">
        <w:tc>
          <w:tcPr>
            <w:tcW w:w="5000" w:type="pct"/>
          </w:tcPr>
          <w:p w14:paraId="1540923D" w14:textId="37C6A146" w:rsidR="00E24985" w:rsidRDefault="00E24985" w:rsidP="00E24985">
            <w:pPr>
              <w:pStyle w:val="Tablesmalltext"/>
            </w:pPr>
            <w:r>
              <w:t>That VicForests amend its couple planning and monitoring recording processes to ensure those planning and supervising harvesting operations appropriately assess</w:t>
            </w:r>
            <w:r w:rsidR="0028330A">
              <w:t>,</w:t>
            </w:r>
            <w:r>
              <w:t xml:space="preserve"> manage </w:t>
            </w:r>
            <w:r w:rsidR="0028330A">
              <w:t xml:space="preserve">and report on </w:t>
            </w:r>
            <w:r>
              <w:t>biosecurity risks associated with machinery movement, the import of gravel for in-coupe roads, Myrtle Wilt and the entry and spread of new weeds.</w:t>
            </w:r>
          </w:p>
        </w:tc>
      </w:tr>
    </w:tbl>
    <w:p w14:paraId="7CDF14D4" w14:textId="77777777" w:rsidR="00E24985" w:rsidRDefault="00E24985" w:rsidP="00E24985">
      <w:pPr>
        <w:pStyle w:val="Heading3"/>
      </w:pPr>
      <w:bookmarkStart w:id="148" w:name="_Toc21354807"/>
      <w:bookmarkStart w:id="149" w:name="_Toc33202300"/>
      <w:r>
        <w:t>Coupe infrastructure rehabilitation</w:t>
      </w:r>
      <w:bookmarkEnd w:id="148"/>
      <w:bookmarkEnd w:id="149"/>
    </w:p>
    <w:p w14:paraId="152EF7D6" w14:textId="77777777" w:rsidR="00E24985" w:rsidRDefault="00E24985" w:rsidP="00E24985">
      <w:pPr>
        <w:pStyle w:val="Para0"/>
      </w:pPr>
      <w:r>
        <w:t>Several instances were observed in this audit, where coupe infrastructure had not been properly rehabilitated at the completion of harvest or regeneration as required by MSP 7.2.2 and 7.2.3.4. Two main issues were identified:</w:t>
      </w:r>
    </w:p>
    <w:p w14:paraId="45E69918" w14:textId="77777777" w:rsidR="00E24985" w:rsidRDefault="00E24985" w:rsidP="00E24985">
      <w:pPr>
        <w:pStyle w:val="Para0bullet"/>
      </w:pPr>
      <w:r w:rsidRPr="00A86B37">
        <w:rPr>
          <w:i/>
        </w:rPr>
        <w:t xml:space="preserve">Non or partial rehabilitation of landings: </w:t>
      </w:r>
      <w:r>
        <w:t>landings on four harvest coupes and one regeneration coupe had not been fully rehabilitated at the time of the audit, despite the coupe having regenerated and/or other infrastructure having been rehabilitated. Non-conformance incidents identified include whole landings not having been rehabilitated (28 Vox) and landings and other nearby areas that had been compacted by landing traffic not appearing to have been fully ripped or otherwise rehabilitated, as required by MSP 7.2.2.6 (e.g. 9R Tick, 19 Whiting). Potential EI associated with these incidents was no greater than minor, reflecting the relatively small proportion of the coupe affected and the location of landings away from more sensitive environments.</w:t>
      </w:r>
    </w:p>
    <w:p w14:paraId="3A8C0B14" w14:textId="5AB4439A" w:rsidR="00E24985" w:rsidRPr="00A86B37" w:rsidRDefault="00E24985" w:rsidP="00E24985">
      <w:pPr>
        <w:pStyle w:val="Para0bullet"/>
        <w:numPr>
          <w:ilvl w:val="0"/>
          <w:numId w:val="0"/>
        </w:numPr>
        <w:ind w:left="425"/>
      </w:pPr>
      <w:r>
        <w:t xml:space="preserve">Discussions with VicForests’ staff about not rehabilitating the whole </w:t>
      </w:r>
      <w:r w:rsidR="00CA4E21">
        <w:t xml:space="preserve">area around the </w:t>
      </w:r>
      <w:r>
        <w:t xml:space="preserve">landing </w:t>
      </w:r>
      <w:r w:rsidR="00CA4E21">
        <w:t xml:space="preserve">that had been compacted by machinery </w:t>
      </w:r>
      <w:r>
        <w:t xml:space="preserve">in one coupe suggested that VicForests’ UPs </w:t>
      </w:r>
      <w:r w:rsidR="00981A38">
        <w:t xml:space="preserve">focus rehabilitation on the </w:t>
      </w:r>
      <w:r w:rsidR="00981A38">
        <w:lastRenderedPageBreak/>
        <w:t xml:space="preserve">landing and snig tracks in the vicinity, but not explicitly address other areas that may </w:t>
      </w:r>
      <w:r>
        <w:t xml:space="preserve">have been compacted by machinery traffic, as per MSP 7.2.2.6. </w:t>
      </w:r>
    </w:p>
    <w:p w14:paraId="2991E48B" w14:textId="77777777" w:rsidR="00E24985" w:rsidRPr="009A1DD3" w:rsidRDefault="00E24985" w:rsidP="00E24985">
      <w:pPr>
        <w:pStyle w:val="Para0bullet"/>
        <w:spacing w:after="240"/>
        <w:rPr>
          <w:i/>
        </w:rPr>
      </w:pPr>
      <w:r>
        <w:rPr>
          <w:i/>
        </w:rPr>
        <w:t xml:space="preserve">Failure to construct or reinstate drainage on boundary tracks: </w:t>
      </w:r>
      <w:r>
        <w:t>several coupes were identified where drainage on boundary tracks was either not constructed or had not been not-reinstated following regeneration. Some of these incidents were observed in East Gippsland coupes that had regenerated without burning. Boundary tracks were constructed or made trafficable in anticipation of the regeneration burn, however as regeneration proceeded without intervention, there was no specific trigger for machinery to be brought to the coupe to construct or reinstate drainage. Potential EI assessed for these incidents was no greater than minor, reflecting the length of boundary track involved. However, some boundary tracks are steep and drain towards waterways and hence it is possible for the failure to drain the tracks to lead to sediment being mobilised towards waterways.</w:t>
      </w:r>
    </w:p>
    <w:tbl>
      <w:tblPr>
        <w:tblStyle w:val="TableGrid"/>
        <w:tblW w:w="4963" w:type="pct"/>
        <w:tblInd w:w="85" w:type="dxa"/>
        <w:tblLook w:val="04A0" w:firstRow="1" w:lastRow="0" w:firstColumn="1" w:lastColumn="0" w:noHBand="0" w:noVBand="1"/>
      </w:tblPr>
      <w:tblGrid>
        <w:gridCol w:w="9534"/>
      </w:tblGrid>
      <w:tr w:rsidR="00E24985" w14:paraId="6AB0D2EC" w14:textId="77777777" w:rsidTr="00D27DDC">
        <w:tc>
          <w:tcPr>
            <w:tcW w:w="5000" w:type="pct"/>
            <w:shd w:val="clear" w:color="auto" w:fill="FFD8A1" w:themeFill="accent4" w:themeFillTint="66"/>
          </w:tcPr>
          <w:p w14:paraId="5CF98003" w14:textId="36F9F54B" w:rsidR="00E24985" w:rsidRDefault="00E24985" w:rsidP="00E24985">
            <w:pPr>
              <w:pStyle w:val="Tablesmalltext"/>
            </w:pPr>
            <w:r>
              <w:t>Recommendation V-0</w:t>
            </w:r>
            <w:r w:rsidR="002B0FD4">
              <w:t>5</w:t>
            </w:r>
            <w:r>
              <w:t xml:space="preserve"> Medium priority</w:t>
            </w:r>
          </w:p>
        </w:tc>
      </w:tr>
      <w:tr w:rsidR="00E24985" w14:paraId="238440FF" w14:textId="77777777" w:rsidTr="00E24985">
        <w:tc>
          <w:tcPr>
            <w:tcW w:w="5000" w:type="pct"/>
          </w:tcPr>
          <w:p w14:paraId="1C988DCA" w14:textId="7287D36A" w:rsidR="00E24985" w:rsidRDefault="00A90BF5" w:rsidP="00E24985">
            <w:pPr>
              <w:pStyle w:val="Tablesmalltext"/>
            </w:pPr>
            <w:r w:rsidRPr="009150F3">
              <w:t xml:space="preserve">That VicForests </w:t>
            </w:r>
            <w:r>
              <w:t>review, and as necessary, revise</w:t>
            </w:r>
            <w:r w:rsidRPr="009150F3">
              <w:t xml:space="preserve"> its </w:t>
            </w:r>
            <w:r w:rsidR="00E24985">
              <w:t>UPs to ensure that it</w:t>
            </w:r>
            <w:r w:rsidR="00981A38">
              <w:t xml:space="preserve"> instructs contractors to </w:t>
            </w:r>
            <w:r w:rsidR="00E24985">
              <w:t>rehabilitat</w:t>
            </w:r>
            <w:r w:rsidR="00981A38">
              <w:t>e</w:t>
            </w:r>
            <w:r w:rsidR="00E24985">
              <w:t xml:space="preserve"> </w:t>
            </w:r>
            <w:r w:rsidR="00E24985">
              <w:rPr>
                <w:i/>
              </w:rPr>
              <w:t>any snig track, landing or other area where machinery has compacted the soi</w:t>
            </w:r>
            <w:r w:rsidR="00981A38">
              <w:rPr>
                <w:i/>
              </w:rPr>
              <w:t xml:space="preserve">l </w:t>
            </w:r>
            <w:r w:rsidR="00E24985">
              <w:t>as required by MSP 7.2.2.6</w:t>
            </w:r>
            <w:r w:rsidR="00861B24">
              <w:t xml:space="preserve"> and not just snig tracks and landings</w:t>
            </w:r>
            <w:r w:rsidR="00E24985">
              <w:t>.</w:t>
            </w:r>
          </w:p>
        </w:tc>
      </w:tr>
      <w:tr w:rsidR="00E24985" w14:paraId="5422AC85" w14:textId="77777777" w:rsidTr="00D27DDC">
        <w:tc>
          <w:tcPr>
            <w:tcW w:w="5000" w:type="pct"/>
            <w:shd w:val="clear" w:color="auto" w:fill="FFD8A1" w:themeFill="accent4" w:themeFillTint="66"/>
          </w:tcPr>
          <w:p w14:paraId="23BE3C79" w14:textId="4E8EF7E9" w:rsidR="00E24985" w:rsidRDefault="00E24985" w:rsidP="00E24985">
            <w:pPr>
              <w:pStyle w:val="Tablesmalltext"/>
              <w:keepNext/>
            </w:pPr>
            <w:r>
              <w:t>Recommendation V-0</w:t>
            </w:r>
            <w:r w:rsidR="002B0FD4">
              <w:t>6</w:t>
            </w:r>
            <w:r>
              <w:t xml:space="preserve"> Medium priority</w:t>
            </w:r>
          </w:p>
        </w:tc>
      </w:tr>
      <w:tr w:rsidR="00E24985" w14:paraId="53BA77D8" w14:textId="77777777" w:rsidTr="00E24985">
        <w:tc>
          <w:tcPr>
            <w:tcW w:w="5000" w:type="pct"/>
          </w:tcPr>
          <w:p w14:paraId="51415DDB" w14:textId="77777777" w:rsidR="00E24985" w:rsidRDefault="00E24985" w:rsidP="00E24985">
            <w:pPr>
              <w:pStyle w:val="Tablesmalltext"/>
            </w:pPr>
            <w:r>
              <w:t>That VicForests develop procedures to track the status of drainage along boundary (or other) tracks that have been constructed or made trafficable for regeneration burning to ensure that drainage is constructed or reinstated once the coupe is burnt or otherwise regenerated, in conformance with MSP 7.2.3.4.</w:t>
            </w:r>
          </w:p>
        </w:tc>
      </w:tr>
    </w:tbl>
    <w:p w14:paraId="339478C7" w14:textId="77777777" w:rsidR="00E24985" w:rsidRDefault="00E24985" w:rsidP="00E24985">
      <w:pPr>
        <w:pStyle w:val="Heading3"/>
      </w:pPr>
      <w:bookmarkStart w:id="150" w:name="_Toc21354808"/>
      <w:bookmarkStart w:id="151" w:name="_Toc33202301"/>
      <w:r>
        <w:t>Monitoring and recording of coupe activities</w:t>
      </w:r>
      <w:bookmarkEnd w:id="150"/>
      <w:bookmarkEnd w:id="151"/>
    </w:p>
    <w:p w14:paraId="61EA45EE" w14:textId="77777777" w:rsidR="00E24985" w:rsidRDefault="00E24985" w:rsidP="00E24985">
      <w:pPr>
        <w:pStyle w:val="Para0"/>
      </w:pPr>
      <w:r>
        <w:t>Several instances were noted in this audit where coupe monitoring records were inconsistent with what could be clearly observed within the coupe. Examples include:</w:t>
      </w:r>
    </w:p>
    <w:p w14:paraId="73899AEB" w14:textId="77777777" w:rsidR="00E24985" w:rsidRPr="001950E4" w:rsidRDefault="00E24985" w:rsidP="00E24985">
      <w:pPr>
        <w:pStyle w:val="Para0bullet"/>
        <w:rPr>
          <w:i/>
        </w:rPr>
      </w:pPr>
      <w:r w:rsidRPr="007159B2">
        <w:rPr>
          <w:i/>
        </w:rPr>
        <w:t>23 Pilcrow:</w:t>
      </w:r>
      <w:r>
        <w:rPr>
          <w:i/>
        </w:rPr>
        <w:t xml:space="preserve"> </w:t>
      </w:r>
      <w:r>
        <w:t>where a road works plan had been prepared for the construction and development of an in-coupe road (which was to service an adjacent coupe). The in-coupe road included two waterway crossings. The coupe monitoring record indicated that the road was effectively drained and that drainage control devices were operating effectively. However, both waterway crossings were found, at the time of audit, to be non-conforming and long lengths of the road had no effective drainage.</w:t>
      </w:r>
    </w:p>
    <w:p w14:paraId="010912F3" w14:textId="77777777" w:rsidR="00E24985" w:rsidRPr="007159B2" w:rsidRDefault="00E24985" w:rsidP="00E24985">
      <w:pPr>
        <w:pStyle w:val="Para0bullet"/>
        <w:rPr>
          <w:i/>
        </w:rPr>
      </w:pPr>
      <w:r>
        <w:rPr>
          <w:i/>
        </w:rPr>
        <w:t xml:space="preserve">28 Vox: </w:t>
      </w:r>
      <w:r w:rsidRPr="001950E4">
        <w:t>where the</w:t>
      </w:r>
      <w:r>
        <w:rPr>
          <w:i/>
        </w:rPr>
        <w:t xml:space="preserve"> </w:t>
      </w:r>
      <w:r>
        <w:t xml:space="preserve">coupe monitoring record suggested that the landing was rehabilitated, when the soil stockpile remained in place and the landing had not been ripped and rehabilitated. </w:t>
      </w:r>
    </w:p>
    <w:p w14:paraId="5428A534" w14:textId="77777777" w:rsidR="00E24985" w:rsidRDefault="00E24985" w:rsidP="00E24985">
      <w:pPr>
        <w:pStyle w:val="Para0"/>
      </w:pPr>
      <w:r>
        <w:t xml:space="preserve">The reasons for the inaccurate reporting are not clear. However, they suggest that at least in these cases, the monitoring records were completed from memory and/or without close inspection of coupe conditions. </w:t>
      </w:r>
    </w:p>
    <w:p w14:paraId="3656AD2F" w14:textId="77777777" w:rsidR="00E24985" w:rsidRPr="00107A80" w:rsidRDefault="00E24985" w:rsidP="00E24985">
      <w:pPr>
        <w:pStyle w:val="Para0"/>
        <w:spacing w:after="240"/>
      </w:pPr>
      <w:r>
        <w:t>That non-conforming in-coupe road drainage and waterway crossings were found in other coupes in this and previous audits, suggests that monitoring records for in-coupe roads and waterway crossings are not necessarily based on close assessments of the conformance of these features with VicForests’, Code or MSP requirements. Rectifying this may help to improve the level of regulatory compliance in in-coupe and waterway crossing design, construction, maintenance and closure.</w:t>
      </w:r>
    </w:p>
    <w:tbl>
      <w:tblPr>
        <w:tblStyle w:val="TableGrid"/>
        <w:tblW w:w="4963" w:type="pct"/>
        <w:tblInd w:w="85" w:type="dxa"/>
        <w:tblLook w:val="04A0" w:firstRow="1" w:lastRow="0" w:firstColumn="1" w:lastColumn="0" w:noHBand="0" w:noVBand="1"/>
      </w:tblPr>
      <w:tblGrid>
        <w:gridCol w:w="9534"/>
      </w:tblGrid>
      <w:tr w:rsidR="00E24985" w14:paraId="1FAF6FB1" w14:textId="77777777" w:rsidTr="00D27DDC">
        <w:tc>
          <w:tcPr>
            <w:tcW w:w="5000" w:type="pct"/>
            <w:shd w:val="clear" w:color="auto" w:fill="FFD8A1" w:themeFill="accent4" w:themeFillTint="66"/>
          </w:tcPr>
          <w:p w14:paraId="363EBB97" w14:textId="3E2ABAB0" w:rsidR="00E24985" w:rsidRDefault="00E24985" w:rsidP="00E24985">
            <w:pPr>
              <w:pStyle w:val="Tablesmalltext"/>
              <w:keepNext/>
            </w:pPr>
            <w:r>
              <w:t>Recommendation V-</w:t>
            </w:r>
            <w:r w:rsidR="00EB26C1">
              <w:t>0</w:t>
            </w:r>
            <w:r w:rsidR="00C87468">
              <w:t>7</w:t>
            </w:r>
            <w:r>
              <w:t xml:space="preserve"> Medium priority</w:t>
            </w:r>
          </w:p>
        </w:tc>
      </w:tr>
      <w:tr w:rsidR="00E24985" w14:paraId="03660AE4" w14:textId="77777777" w:rsidTr="00E24985">
        <w:tc>
          <w:tcPr>
            <w:tcW w:w="5000" w:type="pct"/>
          </w:tcPr>
          <w:p w14:paraId="285C98FE" w14:textId="77777777" w:rsidR="00E24985" w:rsidRDefault="00E24985" w:rsidP="00E24985">
            <w:pPr>
              <w:pStyle w:val="Tablesmalltext"/>
            </w:pPr>
            <w:r>
              <w:t xml:space="preserve">That VicForests develop specific forms (or sections of forms) for its coupe monitoring records that require explicit assessment of in-coupe road and waterway crossing conformance with applicable Code and MSP prescriptions. </w:t>
            </w:r>
          </w:p>
        </w:tc>
      </w:tr>
    </w:tbl>
    <w:p w14:paraId="7CBC6C4B" w14:textId="77777777" w:rsidR="00E24985" w:rsidRDefault="00E24985" w:rsidP="00E24985">
      <w:pPr>
        <w:pStyle w:val="Heading2"/>
      </w:pPr>
      <w:bookmarkStart w:id="152" w:name="_Toc21354809"/>
      <w:bookmarkStart w:id="153" w:name="_Toc33202302"/>
      <w:r>
        <w:lastRenderedPageBreak/>
        <w:t>Potential improvements to the regulatory framework for timber harvesting</w:t>
      </w:r>
      <w:bookmarkEnd w:id="152"/>
      <w:bookmarkEnd w:id="153"/>
    </w:p>
    <w:p w14:paraId="63938489" w14:textId="77777777" w:rsidR="00E24985" w:rsidRDefault="00E24985" w:rsidP="00E24985">
      <w:pPr>
        <w:pStyle w:val="Para0"/>
      </w:pPr>
      <w:r>
        <w:t>Comments on potential improvements in the regulatory framework for timber harvesting and in management of the audit program have been made in previous audit reports (Jacobs 2018a; 2018b). These related to:</w:t>
      </w:r>
    </w:p>
    <w:p w14:paraId="2D506F63" w14:textId="77777777" w:rsidR="00E24985" w:rsidRDefault="00E24985" w:rsidP="00E24985">
      <w:pPr>
        <w:pStyle w:val="Para0bullet"/>
      </w:pPr>
      <w:r>
        <w:rPr>
          <w:i/>
        </w:rPr>
        <w:t xml:space="preserve">Regulatory improvements: </w:t>
      </w:r>
      <w:r>
        <w:t>the main recommendations and comments have concerned:</w:t>
      </w:r>
    </w:p>
    <w:p w14:paraId="01CDE6DC" w14:textId="77777777" w:rsidR="00E24985" w:rsidRDefault="00E24985" w:rsidP="00E24985">
      <w:pPr>
        <w:pStyle w:val="Para1dash"/>
      </w:pPr>
      <w:r>
        <w:t>Modifying unclear or incorrect wording in the Code and MSPs</w:t>
      </w:r>
    </w:p>
    <w:p w14:paraId="531E3ABF" w14:textId="77777777" w:rsidR="00E24985" w:rsidRDefault="00E24985" w:rsidP="00E24985">
      <w:pPr>
        <w:pStyle w:val="Para1dash"/>
      </w:pPr>
      <w:r>
        <w:t>Developing an evidence basis for requirements to construct fish ladders with some waterway crossings</w:t>
      </w:r>
    </w:p>
    <w:p w14:paraId="49C08D67" w14:textId="77777777" w:rsidR="00E24985" w:rsidRDefault="00E24985" w:rsidP="00E24985">
      <w:pPr>
        <w:pStyle w:val="Para1dash"/>
      </w:pPr>
      <w:r>
        <w:t>Reviewing the method for assessing soil erosion hazard, particularly to avoid classifying erodible, but permeable (particularly) granite-derived soils as posing low water quality risk</w:t>
      </w:r>
    </w:p>
    <w:p w14:paraId="7AFD74FE" w14:textId="77777777" w:rsidR="00E24985" w:rsidRDefault="00E24985" w:rsidP="00E24985">
      <w:pPr>
        <w:pStyle w:val="Para1dash"/>
      </w:pPr>
      <w:r>
        <w:t>Strengthening prescriptions for the management of biosecurity risks associated with machinery movement and the importation of gravel during construction of in-coupe roads.</w:t>
      </w:r>
    </w:p>
    <w:p w14:paraId="687E2689" w14:textId="1D216935" w:rsidR="00E24985" w:rsidRDefault="00E24985" w:rsidP="00E24985">
      <w:pPr>
        <w:pStyle w:val="Para1"/>
        <w:spacing w:before="120"/>
      </w:pPr>
      <w:r>
        <w:t xml:space="preserve">To the auditor’s knowledge, </w:t>
      </w:r>
      <w:r w:rsidR="00393B8D">
        <w:t>action has only been taken (but not finalised) to address the third of these recommendations</w:t>
      </w:r>
      <w:r>
        <w:t xml:space="preserve">. All four </w:t>
      </w:r>
      <w:r w:rsidR="00393B8D">
        <w:t xml:space="preserve">of these recommendations </w:t>
      </w:r>
      <w:r>
        <w:t>are considered by the auditor to remain relevant.</w:t>
      </w:r>
    </w:p>
    <w:p w14:paraId="4A99561F" w14:textId="77777777" w:rsidR="00E24985" w:rsidRDefault="00E24985" w:rsidP="00E24985">
      <w:pPr>
        <w:pStyle w:val="Para1"/>
        <w:spacing w:before="120" w:after="240"/>
      </w:pPr>
      <w:r>
        <w:t>The inclusion of coupe infrastructure in the scope of this year’s audit highlighted that the MSPs do not deal with drainage spacings for snig or boundary tracks. This audit applied VicForests UPs to assess conformance with drain spacing requirements, as the drainage structure spacing table for roads in the MSPs (Table 21) does not address slopes greater than 11</w:t>
      </w:r>
      <w:r>
        <w:rPr>
          <w:rFonts w:cs="Arial"/>
        </w:rPr>
        <w:t>° - which are not uncommon for snig and boundary tracks</w:t>
      </w:r>
      <w:r>
        <w:t>. While this provided a reasonable basis for assessing track drainage, the UPs do not form part of the regulatory framework. In any revision of the MSPs, a table should be included to prescribe maximum drainage spacing (and slope) for snig and boundary tracks, based on soil erosion hazard.</w:t>
      </w:r>
    </w:p>
    <w:tbl>
      <w:tblPr>
        <w:tblStyle w:val="TableGrid"/>
        <w:tblW w:w="4963" w:type="pct"/>
        <w:tblInd w:w="85" w:type="dxa"/>
        <w:tblLook w:val="04A0" w:firstRow="1" w:lastRow="0" w:firstColumn="1" w:lastColumn="0" w:noHBand="0" w:noVBand="1"/>
      </w:tblPr>
      <w:tblGrid>
        <w:gridCol w:w="9534"/>
      </w:tblGrid>
      <w:tr w:rsidR="00E24985" w14:paraId="08BFF7F8" w14:textId="77777777" w:rsidTr="00D27DDC">
        <w:tc>
          <w:tcPr>
            <w:tcW w:w="5000" w:type="pct"/>
            <w:shd w:val="clear" w:color="auto" w:fill="F7D4DB" w:themeFill="accent3" w:themeFillTint="33"/>
          </w:tcPr>
          <w:p w14:paraId="2FC7381A" w14:textId="1C91EA3E" w:rsidR="00E24985" w:rsidRDefault="00E24985" w:rsidP="00E24985">
            <w:pPr>
              <w:pStyle w:val="Tablesmalltext"/>
              <w:keepNext/>
            </w:pPr>
            <w:r>
              <w:t>Recommendation D-0</w:t>
            </w:r>
            <w:r w:rsidR="0028330A">
              <w:t>2</w:t>
            </w:r>
            <w:r>
              <w:t xml:space="preserve"> High priority</w:t>
            </w:r>
          </w:p>
        </w:tc>
      </w:tr>
      <w:tr w:rsidR="00E24985" w14:paraId="4355D3E5" w14:textId="77777777" w:rsidTr="00E24985">
        <w:tc>
          <w:tcPr>
            <w:tcW w:w="5000" w:type="pct"/>
          </w:tcPr>
          <w:p w14:paraId="47989340" w14:textId="77777777" w:rsidR="00E24985" w:rsidRDefault="00E24985" w:rsidP="00E24985">
            <w:pPr>
              <w:pStyle w:val="Tablesmalltext"/>
            </w:pPr>
            <w:r>
              <w:t xml:space="preserve">DELWP should revise Code and MSP prescriptions in relation to pests, weeds and diseases to provide improved rigour and transparency in biosecurity risk management practices. Consideration should be given to mandatory washdown of harvesting and road construction machinery being moved onto a coupe, periodic assessment of quarry disease and weed status and reporting of these in FCPs. </w:t>
            </w:r>
          </w:p>
        </w:tc>
      </w:tr>
      <w:tr w:rsidR="00E24985" w14:paraId="2186080F" w14:textId="77777777" w:rsidTr="00D27DDC">
        <w:tc>
          <w:tcPr>
            <w:tcW w:w="5000" w:type="pct"/>
            <w:shd w:val="clear" w:color="auto" w:fill="F7D4DB" w:themeFill="accent3" w:themeFillTint="33"/>
          </w:tcPr>
          <w:p w14:paraId="4EAEC345" w14:textId="01A15584" w:rsidR="00E24985" w:rsidRDefault="00E24985" w:rsidP="00E24985">
            <w:pPr>
              <w:pStyle w:val="Tablesmalltext"/>
              <w:keepNext/>
            </w:pPr>
            <w:r>
              <w:t>Recommendation D-0</w:t>
            </w:r>
            <w:r w:rsidR="0028330A">
              <w:t>3</w:t>
            </w:r>
            <w:r>
              <w:t xml:space="preserve"> High priority</w:t>
            </w:r>
          </w:p>
        </w:tc>
      </w:tr>
      <w:tr w:rsidR="00E24985" w14:paraId="668BDDCF" w14:textId="77777777" w:rsidTr="00E24985">
        <w:tc>
          <w:tcPr>
            <w:tcW w:w="5000" w:type="pct"/>
          </w:tcPr>
          <w:p w14:paraId="2DEFE0B2" w14:textId="1D941CCD" w:rsidR="00E24985" w:rsidRDefault="00E24985" w:rsidP="00E24985">
            <w:pPr>
              <w:pStyle w:val="Tablesmalltext"/>
            </w:pPr>
            <w:r>
              <w:t>In its next revision of the MSPs, DELWP should develop and include a table that specifies appropriate maximum drainage structure spacings for snig and boundary tracks</w:t>
            </w:r>
            <w:r w:rsidR="00393B8D">
              <w:t xml:space="preserve"> for applicable soil erosion hazard classes and appropriate slopes.</w:t>
            </w:r>
          </w:p>
        </w:tc>
      </w:tr>
    </w:tbl>
    <w:p w14:paraId="1EC9438A" w14:textId="77777777" w:rsidR="00E24985" w:rsidRPr="00442CEA" w:rsidRDefault="00E24985" w:rsidP="0028330A">
      <w:pPr>
        <w:pStyle w:val="Para0bullet"/>
        <w:spacing w:before="240"/>
        <w:rPr>
          <w:i/>
        </w:rPr>
      </w:pPr>
      <w:r w:rsidRPr="00442CEA">
        <w:rPr>
          <w:i/>
        </w:rPr>
        <w:t>Audit program management improvements:</w:t>
      </w:r>
      <w:r>
        <w:rPr>
          <w:i/>
        </w:rPr>
        <w:t xml:space="preserve"> </w:t>
      </w:r>
      <w:r>
        <w:t>comments and recommendations referred to:</w:t>
      </w:r>
    </w:p>
    <w:p w14:paraId="2A30C9D8" w14:textId="77777777" w:rsidR="00E24985" w:rsidRDefault="00E24985" w:rsidP="00E24985">
      <w:pPr>
        <w:pStyle w:val="Para1dash"/>
      </w:pPr>
      <w:r w:rsidRPr="00442CEA">
        <w:t>Clear processes for responding to audit findings and recommendations</w:t>
      </w:r>
    </w:p>
    <w:p w14:paraId="2CBC2C9A" w14:textId="77777777" w:rsidR="00E24985" w:rsidRDefault="00E24985" w:rsidP="00E24985">
      <w:pPr>
        <w:pStyle w:val="Para1dash"/>
      </w:pPr>
      <w:r>
        <w:t>Improving the information base on which coupes are selected for audit</w:t>
      </w:r>
    </w:p>
    <w:p w14:paraId="4A07CE36" w14:textId="77777777" w:rsidR="00E24985" w:rsidRDefault="00E24985" w:rsidP="00E24985">
      <w:pPr>
        <w:pStyle w:val="Para1dash"/>
      </w:pPr>
      <w:r>
        <w:t>Maintaining a register of audited coupes</w:t>
      </w:r>
    </w:p>
    <w:p w14:paraId="2F520D68" w14:textId="77777777" w:rsidR="00393B8D" w:rsidRDefault="00E24985" w:rsidP="00E24985">
      <w:pPr>
        <w:pStyle w:val="Para1"/>
        <w:spacing w:before="120" w:after="240"/>
      </w:pPr>
      <w:r>
        <w:t>In the auditors</w:t>
      </w:r>
      <w:r w:rsidR="00393B8D">
        <w:t>’</w:t>
      </w:r>
      <w:r>
        <w:t xml:space="preserve"> opinion, the first of these points is the most important</w:t>
      </w:r>
      <w:r w:rsidR="00393B8D">
        <w:t xml:space="preserve">. DELWP has advised that this recommendation has been taken up </w:t>
      </w:r>
      <w:r>
        <w:t>by DELWP</w:t>
      </w:r>
      <w:r w:rsidR="00393B8D">
        <w:t xml:space="preserve"> and that there is now a process to engage with VicForests to review and address audit findings and recommendations</w:t>
      </w:r>
      <w:r>
        <w:t>.</w:t>
      </w:r>
    </w:p>
    <w:p w14:paraId="287EC549" w14:textId="5C715B33" w:rsidR="00E24985" w:rsidRDefault="00E24985" w:rsidP="00E24985">
      <w:pPr>
        <w:pStyle w:val="Para1"/>
        <w:spacing w:before="120" w:after="240"/>
      </w:pPr>
      <w:r>
        <w:t xml:space="preserve">The information base for coupe selection was improved in this audit, but as indicated by </w:t>
      </w:r>
      <w:r>
        <w:fldChar w:fldCharType="begin" w:fldLock="1"/>
      </w:r>
      <w:r>
        <w:instrText xml:space="preserve"> REF _Ref13838256 \h </w:instrText>
      </w:r>
      <w:r>
        <w:fldChar w:fldCharType="separate"/>
      </w:r>
      <w:r w:rsidR="005544E2">
        <w:t xml:space="preserve">Table </w:t>
      </w:r>
      <w:r w:rsidR="005544E2">
        <w:rPr>
          <w:noProof/>
        </w:rPr>
        <w:t>3</w:t>
      </w:r>
      <w:r w:rsidR="005544E2">
        <w:t>.</w:t>
      </w:r>
      <w:r w:rsidR="005544E2">
        <w:rPr>
          <w:noProof/>
        </w:rPr>
        <w:t>2</w:t>
      </w:r>
      <w:r>
        <w:fldChar w:fldCharType="end"/>
      </w:r>
      <w:r>
        <w:t xml:space="preserve">, it did not always accurately reflect the features present within the coupe. </w:t>
      </w:r>
    </w:p>
    <w:p w14:paraId="3FF6980B" w14:textId="2D63173E" w:rsidR="00054E16" w:rsidRDefault="00054E16" w:rsidP="00054E16">
      <w:pPr>
        <w:pStyle w:val="Heading2"/>
      </w:pPr>
      <w:bookmarkStart w:id="154" w:name="_Toc33202303"/>
      <w:r>
        <w:lastRenderedPageBreak/>
        <w:t>Auditee comments</w:t>
      </w:r>
      <w:bookmarkEnd w:id="154"/>
    </w:p>
    <w:p w14:paraId="580404EF" w14:textId="273F1783" w:rsidR="00054E16" w:rsidRPr="00875431" w:rsidRDefault="00054E16" w:rsidP="00054E16">
      <w:pPr>
        <w:pStyle w:val="Para0"/>
      </w:pPr>
      <w:r>
        <w:t xml:space="preserve">A draft of this report was provided to VicForests, as auditees, for review and comment. A summary of their substantive comments and the auditors’ responses are provided in </w:t>
      </w:r>
      <w:r>
        <w:fldChar w:fldCharType="begin" w:fldLock="1"/>
      </w:r>
      <w:r>
        <w:instrText xml:space="preserve"> REF _Ref31212804 \r \h </w:instrText>
      </w:r>
      <w:r>
        <w:fldChar w:fldCharType="separate"/>
      </w:r>
      <w:r w:rsidR="005544E2">
        <w:t>Appendix D</w:t>
      </w:r>
      <w:r>
        <w:fldChar w:fldCharType="end"/>
      </w:r>
      <w:r>
        <w:t xml:space="preserve">. </w:t>
      </w:r>
    </w:p>
    <w:p w14:paraId="4D7F679C" w14:textId="77777777" w:rsidR="00054E16" w:rsidRPr="00054E16" w:rsidRDefault="00054E16" w:rsidP="00054E16">
      <w:pPr>
        <w:pStyle w:val="Para0"/>
      </w:pPr>
    </w:p>
    <w:p w14:paraId="0824F40A" w14:textId="77777777" w:rsidR="00E24985" w:rsidRDefault="00E24985" w:rsidP="00E24985">
      <w:pPr>
        <w:pStyle w:val="Heading1"/>
      </w:pPr>
      <w:bookmarkStart w:id="155" w:name="_Toc21354810"/>
      <w:bookmarkStart w:id="156" w:name="_Toc33202304"/>
      <w:r>
        <w:lastRenderedPageBreak/>
        <w:t>Conclusions and recommendations</w:t>
      </w:r>
      <w:bookmarkEnd w:id="155"/>
      <w:bookmarkEnd w:id="156"/>
    </w:p>
    <w:p w14:paraId="0CB2CE32" w14:textId="77777777" w:rsidR="00E24985" w:rsidRDefault="00E24985" w:rsidP="00E24985">
      <w:pPr>
        <w:pStyle w:val="Heading2"/>
      </w:pPr>
      <w:bookmarkStart w:id="157" w:name="_Toc21354811"/>
      <w:bookmarkStart w:id="158" w:name="_Toc33202305"/>
      <w:r>
        <w:t>Conclusions</w:t>
      </w:r>
      <w:bookmarkEnd w:id="157"/>
      <w:bookmarkEnd w:id="158"/>
    </w:p>
    <w:p w14:paraId="429D0E3C" w14:textId="77777777" w:rsidR="00E24985" w:rsidRDefault="00E24985" w:rsidP="00E24985">
      <w:pPr>
        <w:pStyle w:val="Para0"/>
      </w:pPr>
      <w:r>
        <w:t>The objectives of the FAP are to assess VicForests’ conformance with the regulatory framework for timber harvesting activities in State forests and the environmental risks associated with any non-conformances.</w:t>
      </w:r>
      <w:r w:rsidRPr="00430AE0">
        <w:t xml:space="preserve"> </w:t>
      </w:r>
      <w:r>
        <w:t xml:space="preserve">The 2018-19 FAP addressed Code and MSP mandatory compliance elements relating to five main themes: </w:t>
      </w:r>
    </w:p>
    <w:p w14:paraId="1E37E4DF" w14:textId="77777777" w:rsidR="00E24985" w:rsidRDefault="00E24985" w:rsidP="00E24985">
      <w:pPr>
        <w:pStyle w:val="Para0bullet"/>
      </w:pPr>
      <w:r>
        <w:t xml:space="preserve">Protection of soil, water and biodiversity values </w:t>
      </w:r>
    </w:p>
    <w:p w14:paraId="61540704" w14:textId="77777777" w:rsidR="00E24985" w:rsidRDefault="00E24985" w:rsidP="00E24985">
      <w:pPr>
        <w:pStyle w:val="Para0bullet"/>
      </w:pPr>
      <w:r>
        <w:t>Design, construction, maintenance and closure of in-coupe roads</w:t>
      </w:r>
    </w:p>
    <w:p w14:paraId="6F9E13A5" w14:textId="77777777" w:rsidR="00E24985" w:rsidRDefault="00E24985" w:rsidP="00E24985">
      <w:pPr>
        <w:pStyle w:val="Para0bullet"/>
      </w:pPr>
      <w:r>
        <w:t>Rehabilitation of coupe infrastructure</w:t>
      </w:r>
    </w:p>
    <w:p w14:paraId="1E649010" w14:textId="77777777" w:rsidR="00E24985" w:rsidRDefault="00E24985" w:rsidP="00E24985">
      <w:pPr>
        <w:pStyle w:val="Para0bullet"/>
      </w:pPr>
      <w:r>
        <w:t>Implementation of forest coupe planning</w:t>
      </w:r>
    </w:p>
    <w:p w14:paraId="12F777AD" w14:textId="77777777" w:rsidR="00E24985" w:rsidRDefault="00E24985" w:rsidP="00E24985">
      <w:pPr>
        <w:pStyle w:val="Para0bullet"/>
      </w:pPr>
      <w:r>
        <w:t xml:space="preserve">Coupe regeneration. </w:t>
      </w:r>
    </w:p>
    <w:p w14:paraId="3AB6F4BA" w14:textId="7D56C8B8" w:rsidR="00E24985" w:rsidRDefault="00E24985" w:rsidP="00E24985">
      <w:pPr>
        <w:pStyle w:val="Para0"/>
      </w:pPr>
      <w:r>
        <w:t>Conformance of coupe planning, harvesting and roading activities with the regulatory framework was assessed for 30 (harvest) coupes located in State forests in eastern Victoria. Coupe regeneration was assessed for 10 (regeneration) coupes in this same area. The selection of harvest coupes was risk-based, meaning that audit findings cannot be taken as being statistically representative of VicForests’ operations overall.</w:t>
      </w:r>
    </w:p>
    <w:p w14:paraId="17D744FC" w14:textId="77777777" w:rsidR="00E24985" w:rsidRDefault="00E24985" w:rsidP="00E24985">
      <w:pPr>
        <w:pStyle w:val="Heading3"/>
      </w:pPr>
      <w:bookmarkStart w:id="159" w:name="_Toc21354812"/>
      <w:bookmarkStart w:id="160" w:name="_Toc33202306"/>
      <w:r>
        <w:t>Overall compliance findings for harvest coupes</w:t>
      </w:r>
      <w:bookmarkEnd w:id="159"/>
      <w:bookmarkEnd w:id="160"/>
    </w:p>
    <w:p w14:paraId="387E40FA" w14:textId="77777777" w:rsidR="00E24985" w:rsidRDefault="00E24985" w:rsidP="00E24985">
      <w:pPr>
        <w:pStyle w:val="Para0"/>
      </w:pPr>
      <w:r>
        <w:t>A total of 151 compliance criteria were identified from Code and related MSP prescriptions included within the audit scope developed by DELWP for harvest coupes. The applicability of and conformance with these criteria was assessed for each of the 30 selected coupes during site inspections undertaken between April and June 2019.</w:t>
      </w:r>
    </w:p>
    <w:p w14:paraId="5E8F90F5" w14:textId="71C3DEB3" w:rsidR="00E24985" w:rsidRDefault="00E24985" w:rsidP="00E24985">
      <w:pPr>
        <w:pStyle w:val="Para0"/>
      </w:pPr>
      <w:r>
        <w:t xml:space="preserve">The overall level of full conformance with applicable audit criteria ranged between </w:t>
      </w:r>
      <w:r w:rsidR="00E17B4D">
        <w:t>60</w:t>
      </w:r>
      <w:r>
        <w:t>% and 9</w:t>
      </w:r>
      <w:r w:rsidR="00E17B4D">
        <w:t>6</w:t>
      </w:r>
      <w:r>
        <w:t xml:space="preserve">%, with the average being </w:t>
      </w:r>
      <w:r w:rsidR="00E17B4D">
        <w:t>83</w:t>
      </w:r>
      <w:r>
        <w:t xml:space="preserve">%. Non-conformance incidents in 26 of the 30 harvest coupes included in the audit were assessed to have potential for EI. There was an average of 2.3 such incidents per coupe, with as many as seven incidents recorded on one coupe. The assessed level of potential EI associated with these incidents ranged up to major.  </w:t>
      </w:r>
    </w:p>
    <w:p w14:paraId="44B8F48D" w14:textId="77777777" w:rsidR="00E24985" w:rsidRDefault="00E24985" w:rsidP="00E24985">
      <w:pPr>
        <w:pStyle w:val="SectionSubheading2"/>
      </w:pPr>
      <w:r>
        <w:t>Protection of soil, water and biodiversity values</w:t>
      </w:r>
    </w:p>
    <w:p w14:paraId="068A8E22" w14:textId="77777777" w:rsidR="00E24985" w:rsidRDefault="00E24985" w:rsidP="00E24985">
      <w:pPr>
        <w:pStyle w:val="Para0"/>
      </w:pPr>
      <w:r>
        <w:t>Environment-themed audit criteria were grouped into three sub-themes, as follows. The main findings for each sub-theme were:</w:t>
      </w:r>
    </w:p>
    <w:p w14:paraId="0C7B57B7" w14:textId="1B891682" w:rsidR="00E24985" w:rsidRDefault="00E24985" w:rsidP="00E74AFC">
      <w:pPr>
        <w:pStyle w:val="Para0bullet"/>
        <w:numPr>
          <w:ilvl w:val="0"/>
          <w:numId w:val="72"/>
        </w:numPr>
      </w:pPr>
      <w:r>
        <w:rPr>
          <w:i/>
        </w:rPr>
        <w:t xml:space="preserve">Protection of forest soils: </w:t>
      </w:r>
      <w:r w:rsidRPr="00EA166D">
        <w:t>t</w:t>
      </w:r>
      <w:r w:rsidRPr="00E036FE">
        <w:t xml:space="preserve">he level of </w:t>
      </w:r>
      <w:r>
        <w:t>full conformance</w:t>
      </w:r>
      <w:r w:rsidRPr="00E036FE">
        <w:t xml:space="preserve"> with applicable criteria </w:t>
      </w:r>
      <w:r>
        <w:t>ranged between 46% and 100%, with an average of 7</w:t>
      </w:r>
      <w:r w:rsidR="00E17B4D">
        <w:t>4</w:t>
      </w:r>
      <w:r>
        <w:t>%. Two n</w:t>
      </w:r>
      <w:r w:rsidRPr="00E036FE">
        <w:t>on-</w:t>
      </w:r>
      <w:r>
        <w:t>conformance incidents were</w:t>
      </w:r>
      <w:r w:rsidRPr="00E036FE">
        <w:t xml:space="preserve"> assessed to have major</w:t>
      </w:r>
      <w:r>
        <w:t xml:space="preserve"> potential</w:t>
      </w:r>
      <w:r w:rsidRPr="00E036FE">
        <w:t xml:space="preserve"> </w:t>
      </w:r>
      <w:r>
        <w:t>EI, namely:</w:t>
      </w:r>
    </w:p>
    <w:p w14:paraId="72E0C525" w14:textId="77777777" w:rsidR="00E24985" w:rsidRDefault="00E24985" w:rsidP="00E24985">
      <w:pPr>
        <w:pStyle w:val="Para1dash"/>
      </w:pPr>
      <w:r>
        <w:t xml:space="preserve">Construction of a culvert with its outlet projecting above the downstream bed of a permanent stream, leading to erosion and sediment mobilisation </w:t>
      </w:r>
    </w:p>
    <w:p w14:paraId="33F80917" w14:textId="26AC1149" w:rsidR="00E24985" w:rsidRDefault="00E24985" w:rsidP="00E24985">
      <w:pPr>
        <w:pStyle w:val="Para1dash"/>
      </w:pPr>
      <w:r>
        <w:t xml:space="preserve">A regeneration burn entering a planned riparian buffer, removing </w:t>
      </w:r>
      <w:r w:rsidR="00F42977">
        <w:t>understorey</w:t>
      </w:r>
      <w:r>
        <w:t xml:space="preserve"> vegetation and exposing soils in this sensitive area to the risk of erosion. </w:t>
      </w:r>
    </w:p>
    <w:p w14:paraId="4D817984" w14:textId="6E64CFA6" w:rsidR="00E24985" w:rsidRDefault="00E24985" w:rsidP="00E74AFC">
      <w:pPr>
        <w:pStyle w:val="Para0bullet"/>
        <w:numPr>
          <w:ilvl w:val="0"/>
          <w:numId w:val="72"/>
        </w:numPr>
      </w:pPr>
      <w:r w:rsidRPr="00B109F9">
        <w:rPr>
          <w:i/>
        </w:rPr>
        <w:t xml:space="preserve">Protection of water flows, water quality and river health: </w:t>
      </w:r>
      <w:r w:rsidRPr="00B109F9">
        <w:t xml:space="preserve">the level of </w:t>
      </w:r>
      <w:r>
        <w:t>full conformance</w:t>
      </w:r>
      <w:r w:rsidRPr="00B109F9">
        <w:t xml:space="preserve"> with applicable criteria </w:t>
      </w:r>
      <w:r>
        <w:t xml:space="preserve">ranged between 36% and 100%, with an average of </w:t>
      </w:r>
      <w:r w:rsidR="00E17B4D">
        <w:t>81</w:t>
      </w:r>
      <w:r>
        <w:t>%. Three kinds of non-conformance incident were detected and assessed to have major potential EI, namely:</w:t>
      </w:r>
    </w:p>
    <w:p w14:paraId="7B1FA5B3" w14:textId="77777777" w:rsidR="00E24985" w:rsidRDefault="00E24985" w:rsidP="00E24985">
      <w:pPr>
        <w:pStyle w:val="Para1dash"/>
      </w:pPr>
      <w:r>
        <w:lastRenderedPageBreak/>
        <w:t xml:space="preserve">Construction of a culvert with its outlet projecting above the downstream bed of a permanent stream, leading to erosion and sediment mobilisation </w:t>
      </w:r>
    </w:p>
    <w:p w14:paraId="0824C1B0" w14:textId="1E04B821" w:rsidR="00E24985" w:rsidRDefault="00E17B4D" w:rsidP="00E24985">
      <w:pPr>
        <w:pStyle w:val="Para1dash"/>
      </w:pPr>
      <w:r>
        <w:t>R</w:t>
      </w:r>
      <w:r w:rsidR="00E24985">
        <w:t xml:space="preserve">egeneration burns </w:t>
      </w:r>
      <w:r>
        <w:t xml:space="preserve">entering </w:t>
      </w:r>
      <w:r w:rsidR="00E24985">
        <w:t>planned riparian buffers in five coupes, posing a risk to river health and water quality</w:t>
      </w:r>
    </w:p>
    <w:p w14:paraId="05272195" w14:textId="77777777" w:rsidR="00E24985" w:rsidRDefault="00E24985" w:rsidP="00E24985">
      <w:pPr>
        <w:pStyle w:val="Para1dash"/>
      </w:pPr>
      <w:r>
        <w:t>Construction of an in-coupe road that drains for over 100 m into a permanent stream.</w:t>
      </w:r>
    </w:p>
    <w:p w14:paraId="493FFDC9" w14:textId="28686E8E" w:rsidR="00E24985" w:rsidRDefault="00E24985" w:rsidP="00E74AFC">
      <w:pPr>
        <w:pStyle w:val="Para0bullet"/>
        <w:numPr>
          <w:ilvl w:val="0"/>
          <w:numId w:val="72"/>
        </w:numPr>
      </w:pPr>
      <w:r w:rsidRPr="00B109F9">
        <w:rPr>
          <w:i/>
        </w:rPr>
        <w:t>Protection of biodiversity values:</w:t>
      </w:r>
      <w:r>
        <w:t xml:space="preserve"> the average level of full conformance with applicable criteria was </w:t>
      </w:r>
      <w:r w:rsidR="00E17B4D">
        <w:t>8</w:t>
      </w:r>
      <w:r w:rsidR="00CE4578">
        <w:t>4</w:t>
      </w:r>
      <w:r>
        <w:t xml:space="preserve">%, with the range being </w:t>
      </w:r>
      <w:r w:rsidR="00E17B4D">
        <w:t>5</w:t>
      </w:r>
      <w:r w:rsidR="00CE4578">
        <w:t>5</w:t>
      </w:r>
      <w:r w:rsidR="00E17B4D">
        <w:t>-96</w:t>
      </w:r>
      <w:r>
        <w:t>%. Two kinds of non-conformance incident were detected and assessed to have major potential EI, namely:</w:t>
      </w:r>
    </w:p>
    <w:p w14:paraId="36F7EBC0" w14:textId="1FECCFD6" w:rsidR="00E24985" w:rsidRDefault="00E24985" w:rsidP="00E24985">
      <w:pPr>
        <w:pStyle w:val="Para1dash"/>
      </w:pPr>
      <w:r>
        <w:t xml:space="preserve">Regeneration burns in five coupes entered adjacent SPZ areas or other areas that were planned to remain unharvested and hence undisturbed by regeneration activities </w:t>
      </w:r>
    </w:p>
    <w:p w14:paraId="601BF585" w14:textId="1FC2E1AB" w:rsidR="00E24985" w:rsidRDefault="00E24985" w:rsidP="00E24985">
      <w:pPr>
        <w:pStyle w:val="Para1dash"/>
      </w:pPr>
      <w:r>
        <w:t>Construction</w:t>
      </w:r>
      <w:r w:rsidR="00B24240">
        <w:t xml:space="preserve"> or clearing</w:t>
      </w:r>
      <w:r>
        <w:t xml:space="preserve"> of tracks from two coupes into areas that were to remain unharvested, including (in both cases) SPZ areas adjacent to the coupes.</w:t>
      </w:r>
    </w:p>
    <w:p w14:paraId="2BA6E82D" w14:textId="77777777" w:rsidR="00E24985" w:rsidRDefault="00E24985" w:rsidP="00E24985">
      <w:pPr>
        <w:pStyle w:val="SectionSubheading2"/>
      </w:pPr>
      <w:r>
        <w:t>Design, construction, maintenance and closure of in-coupe roads</w:t>
      </w:r>
    </w:p>
    <w:p w14:paraId="3D25DFAA" w14:textId="77777777" w:rsidR="00E24985" w:rsidRDefault="00E24985" w:rsidP="00E24985">
      <w:pPr>
        <w:pStyle w:val="Para0"/>
      </w:pPr>
      <w:r>
        <w:t>Roading criteria were grouped for the audit into three sub-themes, as follows. The main findings for each sub-theme were:</w:t>
      </w:r>
    </w:p>
    <w:p w14:paraId="71024403" w14:textId="77777777" w:rsidR="00E24985" w:rsidRPr="0034737E" w:rsidRDefault="00E24985" w:rsidP="00E74AFC">
      <w:pPr>
        <w:pStyle w:val="Para0bullet"/>
        <w:numPr>
          <w:ilvl w:val="0"/>
          <w:numId w:val="72"/>
        </w:numPr>
      </w:pPr>
      <w:r w:rsidRPr="006D5CDD">
        <w:rPr>
          <w:i/>
        </w:rPr>
        <w:t xml:space="preserve">Road design: </w:t>
      </w:r>
      <w:r>
        <w:t xml:space="preserve">the level of full conformance with applicable criteria ranged between 20% and 100%, with the average being 67%. The main design-related non-conformance issue was FCPs having no recorded engineering basis for design of the in-coupe road, larger embankment and/or </w:t>
      </w:r>
      <w:r w:rsidRPr="00BD524C">
        <w:t>waterway</w:t>
      </w:r>
      <w:r>
        <w:t xml:space="preserve"> crossing. Mostly, road design non-conformances did not directly result in assessments of potential EI, although in one coupe, the lack of appropriate drainage in the vicinity of a waterway crossing was partly attributed to the lack of formal road design.</w:t>
      </w:r>
    </w:p>
    <w:p w14:paraId="7EF81D53" w14:textId="4E1CCD73" w:rsidR="00E24985" w:rsidRDefault="00E24985" w:rsidP="00E74AFC">
      <w:pPr>
        <w:pStyle w:val="Para0bullet"/>
        <w:numPr>
          <w:ilvl w:val="0"/>
          <w:numId w:val="72"/>
        </w:numPr>
      </w:pPr>
      <w:r>
        <w:rPr>
          <w:i/>
        </w:rPr>
        <w:t>Road construction:</w:t>
      </w:r>
      <w:r>
        <w:t xml:space="preserve"> </w:t>
      </w:r>
      <w:r w:rsidRPr="00BF0C66">
        <w:t xml:space="preserve">the average level of </w:t>
      </w:r>
      <w:r>
        <w:t xml:space="preserve">full conformance with applicable criteria was </w:t>
      </w:r>
      <w:r w:rsidR="00B24240">
        <w:t>81</w:t>
      </w:r>
      <w:r w:rsidRPr="00BF0C66">
        <w:t xml:space="preserve">%, with the level of </w:t>
      </w:r>
      <w:r>
        <w:t>conformance</w:t>
      </w:r>
      <w:r w:rsidRPr="00BF0C66">
        <w:t xml:space="preserve"> ranging between </w:t>
      </w:r>
      <w:r>
        <w:t>50</w:t>
      </w:r>
      <w:r w:rsidRPr="00BF0C66">
        <w:t xml:space="preserve">% and 100%. </w:t>
      </w:r>
      <w:r>
        <w:t>Non-conformances assessed to have major potential EI all related to road drainage and waterway crossing construction in a single coupe.</w:t>
      </w:r>
    </w:p>
    <w:p w14:paraId="0F89EB45" w14:textId="77777777" w:rsidR="00E24985" w:rsidRDefault="00E24985" w:rsidP="00E74AFC">
      <w:pPr>
        <w:pStyle w:val="Para0bullet"/>
        <w:numPr>
          <w:ilvl w:val="0"/>
          <w:numId w:val="72"/>
        </w:numPr>
      </w:pPr>
      <w:r>
        <w:rPr>
          <w:i/>
        </w:rPr>
        <w:t>Road maintenance and closure:</w:t>
      </w:r>
      <w:r>
        <w:t xml:space="preserve"> the average level of full conformance with applicable criteria was 83</w:t>
      </w:r>
      <w:r w:rsidRPr="00BF0C66">
        <w:t xml:space="preserve">%, with the level of </w:t>
      </w:r>
      <w:r>
        <w:t xml:space="preserve">full </w:t>
      </w:r>
      <w:r w:rsidRPr="00BF0C66">
        <w:t xml:space="preserve">compliance ranging between </w:t>
      </w:r>
      <w:r>
        <w:t>33</w:t>
      </w:r>
      <w:r w:rsidRPr="00BF0C66">
        <w:t>% and 100%</w:t>
      </w:r>
      <w:r>
        <w:t>. Non-conformances assessed to have major potential EI all related to the failure to detect and remedy road drainage and waterway crossing deficiencies in an in-coupe road that had been constructed for several years.</w:t>
      </w:r>
    </w:p>
    <w:p w14:paraId="3913821F" w14:textId="77777777" w:rsidR="00E24985" w:rsidRDefault="00E24985" w:rsidP="00E24985">
      <w:pPr>
        <w:pStyle w:val="SectionSubheading2"/>
      </w:pPr>
      <w:r>
        <w:t>Rehabilitation of coupe infrastructure</w:t>
      </w:r>
    </w:p>
    <w:p w14:paraId="3C73A0C0" w14:textId="77777777" w:rsidR="00E24985" w:rsidRDefault="00E24985" w:rsidP="00E24985">
      <w:pPr>
        <w:pStyle w:val="Para0"/>
      </w:pPr>
      <w:r>
        <w:t xml:space="preserve">The level of full conformance with applicable criteria ranged between 56% and 100%, with the average being 84%. None of the non-conformance issues for the rehabilitation of coupe infrastructure were assessed to have potential EI of greater than moderate. </w:t>
      </w:r>
    </w:p>
    <w:p w14:paraId="3AEAB626" w14:textId="77777777" w:rsidR="00E24985" w:rsidRDefault="00E24985" w:rsidP="00E24985">
      <w:pPr>
        <w:pStyle w:val="SectionSubheading2"/>
      </w:pPr>
      <w:r>
        <w:t>Implementation of forest coupe planning</w:t>
      </w:r>
    </w:p>
    <w:p w14:paraId="595AA5D2" w14:textId="388D5095" w:rsidR="00E24985" w:rsidRDefault="00E24985" w:rsidP="00E24985">
      <w:pPr>
        <w:pStyle w:val="Para0"/>
      </w:pPr>
      <w:r>
        <w:t>The average level of full conformance with applicable criteria was 9</w:t>
      </w:r>
      <w:r w:rsidR="00B24240">
        <w:t>2</w:t>
      </w:r>
      <w:r>
        <w:t xml:space="preserve">%, with the level for individual coupes ranging between </w:t>
      </w:r>
      <w:r w:rsidR="00B24240">
        <w:t>80</w:t>
      </w:r>
      <w:r>
        <w:t>% and 100%. Non-conformance incidents on six coupes were assessed to have major potential EI. These were associated with:</w:t>
      </w:r>
    </w:p>
    <w:p w14:paraId="05985736" w14:textId="77777777" w:rsidR="00E24985" w:rsidRDefault="00E24985" w:rsidP="00E24985">
      <w:pPr>
        <w:pStyle w:val="Para0bullet"/>
      </w:pPr>
      <w:r>
        <w:t xml:space="preserve">Drainage of long lengths of in-coupe road into waterway crossings </w:t>
      </w:r>
    </w:p>
    <w:p w14:paraId="40567800" w14:textId="77777777" w:rsidR="00E24985" w:rsidRDefault="00E24985" w:rsidP="00E24985">
      <w:pPr>
        <w:pStyle w:val="Para0bullet"/>
      </w:pPr>
      <w:r>
        <w:t>Regeneration burns crossing into riparian buffers and adjacent SPZs</w:t>
      </w:r>
    </w:p>
    <w:p w14:paraId="5046797B" w14:textId="77777777" w:rsidR="00E24985" w:rsidRDefault="00E24985" w:rsidP="00E24985">
      <w:pPr>
        <w:pStyle w:val="Para0bullet"/>
      </w:pPr>
      <w:r>
        <w:t xml:space="preserve">Movement of machinery and track construction in adjacent SPZs. </w:t>
      </w:r>
    </w:p>
    <w:p w14:paraId="3AAF4996" w14:textId="77777777" w:rsidR="00E24985" w:rsidRDefault="00E24985" w:rsidP="00E24985">
      <w:pPr>
        <w:pStyle w:val="Heading3"/>
      </w:pPr>
      <w:bookmarkStart w:id="161" w:name="_Toc21354813"/>
      <w:bookmarkStart w:id="162" w:name="_Toc33202307"/>
      <w:r>
        <w:lastRenderedPageBreak/>
        <w:t>Overall compliance findings for regeneration coupes</w:t>
      </w:r>
      <w:bookmarkEnd w:id="161"/>
      <w:bookmarkEnd w:id="162"/>
    </w:p>
    <w:p w14:paraId="71A6DA87" w14:textId="38AE82D6" w:rsidR="00E24985" w:rsidRDefault="00E24985" w:rsidP="00E24985">
      <w:pPr>
        <w:pStyle w:val="Para0"/>
      </w:pPr>
      <w:r>
        <w:t xml:space="preserve">A total of 29 criteria were identified from the various compliance elements applicable to regeneration coupes. The overall level of full conformance with applicable audit criteria ranged between </w:t>
      </w:r>
      <w:r w:rsidR="00B24240">
        <w:t>73</w:t>
      </w:r>
      <w:r>
        <w:t xml:space="preserve">% and 100%, with the average being </w:t>
      </w:r>
      <w:r w:rsidR="00B24240">
        <w:t>90</w:t>
      </w:r>
      <w:r>
        <w:t xml:space="preserve">%. Non-conformances with potential EI were observed in four of the 10 coupes included in this component of the audit. </w:t>
      </w:r>
      <w:r w:rsidR="00B24240">
        <w:t>Entry of a</w:t>
      </w:r>
      <w:r>
        <w:t xml:space="preserve"> regeneration burn</w:t>
      </w:r>
      <w:r w:rsidR="00B24240">
        <w:t xml:space="preserve">t </w:t>
      </w:r>
      <w:r>
        <w:t>into an adjacent SPZ at one coupe was assessed to have major potential EI. All other non-conformances were assessed to have moderate or lower potential EI.</w:t>
      </w:r>
    </w:p>
    <w:p w14:paraId="291A617C" w14:textId="77777777" w:rsidR="00E24985" w:rsidRDefault="00E24985" w:rsidP="00E24985">
      <w:pPr>
        <w:pStyle w:val="Para0"/>
      </w:pPr>
      <w:r>
        <w:t>Seven of the 10 regeneration coupes were assessed to have been successfully regenerated at the time of the audit.</w:t>
      </w:r>
    </w:p>
    <w:p w14:paraId="741A9002" w14:textId="77777777" w:rsidR="00E24985" w:rsidRDefault="00E24985" w:rsidP="00E24985">
      <w:pPr>
        <w:pStyle w:val="Heading3"/>
      </w:pPr>
      <w:bookmarkStart w:id="163" w:name="_Toc21354814"/>
      <w:bookmarkStart w:id="164" w:name="_Toc33202308"/>
      <w:r>
        <w:t>Comparison with previous audits</w:t>
      </w:r>
      <w:bookmarkEnd w:id="163"/>
      <w:bookmarkEnd w:id="164"/>
    </w:p>
    <w:p w14:paraId="3A13A53F" w14:textId="77777777" w:rsidR="00E24985" w:rsidRDefault="00E24985" w:rsidP="00E24985">
      <w:pPr>
        <w:pStyle w:val="Para0"/>
      </w:pPr>
      <w:r>
        <w:t xml:space="preserve">Coupe selection for the audit is risk-based, rather than fully randomised. This means that audit results may not be statistically representative of VicForests’ operations overall and audit results may not be directly comparable between years. Comparison of the results of this audit with previous audits is also confounded by the addition of new criteria and audit themes. However, there is still a reasonable basis for comparison among the themes and sub-themes included in previous audits. </w:t>
      </w:r>
    </w:p>
    <w:p w14:paraId="1EB739EE" w14:textId="59D52619" w:rsidR="00E24985" w:rsidRDefault="00E24985" w:rsidP="00E24985">
      <w:pPr>
        <w:pStyle w:val="Para0"/>
      </w:pPr>
      <w:r>
        <w:t>The comparison of audit results (</w:t>
      </w:r>
      <w:r>
        <w:fldChar w:fldCharType="begin" w:fldLock="1"/>
      </w:r>
      <w:r>
        <w:instrText xml:space="preserve"> REF _Ref526254627 \h </w:instrText>
      </w:r>
      <w:r>
        <w:fldChar w:fldCharType="separate"/>
      </w:r>
      <w:r w:rsidR="005544E2">
        <w:t xml:space="preserve">Table </w:t>
      </w:r>
      <w:r w:rsidR="005544E2">
        <w:rPr>
          <w:noProof/>
        </w:rPr>
        <w:t>5</w:t>
      </w:r>
      <w:r w:rsidR="005544E2">
        <w:t>.</w:t>
      </w:r>
      <w:r w:rsidR="005544E2">
        <w:rPr>
          <w:noProof/>
        </w:rPr>
        <w:t>2</w:t>
      </w:r>
      <w:r>
        <w:fldChar w:fldCharType="end"/>
      </w:r>
      <w:r>
        <w:t xml:space="preserve">) suggests reductions in </w:t>
      </w:r>
      <w:r w:rsidR="00F03ED4">
        <w:t xml:space="preserve">full </w:t>
      </w:r>
      <w:r>
        <w:t>conformance with audit criteria overall and in the environmental sub-themes, relative to both the 2016-17 and 2017-18 audits. The largest reduction</w:t>
      </w:r>
      <w:r w:rsidR="00962615">
        <w:t>s</w:t>
      </w:r>
      <w:r>
        <w:t xml:space="preserve"> in full conformance with audit criteria was recorded for the </w:t>
      </w:r>
      <w:r w:rsidR="00FA1D34">
        <w:t xml:space="preserve">soils and </w:t>
      </w:r>
      <w:r>
        <w:t>biodiversity sub-theme</w:t>
      </w:r>
      <w:r w:rsidR="00FA1D34">
        <w:t>s</w:t>
      </w:r>
      <w:r>
        <w:t xml:space="preserve">, </w:t>
      </w:r>
      <w:r w:rsidR="00FA1D34">
        <w:t xml:space="preserve">with the latter partly </w:t>
      </w:r>
      <w:r>
        <w:t>reflect</w:t>
      </w:r>
      <w:r w:rsidR="00FA1D34">
        <w:t>ing</w:t>
      </w:r>
      <w:r>
        <w:t xml:space="preserve"> the more stringent approach to assessing conformance with Code and MSP biosecurity requirements (weeds and pathogens) than in previous audits.</w:t>
      </w:r>
    </w:p>
    <w:p w14:paraId="76362358" w14:textId="77777777" w:rsidR="00E24985" w:rsidRDefault="00E24985" w:rsidP="00E24985">
      <w:pPr>
        <w:pStyle w:val="Para0"/>
      </w:pPr>
      <w:r>
        <w:t>The number of non-conformances with major potential EI recorded in the current audit was less than in the 2016-17 audit, but much higher than was recorded in 2017-18. Some of this change reflects the reduced duplication of compliance criteria between sub-themes in the current audit and more stringent analysis of the relevance of the actual non-conformance incident to the audit criterion.</w:t>
      </w:r>
    </w:p>
    <w:p w14:paraId="15F6D68A" w14:textId="48A8E29B" w:rsidR="00E24985" w:rsidRDefault="00E24985" w:rsidP="00E24985">
      <w:pPr>
        <w:pStyle w:val="Para0"/>
      </w:pPr>
      <w:r>
        <w:t>The types of incident giving rise to the higher potential EI categories (moderate, major) have generally remained consistent between recent audits, although the frequency of particular incidents has changed over time. Breaching of planned boundaries by regeneration burns have been observed in previous audits, but not at the frequency observed in this audit. Of particular concern was the number of regeneration burns that were found to have affected SPZs or other environmentally sensitive areas. The audit team also observed two instances of tracks being constructed</w:t>
      </w:r>
      <w:r w:rsidR="00FA1D34">
        <w:t xml:space="preserve"> or cleared</w:t>
      </w:r>
      <w:r>
        <w:t xml:space="preserve"> into SPZ areas adjoining the coupe, a non-conformance that had not previously been recorded by this audit team. </w:t>
      </w:r>
    </w:p>
    <w:p w14:paraId="39913171" w14:textId="77777777" w:rsidR="00E24985" w:rsidRDefault="00E24985" w:rsidP="00E24985">
      <w:pPr>
        <w:pStyle w:val="Heading2"/>
      </w:pPr>
      <w:bookmarkStart w:id="165" w:name="_Toc21354815"/>
      <w:bookmarkStart w:id="166" w:name="_Ref31258395"/>
      <w:bookmarkStart w:id="167" w:name="_Toc33202309"/>
      <w:r>
        <w:t>Recommendations</w:t>
      </w:r>
      <w:bookmarkEnd w:id="165"/>
      <w:bookmarkEnd w:id="166"/>
      <w:bookmarkEnd w:id="167"/>
    </w:p>
    <w:p w14:paraId="12229691" w14:textId="77777777" w:rsidR="00E24985" w:rsidRDefault="00E24985" w:rsidP="00E24985">
      <w:pPr>
        <w:pStyle w:val="Para0"/>
      </w:pPr>
      <w:r>
        <w:t xml:space="preserve">The findings of this audit have contributed to a series of recommendations for VicForests, as auditees, and DELWP, as the environmental regulator of timber harvesting activities and audit client. Recommendations for VicForests address potential improvements to coupe planning and the management of timber harvesting, as well as related roading activities and the rehabilitation of coupe infrastructure. Recommendations for DELWP address potential improvements to the regulatory framework and management of the FAP. </w:t>
      </w:r>
    </w:p>
    <w:p w14:paraId="53F6FC56" w14:textId="77777777" w:rsidR="00E24985" w:rsidRDefault="00E24985" w:rsidP="00E24985">
      <w:pPr>
        <w:pStyle w:val="Para0"/>
      </w:pPr>
      <w:r>
        <w:t>The priority given to recommendations reflects either the potential environmental impact associated with the aspect of harvesting practice or the auditor’s perception of the importance of the recommendation to the effectiveness of the regulatory framework.</w:t>
      </w:r>
    </w:p>
    <w:p w14:paraId="453B49E8" w14:textId="77777777" w:rsidR="00E24985" w:rsidRDefault="00E24985" w:rsidP="00E24985">
      <w:pPr>
        <w:pStyle w:val="SectionSubheading2"/>
      </w:pPr>
      <w:r>
        <w:lastRenderedPageBreak/>
        <w:t>Recommendations for VicForests</w:t>
      </w:r>
    </w:p>
    <w:tbl>
      <w:tblPr>
        <w:tblStyle w:val="TableGrid"/>
        <w:tblW w:w="491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4110"/>
        <w:gridCol w:w="5339"/>
      </w:tblGrid>
      <w:tr w:rsidR="00E24985" w:rsidRPr="00D27DDC" w14:paraId="5E04833D" w14:textId="77777777" w:rsidTr="0028330A">
        <w:trPr>
          <w:cantSplit/>
          <w:tblHeader/>
        </w:trPr>
        <w:tc>
          <w:tcPr>
            <w:tcW w:w="2175" w:type="pct"/>
            <w:tcBorders>
              <w:right w:val="nil"/>
            </w:tcBorders>
            <w:shd w:val="clear" w:color="auto" w:fill="E5E5E5" w:themeFill="background2"/>
          </w:tcPr>
          <w:p w14:paraId="0E8F1AE2" w14:textId="77777777" w:rsidR="00E24985" w:rsidRPr="00D27DDC" w:rsidRDefault="00E24985" w:rsidP="00E24985">
            <w:pPr>
              <w:pStyle w:val="Tablesmalltext"/>
              <w:rPr>
                <w:b/>
              </w:rPr>
            </w:pPr>
            <w:r w:rsidRPr="00D27DDC">
              <w:rPr>
                <w:b/>
              </w:rPr>
              <w:t xml:space="preserve">Recommendation </w:t>
            </w:r>
          </w:p>
        </w:tc>
        <w:tc>
          <w:tcPr>
            <w:tcW w:w="2825" w:type="pct"/>
            <w:tcBorders>
              <w:left w:val="nil"/>
            </w:tcBorders>
            <w:shd w:val="clear" w:color="auto" w:fill="E5E5E5" w:themeFill="background2"/>
          </w:tcPr>
          <w:p w14:paraId="2306FC29" w14:textId="77777777" w:rsidR="00E24985" w:rsidRPr="00D27DDC" w:rsidRDefault="00E24985" w:rsidP="00E24985">
            <w:pPr>
              <w:pStyle w:val="Tablesmalltext"/>
              <w:rPr>
                <w:b/>
              </w:rPr>
            </w:pPr>
            <w:r w:rsidRPr="00D27DDC">
              <w:rPr>
                <w:b/>
              </w:rPr>
              <w:t>Rationale</w:t>
            </w:r>
          </w:p>
        </w:tc>
      </w:tr>
      <w:tr w:rsidR="00E24985" w14:paraId="6B8EBC4C" w14:textId="77777777" w:rsidTr="0028330A">
        <w:trPr>
          <w:cantSplit/>
        </w:trPr>
        <w:tc>
          <w:tcPr>
            <w:tcW w:w="2175" w:type="pct"/>
          </w:tcPr>
          <w:p w14:paraId="6E2BACE6" w14:textId="77777777" w:rsidR="00E24985" w:rsidRPr="00697E1A" w:rsidRDefault="00E24985" w:rsidP="00E24985">
            <w:pPr>
              <w:pStyle w:val="Tablesmalltext"/>
              <w:rPr>
                <w:b/>
              </w:rPr>
            </w:pPr>
            <w:r>
              <w:rPr>
                <w:b/>
              </w:rPr>
              <w:t>V-01</w:t>
            </w:r>
            <w:r w:rsidRPr="00697E1A">
              <w:rPr>
                <w:b/>
              </w:rPr>
              <w:t xml:space="preserve">: </w:t>
            </w:r>
            <w:r>
              <w:rPr>
                <w:b/>
              </w:rPr>
              <w:t xml:space="preserve">Medium </w:t>
            </w:r>
            <w:r w:rsidRPr="00697E1A">
              <w:rPr>
                <w:b/>
              </w:rPr>
              <w:t>priority</w:t>
            </w:r>
          </w:p>
          <w:p w14:paraId="1C94E96B" w14:textId="77777777" w:rsidR="00E24985" w:rsidRDefault="00E24985" w:rsidP="00E24985">
            <w:pPr>
              <w:pStyle w:val="Tablesmalltext"/>
            </w:pPr>
            <w:r w:rsidRPr="00176C79">
              <w:t>That VicForests adopt a consistent practice of marking maps of in-coupe waterways with the waterway classification as well as whether a buffer, filter or buffer and filter have been applied.</w:t>
            </w:r>
          </w:p>
        </w:tc>
        <w:tc>
          <w:tcPr>
            <w:tcW w:w="2825" w:type="pct"/>
          </w:tcPr>
          <w:p w14:paraId="17CB7D13" w14:textId="77777777" w:rsidR="00E24985" w:rsidRDefault="00E24985" w:rsidP="00E24985">
            <w:pPr>
              <w:pStyle w:val="Tablesmalltext"/>
            </w:pPr>
          </w:p>
          <w:p w14:paraId="7489F527" w14:textId="77777777" w:rsidR="00E24985" w:rsidRDefault="00E24985" w:rsidP="00E24985">
            <w:pPr>
              <w:pStyle w:val="Tablesmalltext"/>
            </w:pPr>
            <w:r>
              <w:t xml:space="preserve">There is considerable variation in VicForests’ practice in labelling the class of waterway present within the gross coupe boundary and whether a buffer and/or filter has been applied. Explicit marking of waterway category and whether a buffer and/or filter has been applied would provide unambiguous evidence for an auditor of what has been planned. It would also enable VicForests to readily demonstrate above minimum protection of waterways where a buffer has been provided when only a filter is required (which in the auditors’ experience is a relatively common occurrence). </w:t>
            </w:r>
          </w:p>
        </w:tc>
      </w:tr>
      <w:tr w:rsidR="00E24985" w14:paraId="3B78109F" w14:textId="77777777" w:rsidTr="0028330A">
        <w:trPr>
          <w:cantSplit/>
        </w:trPr>
        <w:tc>
          <w:tcPr>
            <w:tcW w:w="2175" w:type="pct"/>
          </w:tcPr>
          <w:p w14:paraId="62513BC1" w14:textId="4A63422C" w:rsidR="00E24985" w:rsidRDefault="00E24985" w:rsidP="00E24985">
            <w:pPr>
              <w:pStyle w:val="Tablesmalltext"/>
              <w:rPr>
                <w:b/>
              </w:rPr>
            </w:pPr>
            <w:r>
              <w:rPr>
                <w:b/>
              </w:rPr>
              <w:t>V-0</w:t>
            </w:r>
            <w:r w:rsidR="006F0678">
              <w:rPr>
                <w:b/>
              </w:rPr>
              <w:t>2</w:t>
            </w:r>
            <w:r>
              <w:rPr>
                <w:b/>
              </w:rPr>
              <w:t xml:space="preserve"> Medium priority</w:t>
            </w:r>
          </w:p>
          <w:p w14:paraId="616E4E47" w14:textId="77777777" w:rsidR="00E24985" w:rsidRPr="005F724E" w:rsidRDefault="00E24985" w:rsidP="00E24985">
            <w:pPr>
              <w:pStyle w:val="Tablesmalltext"/>
            </w:pPr>
            <w:r w:rsidRPr="005F724E">
              <w:t>That VicForests continue to work with its contractors to ensure that appropriately-spaced drainage structures are constructed on all snig tracks. This means not exceeding the spacings specified in the UPs and not having structures that are unnecessarily close and/or disproportionately large.</w:t>
            </w:r>
          </w:p>
        </w:tc>
        <w:tc>
          <w:tcPr>
            <w:tcW w:w="2825" w:type="pct"/>
          </w:tcPr>
          <w:p w14:paraId="5FBDDA99" w14:textId="77777777" w:rsidR="00E24985" w:rsidRDefault="00E24985" w:rsidP="00E24985">
            <w:pPr>
              <w:pStyle w:val="Tablesmalltext"/>
            </w:pPr>
          </w:p>
          <w:p w14:paraId="11781380" w14:textId="77777777" w:rsidR="00E24985" w:rsidRDefault="00E24985" w:rsidP="00E24985">
            <w:pPr>
              <w:pStyle w:val="Tablesmalltext"/>
            </w:pPr>
            <w:r>
              <w:t xml:space="preserve">This audit identified numerous instances where drainage spacing on snig tracks exceeded the limit specified in VicForests UPs. VicForests needs to continue to work with its contractors to reduce the incidence of such non-conformances. </w:t>
            </w:r>
          </w:p>
          <w:p w14:paraId="4690C8E7" w14:textId="4E51149E" w:rsidR="00E24985" w:rsidRDefault="00E24985" w:rsidP="00E24985">
            <w:pPr>
              <w:pStyle w:val="Tablesmalltext"/>
            </w:pPr>
            <w:r>
              <w:t xml:space="preserve">In contrast, some coupes appear to have more drainage structures than are required. This results in unnecessary disturbance, greater costs and increased greenhouse gas emissions. </w:t>
            </w:r>
          </w:p>
        </w:tc>
      </w:tr>
      <w:tr w:rsidR="00E24985" w14:paraId="5A0F0882" w14:textId="77777777" w:rsidTr="0028330A">
        <w:trPr>
          <w:cantSplit/>
        </w:trPr>
        <w:tc>
          <w:tcPr>
            <w:tcW w:w="2175" w:type="pct"/>
          </w:tcPr>
          <w:p w14:paraId="08228147" w14:textId="3FCDC0EF" w:rsidR="00E24985" w:rsidRDefault="00E24985" w:rsidP="00E24985">
            <w:pPr>
              <w:pStyle w:val="Tablesmalltext"/>
              <w:rPr>
                <w:b/>
              </w:rPr>
            </w:pPr>
            <w:r>
              <w:rPr>
                <w:b/>
              </w:rPr>
              <w:t>V-0</w:t>
            </w:r>
            <w:r w:rsidR="006F0678">
              <w:rPr>
                <w:b/>
              </w:rPr>
              <w:t>3</w:t>
            </w:r>
            <w:r>
              <w:rPr>
                <w:b/>
              </w:rPr>
              <w:t xml:space="preserve"> </w:t>
            </w:r>
            <w:r w:rsidR="00A113E1">
              <w:rPr>
                <w:b/>
              </w:rPr>
              <w:t>High</w:t>
            </w:r>
            <w:r>
              <w:rPr>
                <w:b/>
              </w:rPr>
              <w:t xml:space="preserve"> priority</w:t>
            </w:r>
          </w:p>
          <w:p w14:paraId="2EC62848" w14:textId="77777777" w:rsidR="00E24985" w:rsidRPr="00855032" w:rsidRDefault="00E24985" w:rsidP="00E24985">
            <w:pPr>
              <w:pStyle w:val="Tablesmalltext"/>
            </w:pPr>
            <w:r w:rsidRPr="00855032">
              <w:t>That VicForests work with its contractors to minimise disturbances of riparian buffers and filters by snig tracks. Where it is reasonably practicable to do so, snig track crossings of drainage lines and temporary streams should be avoided. Where crossings are necessary, appropriate drainage should be constructed and crossings should be appropriately rehabilitated once the snig track is no longer required.</w:t>
            </w:r>
          </w:p>
        </w:tc>
        <w:tc>
          <w:tcPr>
            <w:tcW w:w="2825" w:type="pct"/>
          </w:tcPr>
          <w:p w14:paraId="0304216F" w14:textId="77777777" w:rsidR="00E24985" w:rsidRDefault="00E24985" w:rsidP="00E24985">
            <w:pPr>
              <w:pStyle w:val="Tablesmalltext"/>
            </w:pPr>
          </w:p>
          <w:p w14:paraId="5083598B" w14:textId="77777777" w:rsidR="00E24985" w:rsidRDefault="00E24985" w:rsidP="00E24985">
            <w:pPr>
              <w:pStyle w:val="Tablesmalltext"/>
            </w:pPr>
            <w:r>
              <w:t xml:space="preserve">The MSPs specify that </w:t>
            </w:r>
            <w:r w:rsidRPr="00855032">
              <w:t>machinery is to be excluded from waterway buffers and filters (7.1.3.2</w:t>
            </w:r>
            <w:r>
              <w:t>,</w:t>
            </w:r>
            <w:r w:rsidRPr="00855032">
              <w:t xml:space="preserve"> 7.1.4.1), except during the construction of a sanctioned stream crossing or use of an established crossing. </w:t>
            </w:r>
            <w:r>
              <w:t>While t</w:t>
            </w:r>
            <w:r w:rsidRPr="00855032">
              <w:t>his applies to snig and boundary tracks (MSP 7.2.1.1, 7.2.3.1)</w:t>
            </w:r>
            <w:r>
              <w:t>, s</w:t>
            </w:r>
            <w:r w:rsidRPr="00855032">
              <w:t>everal instances were observed of snig tracks being constructed across</w:t>
            </w:r>
            <w:r>
              <w:t xml:space="preserve"> or along </w:t>
            </w:r>
            <w:r w:rsidRPr="00855032">
              <w:t xml:space="preserve">drainage line filters </w:t>
            </w:r>
            <w:r>
              <w:t>without apparent sanction</w:t>
            </w:r>
            <w:r w:rsidRPr="00855032">
              <w:t xml:space="preserve">. </w:t>
            </w:r>
          </w:p>
        </w:tc>
      </w:tr>
      <w:tr w:rsidR="00E24985" w14:paraId="549B8272" w14:textId="77777777" w:rsidTr="0028330A">
        <w:trPr>
          <w:cantSplit/>
        </w:trPr>
        <w:tc>
          <w:tcPr>
            <w:tcW w:w="2175" w:type="pct"/>
          </w:tcPr>
          <w:p w14:paraId="0DC639FF" w14:textId="01027E19" w:rsidR="00E24985" w:rsidRDefault="00E24985" w:rsidP="00E24985">
            <w:pPr>
              <w:pStyle w:val="Tablesmalltext"/>
              <w:rPr>
                <w:b/>
              </w:rPr>
            </w:pPr>
            <w:r>
              <w:rPr>
                <w:b/>
              </w:rPr>
              <w:t>V-0</w:t>
            </w:r>
            <w:r w:rsidR="006F0678">
              <w:rPr>
                <w:b/>
              </w:rPr>
              <w:t>4</w:t>
            </w:r>
            <w:r>
              <w:rPr>
                <w:b/>
              </w:rPr>
              <w:t xml:space="preserve"> High priority</w:t>
            </w:r>
          </w:p>
          <w:p w14:paraId="08ABAC27" w14:textId="0F92B58F" w:rsidR="00E24985" w:rsidRPr="0045463B" w:rsidRDefault="00E24985" w:rsidP="00E24985">
            <w:pPr>
              <w:pStyle w:val="Tablesmalltext"/>
            </w:pPr>
            <w:r w:rsidRPr="00A31418">
              <w:t>That VicForests amend its couple planning and monitoring recording processes to ensure those planning and supervising harvesting operations appropriately assess</w:t>
            </w:r>
            <w:r w:rsidR="0028330A">
              <w:t>,</w:t>
            </w:r>
            <w:r w:rsidRPr="00A31418">
              <w:t xml:space="preserve"> </w:t>
            </w:r>
            <w:r w:rsidR="0028330A">
              <w:t xml:space="preserve">manage and report on </w:t>
            </w:r>
            <w:r w:rsidRPr="00A31418">
              <w:t>biosecurity risks associated with machinery movement, the import of gravel for in-coupe roads, Myrtle Wilt and the entry and spread of new weeds.</w:t>
            </w:r>
          </w:p>
        </w:tc>
        <w:tc>
          <w:tcPr>
            <w:tcW w:w="2825" w:type="pct"/>
          </w:tcPr>
          <w:p w14:paraId="3CF816B4" w14:textId="77777777" w:rsidR="00E24985" w:rsidRDefault="00E24985" w:rsidP="00E24985">
            <w:pPr>
              <w:pStyle w:val="Tablesmalltext"/>
            </w:pPr>
          </w:p>
          <w:p w14:paraId="148BDC9F" w14:textId="275DC217" w:rsidR="00E24985" w:rsidRDefault="00E24985" w:rsidP="00E24985">
            <w:pPr>
              <w:pStyle w:val="Tablesmalltext"/>
            </w:pPr>
            <w:r w:rsidRPr="009150F3">
              <w:t xml:space="preserve">VicForests treatment of biosecurity risks during coupe planning and operations is not nearly as transparent or auditable as its treatment of risks to soil, catchment or biodiversity values. Section 5 of the FCPs (and some other records in paper coupe files) hold specific records of how the latter are addressed. </w:t>
            </w:r>
            <w:r w:rsidR="0028330A">
              <w:t>R</w:t>
            </w:r>
            <w:r w:rsidRPr="009150F3">
              <w:t xml:space="preserve">ecords of how biosecurity risks are addressed are </w:t>
            </w:r>
            <w:r w:rsidR="0028330A">
              <w:t xml:space="preserve">often </w:t>
            </w:r>
            <w:r w:rsidRPr="009150F3">
              <w:t>lacking</w:t>
            </w:r>
            <w:r w:rsidR="0028330A">
              <w:t xml:space="preserve"> from coupe files</w:t>
            </w:r>
            <w:r w:rsidRPr="009150F3">
              <w:t xml:space="preserve">. </w:t>
            </w:r>
            <w:r>
              <w:t xml:space="preserve">Recording actions to address biosecurity risks should </w:t>
            </w:r>
            <w:r w:rsidRPr="009150F3">
              <w:t xml:space="preserve">help </w:t>
            </w:r>
            <w:r>
              <w:t xml:space="preserve">to </w:t>
            </w:r>
            <w:r w:rsidRPr="009150F3">
              <w:t xml:space="preserve">ensure </w:t>
            </w:r>
            <w:r>
              <w:t xml:space="preserve">that those </w:t>
            </w:r>
            <w:r w:rsidRPr="009150F3">
              <w:t xml:space="preserve">risks are being </w:t>
            </w:r>
            <w:r>
              <w:t xml:space="preserve">actively </w:t>
            </w:r>
            <w:r w:rsidRPr="009150F3">
              <w:t>managed in conformance with the regulatory framework.</w:t>
            </w:r>
          </w:p>
        </w:tc>
      </w:tr>
      <w:tr w:rsidR="00E24985" w14:paraId="13737E7D" w14:textId="77777777" w:rsidTr="0028330A">
        <w:trPr>
          <w:cantSplit/>
        </w:trPr>
        <w:tc>
          <w:tcPr>
            <w:tcW w:w="2175" w:type="pct"/>
          </w:tcPr>
          <w:p w14:paraId="6CE84294" w14:textId="43584FDE" w:rsidR="00E24985" w:rsidRDefault="00E24985" w:rsidP="00E24985">
            <w:pPr>
              <w:pStyle w:val="Tablesmalltext"/>
              <w:rPr>
                <w:b/>
              </w:rPr>
            </w:pPr>
            <w:r>
              <w:rPr>
                <w:b/>
              </w:rPr>
              <w:t>V-0</w:t>
            </w:r>
            <w:r w:rsidR="006F0678">
              <w:rPr>
                <w:b/>
              </w:rPr>
              <w:t>5</w:t>
            </w:r>
            <w:r>
              <w:rPr>
                <w:b/>
              </w:rPr>
              <w:t xml:space="preserve"> Medium priority</w:t>
            </w:r>
          </w:p>
          <w:p w14:paraId="254F0893" w14:textId="13EEC7EA" w:rsidR="00E24985" w:rsidRPr="009150F3" w:rsidRDefault="006F0678" w:rsidP="00E24985">
            <w:pPr>
              <w:pStyle w:val="Tablesmalltext"/>
            </w:pPr>
            <w:r w:rsidRPr="006F0678">
              <w:t>That VicForests review, and as necessary, revise its UPs to ensure that it instructs contractors to rehabilitate any snig track, landing or other area where machinery has compacted the soil as required by MSP 7.2.2.6 and not just snig tracks and landings.</w:t>
            </w:r>
          </w:p>
        </w:tc>
        <w:tc>
          <w:tcPr>
            <w:tcW w:w="2825" w:type="pct"/>
          </w:tcPr>
          <w:p w14:paraId="6408BCF4" w14:textId="77777777" w:rsidR="00E24985" w:rsidRDefault="00E24985" w:rsidP="00E24985">
            <w:pPr>
              <w:pStyle w:val="Tablesmalltext"/>
            </w:pPr>
          </w:p>
          <w:p w14:paraId="3E45B668" w14:textId="17BC42B1" w:rsidR="00A90BF5" w:rsidRDefault="00E24985" w:rsidP="00E24985">
            <w:pPr>
              <w:pStyle w:val="Tablesmalltext"/>
            </w:pPr>
            <w:r w:rsidRPr="009150F3">
              <w:t xml:space="preserve">Discussions with VicForests’ staff </w:t>
            </w:r>
            <w:r>
              <w:t>during</w:t>
            </w:r>
            <w:r w:rsidR="006F0678">
              <w:t xml:space="preserve"> and since</w:t>
            </w:r>
            <w:r>
              <w:t xml:space="preserve"> the field audit </w:t>
            </w:r>
            <w:r w:rsidRPr="009150F3">
              <w:t xml:space="preserve">suggested that VicForests’ UPs may </w:t>
            </w:r>
            <w:r w:rsidR="006F0678">
              <w:t xml:space="preserve">not explicitly direct contractors to rehabilitate all areas compacted by machinery traffic as directed by the MSP 7.2.2.6. Rather they focus on landings, snig tracks and associated coupe infrastructure. </w:t>
            </w:r>
            <w:r>
              <w:t xml:space="preserve">To the extent that this is the case, the UPs should be amended to ensure </w:t>
            </w:r>
            <w:r w:rsidR="006F0678">
              <w:t xml:space="preserve">all compacted areas within the coupe </w:t>
            </w:r>
            <w:r>
              <w:t>are rehabilitated as prescribed by the regulatory framework.</w:t>
            </w:r>
          </w:p>
        </w:tc>
      </w:tr>
      <w:tr w:rsidR="00E24985" w14:paraId="1E686D93" w14:textId="77777777" w:rsidTr="0028330A">
        <w:trPr>
          <w:cantSplit/>
        </w:trPr>
        <w:tc>
          <w:tcPr>
            <w:tcW w:w="2175" w:type="pct"/>
          </w:tcPr>
          <w:p w14:paraId="50C8388F" w14:textId="5878076A" w:rsidR="00E24985" w:rsidRDefault="00E24985" w:rsidP="00E24985">
            <w:pPr>
              <w:pStyle w:val="Tablesmalltext"/>
              <w:rPr>
                <w:b/>
              </w:rPr>
            </w:pPr>
            <w:r>
              <w:rPr>
                <w:b/>
              </w:rPr>
              <w:lastRenderedPageBreak/>
              <w:t>V-0</w:t>
            </w:r>
            <w:r w:rsidR="006F0678">
              <w:rPr>
                <w:b/>
              </w:rPr>
              <w:t>6</w:t>
            </w:r>
            <w:r>
              <w:rPr>
                <w:b/>
              </w:rPr>
              <w:t xml:space="preserve"> Medium priority</w:t>
            </w:r>
          </w:p>
          <w:p w14:paraId="2C2E93CD" w14:textId="77777777" w:rsidR="00E24985" w:rsidRPr="009150F3" w:rsidRDefault="00E24985" w:rsidP="00E24985">
            <w:pPr>
              <w:pStyle w:val="Tablesmalltext"/>
            </w:pPr>
            <w:r w:rsidRPr="009150F3">
              <w:t>That VicForests develop procedures to track the status of drainage along boundary (or other) tracks that have been constructed or made trafficable for regeneration burning to ensure that drainage is constructed or reinstated once the coupe is burnt or otherwise regenerated, in conformance with MSP 7.2.3.4.</w:t>
            </w:r>
          </w:p>
        </w:tc>
        <w:tc>
          <w:tcPr>
            <w:tcW w:w="2825" w:type="pct"/>
          </w:tcPr>
          <w:p w14:paraId="11E8EEC0" w14:textId="77777777" w:rsidR="00E24985" w:rsidRDefault="00E24985" w:rsidP="00E24985">
            <w:pPr>
              <w:pStyle w:val="Tablesmalltext"/>
            </w:pPr>
          </w:p>
          <w:p w14:paraId="301BF5F8" w14:textId="1A4287C8" w:rsidR="00E24985" w:rsidRDefault="00E24985" w:rsidP="00E24985">
            <w:pPr>
              <w:pStyle w:val="Tablesmalltext"/>
            </w:pPr>
            <w:r w:rsidRPr="009150F3">
              <w:t xml:space="preserve">Several coupes were identified </w:t>
            </w:r>
            <w:r>
              <w:t xml:space="preserve">in this audit </w:t>
            </w:r>
            <w:r w:rsidRPr="009150F3">
              <w:t xml:space="preserve">where drainage on boundary tracks was either not constructed or had not been not-reinstated following regeneration. </w:t>
            </w:r>
            <w:r>
              <w:t xml:space="preserve">Where </w:t>
            </w:r>
            <w:r w:rsidR="0028330A">
              <w:t>a</w:t>
            </w:r>
            <w:r>
              <w:t xml:space="preserve"> coupe is located in steeply sloping landscapes, this could lead to soil erosion and sediment movement towards waterways.  </w:t>
            </w:r>
          </w:p>
          <w:p w14:paraId="3BB80A1A" w14:textId="77777777" w:rsidR="00E24985" w:rsidRDefault="00E24985" w:rsidP="00E24985">
            <w:pPr>
              <w:pStyle w:val="Tablesmalltext"/>
            </w:pPr>
            <w:r>
              <w:t>It is assumed that this form of non-conformance reflects that track rehabilitation has been overlooked. Development of procedures to track and record the status of boundary track drainage may help to prevent this from occurring.</w:t>
            </w:r>
          </w:p>
        </w:tc>
      </w:tr>
      <w:tr w:rsidR="00E24985" w14:paraId="35907E3E" w14:textId="77777777" w:rsidTr="0028330A">
        <w:trPr>
          <w:cantSplit/>
        </w:trPr>
        <w:tc>
          <w:tcPr>
            <w:tcW w:w="2175" w:type="pct"/>
          </w:tcPr>
          <w:p w14:paraId="274069FC" w14:textId="39E6F14D" w:rsidR="00E24985" w:rsidRDefault="00E24985" w:rsidP="00E24985">
            <w:pPr>
              <w:pStyle w:val="Tablesmalltext"/>
              <w:rPr>
                <w:b/>
              </w:rPr>
            </w:pPr>
            <w:r>
              <w:rPr>
                <w:b/>
              </w:rPr>
              <w:t>V-</w:t>
            </w:r>
            <w:r w:rsidR="00EB26C1">
              <w:rPr>
                <w:b/>
              </w:rPr>
              <w:t>0</w:t>
            </w:r>
            <w:r w:rsidR="006F0678">
              <w:rPr>
                <w:b/>
              </w:rPr>
              <w:t>7</w:t>
            </w:r>
            <w:r>
              <w:rPr>
                <w:b/>
              </w:rPr>
              <w:t xml:space="preserve"> Medium priority</w:t>
            </w:r>
          </w:p>
          <w:p w14:paraId="6D2EAA42" w14:textId="77777777" w:rsidR="00E24985" w:rsidRPr="006B3165" w:rsidRDefault="00E24985" w:rsidP="00E24985">
            <w:pPr>
              <w:pStyle w:val="Tablesmalltext"/>
            </w:pPr>
            <w:r w:rsidRPr="006B3165">
              <w:t>That VicForests develop specific forms (or sections of forms) for its coupe monitoring records that require explicit assessment of in-coupe road and waterway crossing conformance with applicable Code and MSP prescriptions.</w:t>
            </w:r>
          </w:p>
        </w:tc>
        <w:tc>
          <w:tcPr>
            <w:tcW w:w="2825" w:type="pct"/>
          </w:tcPr>
          <w:p w14:paraId="32468B48" w14:textId="77777777" w:rsidR="00E24985" w:rsidRDefault="00E24985" w:rsidP="00E24985">
            <w:pPr>
              <w:pStyle w:val="Tablesmalltext"/>
            </w:pPr>
          </w:p>
          <w:p w14:paraId="575A12CF" w14:textId="77777777" w:rsidR="00E24985" w:rsidRDefault="00E24985" w:rsidP="00E24985">
            <w:pPr>
              <w:pStyle w:val="Tablesmalltext"/>
            </w:pPr>
            <w:r>
              <w:t>The identification of non-conforming waterway crossings and in-coupe road drainage spacings have been a key feature of recent audits. The development of specific assessment and reporting procedures as part of in-coupe monitoring may help VicForests to detect and rectify non-conforming crossing soon after construction.</w:t>
            </w:r>
          </w:p>
        </w:tc>
      </w:tr>
    </w:tbl>
    <w:p w14:paraId="0347F1B6" w14:textId="77777777" w:rsidR="00E24985" w:rsidRDefault="00E24985" w:rsidP="00E24985">
      <w:pPr>
        <w:pStyle w:val="SectionSubheading2"/>
      </w:pPr>
      <w:r>
        <w:t>Recommendations for DELWP</w:t>
      </w:r>
    </w:p>
    <w:tbl>
      <w:tblPr>
        <w:tblStyle w:val="TableGrid"/>
        <w:tblW w:w="4919" w:type="pct"/>
        <w:tblInd w:w="-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4110"/>
        <w:gridCol w:w="5339"/>
      </w:tblGrid>
      <w:tr w:rsidR="00E24985" w:rsidRPr="00D27DDC" w14:paraId="5F8B424A" w14:textId="77777777" w:rsidTr="0028330A">
        <w:trPr>
          <w:cantSplit/>
          <w:tblHeader/>
        </w:trPr>
        <w:tc>
          <w:tcPr>
            <w:tcW w:w="2175" w:type="pct"/>
            <w:tcBorders>
              <w:right w:val="nil"/>
            </w:tcBorders>
            <w:shd w:val="clear" w:color="auto" w:fill="E5E5E5" w:themeFill="background2"/>
          </w:tcPr>
          <w:p w14:paraId="7A1076C8" w14:textId="77777777" w:rsidR="00E24985" w:rsidRPr="00D27DDC" w:rsidRDefault="00E24985" w:rsidP="00E24985">
            <w:pPr>
              <w:pStyle w:val="Tablesmalltext"/>
              <w:rPr>
                <w:b/>
              </w:rPr>
            </w:pPr>
            <w:r w:rsidRPr="00D27DDC">
              <w:rPr>
                <w:b/>
              </w:rPr>
              <w:t xml:space="preserve">Recommendation </w:t>
            </w:r>
          </w:p>
        </w:tc>
        <w:tc>
          <w:tcPr>
            <w:tcW w:w="2825" w:type="pct"/>
            <w:tcBorders>
              <w:left w:val="nil"/>
            </w:tcBorders>
            <w:shd w:val="clear" w:color="auto" w:fill="E5E5E5" w:themeFill="background2"/>
          </w:tcPr>
          <w:p w14:paraId="64A9C22E" w14:textId="77777777" w:rsidR="00E24985" w:rsidRPr="00D27DDC" w:rsidRDefault="00E24985" w:rsidP="00E24985">
            <w:pPr>
              <w:pStyle w:val="Tablesmalltext"/>
              <w:rPr>
                <w:b/>
              </w:rPr>
            </w:pPr>
            <w:r w:rsidRPr="00D27DDC">
              <w:rPr>
                <w:b/>
              </w:rPr>
              <w:t>Rationale</w:t>
            </w:r>
          </w:p>
        </w:tc>
      </w:tr>
      <w:tr w:rsidR="00E24985" w14:paraId="5F75024C" w14:textId="77777777" w:rsidTr="0028330A">
        <w:trPr>
          <w:cantSplit/>
        </w:trPr>
        <w:tc>
          <w:tcPr>
            <w:tcW w:w="2175" w:type="pct"/>
          </w:tcPr>
          <w:p w14:paraId="7C7AFA14" w14:textId="77777777" w:rsidR="00E24985" w:rsidRPr="00697E1A" w:rsidRDefault="00E24985" w:rsidP="00E24985">
            <w:pPr>
              <w:pStyle w:val="Tablesmalltext"/>
              <w:rPr>
                <w:b/>
              </w:rPr>
            </w:pPr>
            <w:r>
              <w:rPr>
                <w:b/>
              </w:rPr>
              <w:t>D-01</w:t>
            </w:r>
            <w:r w:rsidRPr="00697E1A">
              <w:rPr>
                <w:b/>
              </w:rPr>
              <w:t xml:space="preserve">: </w:t>
            </w:r>
            <w:r>
              <w:rPr>
                <w:b/>
              </w:rPr>
              <w:t xml:space="preserve">High </w:t>
            </w:r>
            <w:r w:rsidRPr="00697E1A">
              <w:rPr>
                <w:b/>
              </w:rPr>
              <w:t>priority</w:t>
            </w:r>
          </w:p>
          <w:p w14:paraId="14D8D25F" w14:textId="5E475282" w:rsidR="00E24985" w:rsidRDefault="00F1219A" w:rsidP="00E24985">
            <w:pPr>
              <w:pStyle w:val="Tablesmalltext"/>
            </w:pPr>
            <w:r>
              <w:t>That DELWP engage with VicForests to monitor and evaluate implementation of new in-coupe road planning, design and construction procedures to ensure they lead to improved regulatory compliance and environmental performance.</w:t>
            </w:r>
          </w:p>
        </w:tc>
        <w:tc>
          <w:tcPr>
            <w:tcW w:w="2825" w:type="pct"/>
          </w:tcPr>
          <w:p w14:paraId="5D0B38CA" w14:textId="6FD00EE1" w:rsidR="00E24985" w:rsidRDefault="00E24985" w:rsidP="00E24985">
            <w:pPr>
              <w:pStyle w:val="Tablesmalltext"/>
            </w:pPr>
          </w:p>
          <w:p w14:paraId="7DD13F44" w14:textId="323A94AC" w:rsidR="00E24985" w:rsidRDefault="00F1219A" w:rsidP="0028330A">
            <w:pPr>
              <w:pStyle w:val="Tablesmalltext"/>
            </w:pPr>
            <w:r>
              <w:t>VicForests report having recently developed new procedures and guidance for the planning, design and construction of in-coupe roads, (at least) partly in response to related recommendations from previous audits. This recommendation is introduced to provide DELWP and VicForests with earlier evidence of their effectiveness in improving regulatory compliance and reducing environmental impacts associated with in-coupe roads and associated waterway crossings than would reliance o</w:t>
            </w:r>
            <w:r w:rsidR="0028330A">
              <w:t>n FAP audits</w:t>
            </w:r>
            <w:r>
              <w:t xml:space="preserve">. </w:t>
            </w:r>
          </w:p>
        </w:tc>
      </w:tr>
      <w:tr w:rsidR="00E24985" w14:paraId="532AF88C" w14:textId="77777777" w:rsidTr="0028330A">
        <w:trPr>
          <w:cantSplit/>
        </w:trPr>
        <w:tc>
          <w:tcPr>
            <w:tcW w:w="2175" w:type="pct"/>
          </w:tcPr>
          <w:p w14:paraId="59EA159A" w14:textId="74A438C3" w:rsidR="00E24985" w:rsidRDefault="00E24985" w:rsidP="00E24985">
            <w:pPr>
              <w:pStyle w:val="Tablesmalltext"/>
              <w:rPr>
                <w:b/>
              </w:rPr>
            </w:pPr>
            <w:r>
              <w:rPr>
                <w:b/>
              </w:rPr>
              <w:t>D-0</w:t>
            </w:r>
            <w:r w:rsidR="0028330A">
              <w:rPr>
                <w:b/>
              </w:rPr>
              <w:t>2</w:t>
            </w:r>
            <w:r>
              <w:rPr>
                <w:b/>
              </w:rPr>
              <w:t xml:space="preserve"> High priority</w:t>
            </w:r>
          </w:p>
          <w:p w14:paraId="044BAA83" w14:textId="77777777" w:rsidR="00E24985" w:rsidRPr="00A32EA0" w:rsidRDefault="00E24985" w:rsidP="00E24985">
            <w:pPr>
              <w:pStyle w:val="Tablesmalltext"/>
            </w:pPr>
            <w:r w:rsidRPr="00A32EA0">
              <w:t xml:space="preserve">DELWP should </w:t>
            </w:r>
            <w:r>
              <w:t>revise</w:t>
            </w:r>
            <w:r w:rsidRPr="002524C9">
              <w:t xml:space="preserve"> </w:t>
            </w:r>
            <w:r w:rsidRPr="00A32EA0">
              <w:t>Code and MSP prescriptions in relation to pests, weeds and diseases to provide improved rigour and transparency in biosecurity risk management practices. Consideration should be given to mandatory washdown of harvesting and road construction machinery being moved onto a coupe, assessment of quarry disease and weed status and reporting of these in FCPs.</w:t>
            </w:r>
          </w:p>
        </w:tc>
        <w:tc>
          <w:tcPr>
            <w:tcW w:w="2825" w:type="pct"/>
          </w:tcPr>
          <w:p w14:paraId="65D916D7" w14:textId="77777777" w:rsidR="00E24985" w:rsidRDefault="00E24985" w:rsidP="00E24985">
            <w:pPr>
              <w:pStyle w:val="Tablesmalltext"/>
            </w:pPr>
          </w:p>
          <w:p w14:paraId="544E193C" w14:textId="77777777" w:rsidR="00E24985" w:rsidRDefault="00E24985" w:rsidP="00E24985">
            <w:pPr>
              <w:pStyle w:val="Tablesmalltext"/>
            </w:pPr>
            <w:r>
              <w:t>The Code and MSPs are considered by the auditors to take a relatively passive approach to the identification and management of biosecurity risks to forests in which roading and timber harvesting occur. The recommendations propose a more active approach to the management of this risk and, in part, is consistent with existing VicForests practice.</w:t>
            </w:r>
          </w:p>
        </w:tc>
      </w:tr>
      <w:tr w:rsidR="00E24985" w14:paraId="132E4A09" w14:textId="77777777" w:rsidTr="0028330A">
        <w:trPr>
          <w:cantSplit/>
        </w:trPr>
        <w:tc>
          <w:tcPr>
            <w:tcW w:w="2175" w:type="pct"/>
          </w:tcPr>
          <w:p w14:paraId="328E0653" w14:textId="2D138D0D" w:rsidR="00E24985" w:rsidRDefault="00E24985" w:rsidP="00E24985">
            <w:pPr>
              <w:pStyle w:val="Tablesmalltext"/>
              <w:rPr>
                <w:b/>
              </w:rPr>
            </w:pPr>
            <w:r>
              <w:rPr>
                <w:b/>
              </w:rPr>
              <w:t>D-0</w:t>
            </w:r>
            <w:r w:rsidR="0028330A">
              <w:rPr>
                <w:b/>
              </w:rPr>
              <w:t>3</w:t>
            </w:r>
            <w:r>
              <w:rPr>
                <w:b/>
              </w:rPr>
              <w:t xml:space="preserve"> High priority</w:t>
            </w:r>
          </w:p>
          <w:p w14:paraId="0D957479" w14:textId="56A13DF9" w:rsidR="00E24985" w:rsidRPr="00A32EA0" w:rsidRDefault="0028330A" w:rsidP="00E24985">
            <w:pPr>
              <w:pStyle w:val="Tablesmalltext"/>
            </w:pPr>
            <w:r>
              <w:t>In its next revision of the MSPs, DELWP should develop and include a table that specifies appropriate maximum drainage structure spacings for snig and boundary tracks for applicable soil erosion hazard classes and appropriate slopes.</w:t>
            </w:r>
          </w:p>
        </w:tc>
        <w:tc>
          <w:tcPr>
            <w:tcW w:w="2825" w:type="pct"/>
          </w:tcPr>
          <w:p w14:paraId="39A20306" w14:textId="77777777" w:rsidR="00E24985" w:rsidRDefault="00E24985" w:rsidP="00E24985">
            <w:pPr>
              <w:pStyle w:val="Tablesmalltext"/>
            </w:pPr>
          </w:p>
          <w:p w14:paraId="175AD872" w14:textId="77777777" w:rsidR="00E24985" w:rsidRDefault="00E24985" w:rsidP="00E24985">
            <w:pPr>
              <w:pStyle w:val="Tablesmalltext"/>
            </w:pPr>
            <w:r>
              <w:t>The MSPs currently only specify maximum drain spacings for roads. Those specifications (Table 21) are not appropriate for snig and boundary tracks, whose slopes may significantly exceed the upper limits for roads. As a result, there is currently no appropriate regulatory basis for assessing drain spacings on snig and boundary tracks.</w:t>
            </w:r>
          </w:p>
        </w:tc>
      </w:tr>
    </w:tbl>
    <w:p w14:paraId="1FFAEB9A" w14:textId="77777777" w:rsidR="00E24985" w:rsidRDefault="00E24985" w:rsidP="00E24985">
      <w:pPr>
        <w:pStyle w:val="Heading1"/>
      </w:pPr>
      <w:bookmarkStart w:id="168" w:name="_Toc14273650"/>
      <w:bookmarkStart w:id="169" w:name="_Toc21354816"/>
      <w:bookmarkStart w:id="170" w:name="_Toc33202310"/>
      <w:r>
        <w:lastRenderedPageBreak/>
        <w:t>References</w:t>
      </w:r>
      <w:bookmarkEnd w:id="168"/>
      <w:bookmarkEnd w:id="169"/>
      <w:bookmarkEnd w:id="170"/>
    </w:p>
    <w:p w14:paraId="782D2C0A" w14:textId="77777777" w:rsidR="00E24985" w:rsidRPr="00D8449A" w:rsidRDefault="00E24985" w:rsidP="00E24985">
      <w:pPr>
        <w:pStyle w:val="Para0"/>
      </w:pPr>
      <w:r w:rsidRPr="00D8449A">
        <w:t xml:space="preserve">Department of Environment and Primary Industries [DEPI] 2014a. </w:t>
      </w:r>
      <w:r w:rsidRPr="00AA1E9A">
        <w:rPr>
          <w:i/>
        </w:rPr>
        <w:t>Code of practice for timber production 2014</w:t>
      </w:r>
      <w:r w:rsidRPr="00D8449A">
        <w:t>. DEPI.</w:t>
      </w:r>
    </w:p>
    <w:p w14:paraId="77FF6534" w14:textId="77777777" w:rsidR="00E24985" w:rsidRDefault="00E24985" w:rsidP="00E24985">
      <w:pPr>
        <w:pStyle w:val="Para0"/>
      </w:pPr>
      <w:r w:rsidRPr="00D8449A">
        <w:t xml:space="preserve">DEPI 2014b. </w:t>
      </w:r>
      <w:r w:rsidRPr="00AA1E9A">
        <w:rPr>
          <w:i/>
        </w:rPr>
        <w:t>Management standards and procedures for timber harvesting operations in Victoria’s State forests 2014.</w:t>
      </w:r>
      <w:r w:rsidRPr="00D8449A">
        <w:t xml:space="preserve"> DEPI.</w:t>
      </w:r>
    </w:p>
    <w:p w14:paraId="1BDA798C" w14:textId="77777777" w:rsidR="00E24985" w:rsidRPr="00D8449A" w:rsidRDefault="00E24985" w:rsidP="00E24985">
      <w:pPr>
        <w:pStyle w:val="Para0"/>
      </w:pPr>
      <w:r>
        <w:t>DEPI 2014c</w:t>
      </w:r>
      <w:r w:rsidRPr="00D8449A">
        <w:t xml:space="preserve">. </w:t>
      </w:r>
      <w:r>
        <w:rPr>
          <w:i/>
        </w:rPr>
        <w:t>Planning</w:t>
      </w:r>
      <w:r w:rsidRPr="00AA1E9A">
        <w:rPr>
          <w:i/>
        </w:rPr>
        <w:t xml:space="preserve"> standards and procedures for timber harvesting operations in Victoria’s State forests 2014.</w:t>
      </w:r>
      <w:r w:rsidRPr="00D8449A">
        <w:t xml:space="preserve"> </w:t>
      </w:r>
      <w:r>
        <w:t xml:space="preserve">Appendix 5 to the </w:t>
      </w:r>
      <w:r w:rsidRPr="00AA1E9A">
        <w:rPr>
          <w:i/>
        </w:rPr>
        <w:t>Management standards and procedures for timber harvesting operations in Victoria’s State forests 2014</w:t>
      </w:r>
      <w:r>
        <w:rPr>
          <w:i/>
        </w:rPr>
        <w:t xml:space="preserve">. </w:t>
      </w:r>
      <w:r w:rsidRPr="00D8449A">
        <w:t>DEPI</w:t>
      </w:r>
      <w:r>
        <w:t>.</w:t>
      </w:r>
    </w:p>
    <w:p w14:paraId="2775BADD" w14:textId="77777777" w:rsidR="00E24985" w:rsidRDefault="00E24985" w:rsidP="00E24985">
      <w:pPr>
        <w:pStyle w:val="Para0"/>
      </w:pPr>
      <w:r w:rsidRPr="00D8449A">
        <w:t xml:space="preserve">Department of Sustainability and Environment [DSE] 2006. </w:t>
      </w:r>
      <w:r w:rsidRPr="00AA1E9A">
        <w:rPr>
          <w:i/>
        </w:rPr>
        <w:t>Sustainability charter for Victoria’s State forests</w:t>
      </w:r>
      <w:r w:rsidRPr="00D8449A">
        <w:t>. DSE.</w:t>
      </w:r>
    </w:p>
    <w:p w14:paraId="6A8E834E" w14:textId="77777777" w:rsidR="00E24985" w:rsidRDefault="00E24985" w:rsidP="00E24985">
      <w:pPr>
        <w:pStyle w:val="Para0"/>
      </w:pPr>
      <w:r>
        <w:t>Jacobs 2016. Forest Audit Program 2015: Audit of in-coupe roads. Environmental audit of the construction and maintenance of in-coupe roads. V2.3 Report to DELWP. March 2016.</w:t>
      </w:r>
    </w:p>
    <w:p w14:paraId="78502B10" w14:textId="77777777" w:rsidR="00E24985" w:rsidRDefault="00E24985" w:rsidP="00E24985">
      <w:pPr>
        <w:pStyle w:val="Para0"/>
      </w:pPr>
      <w:r>
        <w:t>Jacobs 2018a. Audit of timber harvesting and forest regeneration in State forests in eastern Victoria. Report on the 2016-17 Forest Audit Program. IS206000-P2-001. Report to DELWP. April 2018.</w:t>
      </w:r>
    </w:p>
    <w:p w14:paraId="3690FBF3" w14:textId="77777777" w:rsidR="00E24985" w:rsidRDefault="00E24985" w:rsidP="00E24985">
      <w:pPr>
        <w:pStyle w:val="Para0"/>
      </w:pPr>
      <w:r>
        <w:t>Jacobs 2018b. Forest Audit Program 2017-18. 2017-18 Audit Summary Report. IS247800-RP-001. Report to DELWP. June 2018.</w:t>
      </w:r>
    </w:p>
    <w:p w14:paraId="731E6BEC" w14:textId="77777777" w:rsidR="00E24985" w:rsidRDefault="00E24985" w:rsidP="00E24985">
      <w:pPr>
        <w:pStyle w:val="Para0"/>
      </w:pPr>
      <w:r>
        <w:t>Jacobs 2019. Forest Audit Program 2018-19. 2018-19 Audit Summary Report. IS284400-RP-001. Report to DELWP. June 2019.</w:t>
      </w:r>
    </w:p>
    <w:p w14:paraId="711F23FC" w14:textId="77777777" w:rsidR="00E24985" w:rsidRPr="00D8449A" w:rsidRDefault="00E24985" w:rsidP="00E24985">
      <w:pPr>
        <w:pStyle w:val="Para0"/>
      </w:pPr>
      <w:r>
        <w:t>URS (2015) Environmental audit. Forest Audit Program 2014. Report on Module 1: Harvesting and closure and Module 3: Regeneration and finalisation. Report for Department of Environment and Primary Industries. URS Australia Pty Ltd.</w:t>
      </w:r>
    </w:p>
    <w:p w14:paraId="52B46013" w14:textId="77777777" w:rsidR="00E24985" w:rsidRDefault="00E24985" w:rsidP="00E24985">
      <w:pPr>
        <w:pStyle w:val="Para0"/>
      </w:pPr>
    </w:p>
    <w:p w14:paraId="6CD69789" w14:textId="77777777" w:rsidR="00E24985" w:rsidRDefault="00E24985" w:rsidP="00E24985">
      <w:pPr>
        <w:pStyle w:val="SectionSubheading2"/>
      </w:pPr>
      <w:r>
        <w:t>Spatial data sources:</w:t>
      </w:r>
    </w:p>
    <w:p w14:paraId="7F804C6A" w14:textId="01F5BCD7" w:rsidR="00E24985" w:rsidRDefault="00E24985" w:rsidP="00E74AFC">
      <w:pPr>
        <w:pStyle w:val="Para0bullet"/>
        <w:numPr>
          <w:ilvl w:val="0"/>
          <w:numId w:val="72"/>
        </w:numPr>
      </w:pPr>
      <w:r>
        <w:t xml:space="preserve">Victorian government: </w:t>
      </w:r>
      <w:hyperlink r:id="rId62" w:history="1">
        <w:r w:rsidRPr="00FB6E8F">
          <w:rPr>
            <w:rStyle w:val="Hyperlink"/>
          </w:rPr>
          <w:t>www.data.vic.gov.au</w:t>
        </w:r>
      </w:hyperlink>
    </w:p>
    <w:p w14:paraId="78008334" w14:textId="77777777" w:rsidR="00E24985" w:rsidRDefault="00E24985" w:rsidP="00E74AFC">
      <w:pPr>
        <w:pStyle w:val="Para0bullet"/>
        <w:numPr>
          <w:ilvl w:val="0"/>
          <w:numId w:val="72"/>
        </w:numPr>
      </w:pPr>
      <w:r>
        <w:t>ESRI</w:t>
      </w:r>
    </w:p>
    <w:p w14:paraId="236EDA00" w14:textId="77777777" w:rsidR="00D27DDC" w:rsidRPr="007A0544" w:rsidRDefault="00D27DDC" w:rsidP="00D27DDC">
      <w:pPr>
        <w:pStyle w:val="Sectionheading"/>
      </w:pPr>
      <w:r>
        <w:lastRenderedPageBreak/>
        <w:t>Limitation statement</w:t>
      </w:r>
    </w:p>
    <w:p w14:paraId="6EAE00D2" w14:textId="00858056" w:rsidR="00D27DDC" w:rsidRPr="00986387" w:rsidRDefault="00D27DDC" w:rsidP="00D27DDC">
      <w:pPr>
        <w:pStyle w:val="Para0"/>
        <w:rPr>
          <w:lang w:val="en-AU"/>
        </w:rPr>
      </w:pPr>
      <w:r w:rsidRPr="00986387">
        <w:rPr>
          <w:lang w:val="en-AU"/>
        </w:rPr>
        <w:t xml:space="preserve">The purpose of this report and the associated services performed by </w:t>
      </w:r>
      <w:r>
        <w:rPr>
          <w:lang w:val="en-AU"/>
        </w:rPr>
        <w:fldChar w:fldCharType="begin"/>
      </w:r>
      <w:r>
        <w:rPr>
          <w:lang w:val="en-AU"/>
        </w:rPr>
        <w:instrText xml:space="preserve"> DOCVARIABLE  CoverLimitation  \* MERGEFORMAT </w:instrText>
      </w:r>
      <w:r>
        <w:rPr>
          <w:lang w:val="en-AU"/>
        </w:rPr>
        <w:fldChar w:fldCharType="separate"/>
      </w:r>
      <w:r w:rsidR="005544E2">
        <w:rPr>
          <w:lang w:val="en-AU"/>
        </w:rPr>
        <w:t>Jacobs</w:t>
      </w:r>
      <w:r>
        <w:rPr>
          <w:lang w:val="en-AU"/>
        </w:rPr>
        <w:fldChar w:fldCharType="end"/>
      </w:r>
      <w:r>
        <w:rPr>
          <w:lang w:val="en-AU"/>
        </w:rPr>
        <w:t xml:space="preserve"> wa</w:t>
      </w:r>
      <w:r w:rsidRPr="00986387">
        <w:rPr>
          <w:lang w:val="en-AU"/>
        </w:rPr>
        <w:t xml:space="preserve">s to </w:t>
      </w:r>
      <w:r>
        <w:rPr>
          <w:lang w:val="en-AU"/>
        </w:rPr>
        <w:t>conduct an environmental audit of timber harvesting operations in Victorian State forests. The work has been undertaken</w:t>
      </w:r>
      <w:r w:rsidRPr="00986387">
        <w:rPr>
          <w:lang w:val="en-AU"/>
        </w:rPr>
        <w:t xml:space="preserve"> in accordance with the scope of services set out in the contract between </w:t>
      </w:r>
      <w:r>
        <w:rPr>
          <w:lang w:val="en-AU"/>
        </w:rPr>
        <w:fldChar w:fldCharType="begin"/>
      </w:r>
      <w:r>
        <w:rPr>
          <w:lang w:val="en-AU"/>
        </w:rPr>
        <w:instrText xml:space="preserve"> DOCVARIABLE  CoverLimitation  \* MERGEFORMAT </w:instrText>
      </w:r>
      <w:r>
        <w:rPr>
          <w:lang w:val="en-AU"/>
        </w:rPr>
        <w:fldChar w:fldCharType="separate"/>
      </w:r>
      <w:r w:rsidR="005544E2">
        <w:rPr>
          <w:lang w:val="en-AU"/>
        </w:rPr>
        <w:t>Jacobs</w:t>
      </w:r>
      <w:r>
        <w:rPr>
          <w:lang w:val="en-AU"/>
        </w:rPr>
        <w:fldChar w:fldCharType="end"/>
      </w:r>
      <w:r w:rsidRPr="00986387">
        <w:rPr>
          <w:lang w:val="en-AU"/>
        </w:rPr>
        <w:t xml:space="preserve"> and </w:t>
      </w:r>
      <w:r>
        <w:rPr>
          <w:lang w:val="en-AU"/>
        </w:rPr>
        <w:t>the Department of Environment, Land, Water and Planning (DELWP)</w:t>
      </w:r>
      <w:r w:rsidRPr="00986387">
        <w:rPr>
          <w:lang w:val="en-AU"/>
        </w:rPr>
        <w:t xml:space="preserve">. </w:t>
      </w:r>
    </w:p>
    <w:p w14:paraId="24627BCA" w14:textId="34E7669A" w:rsidR="00D27DDC" w:rsidRDefault="00D27DDC" w:rsidP="00D27DDC">
      <w:pPr>
        <w:pStyle w:val="Para0"/>
        <w:rPr>
          <w:lang w:val="en-AU"/>
        </w:rPr>
      </w:pPr>
      <w:r>
        <w:rPr>
          <w:lang w:val="en-AU"/>
        </w:rPr>
        <w:fldChar w:fldCharType="begin"/>
      </w:r>
      <w:r>
        <w:rPr>
          <w:lang w:val="en-AU"/>
        </w:rPr>
        <w:instrText xml:space="preserve"> DOCVARIABLE  CoverLimitation  \* MERGEFORMAT </w:instrText>
      </w:r>
      <w:r>
        <w:rPr>
          <w:lang w:val="en-AU"/>
        </w:rPr>
        <w:fldChar w:fldCharType="separate"/>
      </w:r>
      <w:r w:rsidR="005544E2">
        <w:rPr>
          <w:lang w:val="en-AU"/>
        </w:rPr>
        <w:t>Jacobs</w:t>
      </w:r>
      <w:r>
        <w:rPr>
          <w:lang w:val="en-AU"/>
        </w:rPr>
        <w:fldChar w:fldCharType="end"/>
      </w:r>
      <w:r w:rsidRPr="00986387">
        <w:rPr>
          <w:lang w:val="en-AU"/>
        </w:rPr>
        <w:t xml:space="preserve"> derived the data in this report from </w:t>
      </w:r>
      <w:r>
        <w:rPr>
          <w:lang w:val="en-AU"/>
        </w:rPr>
        <w:t>field observations and</w:t>
      </w:r>
      <w:r w:rsidRPr="00986387">
        <w:rPr>
          <w:lang w:val="en-AU"/>
        </w:rPr>
        <w:t xml:space="preserve"> information sourced from </w:t>
      </w:r>
      <w:r>
        <w:rPr>
          <w:lang w:val="en-AU"/>
        </w:rPr>
        <w:t xml:space="preserve">DELWP, VicForests </w:t>
      </w:r>
      <w:r w:rsidRPr="00986387">
        <w:rPr>
          <w:lang w:val="en-AU"/>
        </w:rPr>
        <w:t xml:space="preserve">and/or available in the public domain at the time or times outlined in this report. The passage of time, manifestation of latent conditions or impacts of future events may require further examination of the project and subsequent data analysis, and re-evaluation of the data, findings, observations and conclusions expressed in this report. </w:t>
      </w:r>
    </w:p>
    <w:p w14:paraId="7133C5D4" w14:textId="422040C5" w:rsidR="00D27DDC" w:rsidRPr="00986387" w:rsidRDefault="00D27DDC" w:rsidP="00D27DDC">
      <w:pPr>
        <w:pStyle w:val="Para0"/>
        <w:rPr>
          <w:lang w:val="en-AU"/>
        </w:rPr>
      </w:pPr>
      <w:r>
        <w:rPr>
          <w:lang w:val="en-AU"/>
        </w:rPr>
        <w:fldChar w:fldCharType="begin"/>
      </w:r>
      <w:r>
        <w:rPr>
          <w:lang w:val="en-AU"/>
        </w:rPr>
        <w:instrText xml:space="preserve"> DOCVARIABLE  CoverLimitation  \* MERGEFORMAT </w:instrText>
      </w:r>
      <w:r>
        <w:rPr>
          <w:lang w:val="en-AU"/>
        </w:rPr>
        <w:fldChar w:fldCharType="separate"/>
      </w:r>
      <w:r w:rsidR="005544E2">
        <w:rPr>
          <w:lang w:val="en-AU"/>
        </w:rPr>
        <w:t>Jacobs</w:t>
      </w:r>
      <w:r>
        <w:rPr>
          <w:lang w:val="en-AU"/>
        </w:rPr>
        <w:fldChar w:fldCharType="end"/>
      </w:r>
      <w:r w:rsidRPr="00986387">
        <w:rPr>
          <w:lang w:val="en-AU"/>
        </w:rPr>
        <w:t xml:space="preserve"> has prepared this report in accordance with the usual care and thoroughness of the consulting profession, for the sole purpose described above and by reference to applicable standards, guidelines, procedures and practices at the date of issue of this report. For the reasons outlined above, however, no other warranty or guarantee, whether expressed or implied, is made as to the data, observations and findings expressed in this report, to the extent permitted by law.</w:t>
      </w:r>
    </w:p>
    <w:p w14:paraId="6A3940DC" w14:textId="3FA4498A" w:rsidR="00D27DDC" w:rsidRPr="00986387" w:rsidRDefault="00D27DDC" w:rsidP="00D27DDC">
      <w:pPr>
        <w:pStyle w:val="Para0"/>
        <w:rPr>
          <w:lang w:val="en-AU"/>
        </w:rPr>
      </w:pPr>
      <w:r w:rsidRPr="00986387">
        <w:rPr>
          <w:lang w:val="en-AU"/>
        </w:rPr>
        <w:t xml:space="preserve">This report should be read in full and no excerpts are to be taken as representative of the findings.  No responsibility is accepted by </w:t>
      </w:r>
      <w:r>
        <w:rPr>
          <w:lang w:val="en-AU"/>
        </w:rPr>
        <w:fldChar w:fldCharType="begin"/>
      </w:r>
      <w:r>
        <w:rPr>
          <w:lang w:val="en-AU"/>
        </w:rPr>
        <w:instrText xml:space="preserve"> DOCVARIABLE  CoverLimitation  \* MERGEFORMAT </w:instrText>
      </w:r>
      <w:r>
        <w:rPr>
          <w:lang w:val="en-AU"/>
        </w:rPr>
        <w:fldChar w:fldCharType="separate"/>
      </w:r>
      <w:r w:rsidR="005544E2">
        <w:rPr>
          <w:lang w:val="en-AU"/>
        </w:rPr>
        <w:t>Jacobs</w:t>
      </w:r>
      <w:r>
        <w:rPr>
          <w:lang w:val="en-AU"/>
        </w:rPr>
        <w:fldChar w:fldCharType="end"/>
      </w:r>
      <w:r w:rsidRPr="00986387">
        <w:rPr>
          <w:lang w:val="en-AU"/>
        </w:rPr>
        <w:t xml:space="preserve"> for use of any part of this report in any other context.</w:t>
      </w:r>
    </w:p>
    <w:p w14:paraId="317A3906" w14:textId="304D97E5" w:rsidR="00D27DDC" w:rsidRDefault="00D27DDC" w:rsidP="00D27DDC">
      <w:pPr>
        <w:pStyle w:val="Para0"/>
        <w:rPr>
          <w:lang w:val="en-AU"/>
        </w:rPr>
      </w:pPr>
      <w:r w:rsidRPr="00986387">
        <w:rPr>
          <w:lang w:val="en-AU"/>
        </w:rPr>
        <w:t xml:space="preserve">This report has been prepared on behalf of, and for the exclusive use of </w:t>
      </w:r>
      <w:r>
        <w:rPr>
          <w:lang w:val="en-AU"/>
        </w:rPr>
        <w:t>DELWP</w:t>
      </w:r>
      <w:r w:rsidRPr="00986387">
        <w:rPr>
          <w:lang w:val="en-AU"/>
        </w:rPr>
        <w:t xml:space="preserve"> and is subject to, and issued in accordance with, the provisions of the contract between </w:t>
      </w:r>
      <w:r>
        <w:rPr>
          <w:lang w:val="en-AU"/>
        </w:rPr>
        <w:fldChar w:fldCharType="begin"/>
      </w:r>
      <w:r>
        <w:rPr>
          <w:lang w:val="en-AU"/>
        </w:rPr>
        <w:instrText xml:space="preserve"> DOCVARIABLE  CoverLimitation  \* MERGEFORMAT </w:instrText>
      </w:r>
      <w:r>
        <w:rPr>
          <w:lang w:val="en-AU"/>
        </w:rPr>
        <w:fldChar w:fldCharType="separate"/>
      </w:r>
      <w:r w:rsidR="005544E2">
        <w:rPr>
          <w:lang w:val="en-AU"/>
        </w:rPr>
        <w:t>Jacobs</w:t>
      </w:r>
      <w:r>
        <w:rPr>
          <w:lang w:val="en-AU"/>
        </w:rPr>
        <w:fldChar w:fldCharType="end"/>
      </w:r>
      <w:r w:rsidRPr="00986387">
        <w:rPr>
          <w:lang w:val="en-AU"/>
        </w:rPr>
        <w:t xml:space="preserve"> and </w:t>
      </w:r>
      <w:r>
        <w:rPr>
          <w:lang w:val="en-AU"/>
        </w:rPr>
        <w:t>DELWP</w:t>
      </w:r>
      <w:r w:rsidRPr="00986387">
        <w:rPr>
          <w:lang w:val="en-AU"/>
        </w:rPr>
        <w:t xml:space="preserve">. </w:t>
      </w:r>
      <w:r>
        <w:rPr>
          <w:lang w:val="en-AU"/>
        </w:rPr>
        <w:fldChar w:fldCharType="begin"/>
      </w:r>
      <w:r>
        <w:rPr>
          <w:lang w:val="en-AU"/>
        </w:rPr>
        <w:instrText xml:space="preserve"> DOCVARIABLE  CoverLimitation  \* MERGEFORMAT </w:instrText>
      </w:r>
      <w:r>
        <w:rPr>
          <w:lang w:val="en-AU"/>
        </w:rPr>
        <w:fldChar w:fldCharType="separate"/>
      </w:r>
      <w:r w:rsidR="005544E2">
        <w:rPr>
          <w:lang w:val="en-AU"/>
        </w:rPr>
        <w:t>Jacobs</w:t>
      </w:r>
      <w:r>
        <w:rPr>
          <w:lang w:val="en-AU"/>
        </w:rPr>
        <w:fldChar w:fldCharType="end"/>
      </w:r>
      <w:r w:rsidRPr="00986387">
        <w:rPr>
          <w:lang w:val="en-AU"/>
        </w:rPr>
        <w:t xml:space="preserve"> accepts no liability or responsibility whatsoever for, or in respect of, any use of, or reliance upon, this report by any third party.</w:t>
      </w:r>
    </w:p>
    <w:p w14:paraId="34FB220C" w14:textId="77777777" w:rsidR="00032E15" w:rsidRPr="00032E15" w:rsidRDefault="00032E15" w:rsidP="00D61A6B">
      <w:pPr>
        <w:pStyle w:val="Para0"/>
      </w:pPr>
    </w:p>
    <w:p w14:paraId="2155FA48" w14:textId="77777777" w:rsidR="00032E15" w:rsidRPr="00032E15" w:rsidRDefault="00032E15" w:rsidP="00D61A6B">
      <w:pPr>
        <w:pStyle w:val="Para0"/>
      </w:pPr>
    </w:p>
    <w:p w14:paraId="7A6F606A" w14:textId="77777777" w:rsidR="00032E15" w:rsidRPr="00032E15" w:rsidRDefault="00032E15" w:rsidP="00D61A6B">
      <w:pPr>
        <w:pStyle w:val="Para0"/>
        <w:sectPr w:rsidR="00032E15" w:rsidRPr="00032E15" w:rsidSect="00A84F30">
          <w:headerReference w:type="even" r:id="rId63"/>
          <w:headerReference w:type="default" r:id="rId64"/>
          <w:footerReference w:type="even" r:id="rId65"/>
          <w:footerReference w:type="default" r:id="rId66"/>
          <w:headerReference w:type="first" r:id="rId67"/>
          <w:footerReference w:type="first" r:id="rId68"/>
          <w:pgSz w:w="11906" w:h="16838" w:code="9"/>
          <w:pgMar w:top="567" w:right="851" w:bottom="851" w:left="1440" w:header="567" w:footer="370" w:gutter="0"/>
          <w:cols w:space="0"/>
          <w:formProt w:val="0"/>
          <w:docGrid w:linePitch="360"/>
        </w:sectPr>
      </w:pPr>
    </w:p>
    <w:p w14:paraId="6C4B26A1" w14:textId="77777777" w:rsidR="00D27DDC" w:rsidRPr="00B20902" w:rsidRDefault="00D27DDC" w:rsidP="00D27DDC">
      <w:pPr>
        <w:pStyle w:val="Heading9"/>
      </w:pPr>
      <w:bookmarkStart w:id="171" w:name="_Ref13827801"/>
      <w:bookmarkStart w:id="172" w:name="_Toc26891671"/>
      <w:bookmarkStart w:id="173" w:name="_Toc33202321"/>
      <w:r>
        <w:lastRenderedPageBreak/>
        <w:t>Audit compliance elements</w:t>
      </w:r>
      <w:bookmarkEnd w:id="171"/>
      <w:bookmarkEnd w:id="172"/>
      <w:bookmarkEnd w:id="173"/>
    </w:p>
    <w:p w14:paraId="1A15EF4B" w14:textId="77777777" w:rsidR="00D27DDC" w:rsidRDefault="00D27DDC" w:rsidP="00D27DDC">
      <w:pPr>
        <w:pStyle w:val="Para0"/>
      </w:pPr>
      <w:r>
        <w:t xml:space="preserve">Regulatory compliance elements considered in the audit are included in Table A.1. They were drawn from the </w:t>
      </w:r>
      <w:r w:rsidRPr="00E84F1C">
        <w:rPr>
          <w:i/>
        </w:rPr>
        <w:t>Code of Practice for Timber Production</w:t>
      </w:r>
      <w:r>
        <w:t xml:space="preserve"> (Code; DEPI, 2014a), the associated </w:t>
      </w:r>
      <w:r w:rsidRPr="00F05644">
        <w:rPr>
          <w:i/>
        </w:rPr>
        <w:t>Management Standards and Procedures for Timber Harvesting Operations in Victoria’s State forests</w:t>
      </w:r>
      <w:r>
        <w:rPr>
          <w:i/>
        </w:rPr>
        <w:t xml:space="preserve"> </w:t>
      </w:r>
      <w:r>
        <w:t xml:space="preserve">(MSPs; DEPI, 2104b) and the </w:t>
      </w:r>
      <w:r w:rsidRPr="001E3956">
        <w:rPr>
          <w:i/>
        </w:rPr>
        <w:t>Planning Standards</w:t>
      </w:r>
      <w:r>
        <w:t xml:space="preserve"> (PS) which form Appendix 5 to the MSPs (DEPI, 2014c). Code compliance elements were selected by DELWP’s Timber Harvesting Compliance Unit (THCU). Supporting compliance elements from the MSPs and PS were selected by the audit team. </w:t>
      </w:r>
    </w:p>
    <w:p w14:paraId="5689CD03" w14:textId="77777777" w:rsidR="00D27DDC" w:rsidRDefault="00D27DDC" w:rsidP="00D27DDC">
      <w:pPr>
        <w:pStyle w:val="Para0"/>
      </w:pPr>
      <w:r>
        <w:t>Compliance criteria (stated as a question) were developed by the audit team to enable assessments of compliance with each element of the regulatory framework. Criteria generally refer to individual MSP or PS compliance elements, rather than a more overarching Code requirement. However, in some cases criteria refer to individual Code compliance elements. Compliance elements have been incorporated with criteria in Table A.1. The compliance theme(s) to which each criterion relates is also given in the table.</w:t>
      </w:r>
    </w:p>
    <w:p w14:paraId="7F8AD1D7" w14:textId="77777777" w:rsidR="00D27DDC" w:rsidRDefault="00D27DDC" w:rsidP="00D27DDC">
      <w:pPr>
        <w:pStyle w:val="Para0"/>
      </w:pPr>
      <w:r>
        <w:t>Table A.1 also provides a summary of the percentage of applicable coupes recording full-conformance with each criterion.</w:t>
      </w:r>
    </w:p>
    <w:p w14:paraId="0BA11893" w14:textId="77777777" w:rsidR="00D27DDC" w:rsidRDefault="00D27DDC" w:rsidP="00D27DDC">
      <w:pPr>
        <w:pStyle w:val="Caption"/>
      </w:pPr>
      <w:r>
        <w:t>Table A.1 Selected regulatory compliance elements for 2018-19 FAP audit and associated audit criteria. A summary of the level of full conformance with each criterion and the compliance theme or sub-theme to which each criterion relates is also shown</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770"/>
        <w:gridCol w:w="6876"/>
        <w:gridCol w:w="1181"/>
        <w:gridCol w:w="1029"/>
      </w:tblGrid>
      <w:tr w:rsidR="00D27DDC" w:rsidRPr="00730D0F" w14:paraId="565BEC6A" w14:textId="77777777" w:rsidTr="00523E3C">
        <w:trPr>
          <w:tblHeader/>
        </w:trPr>
        <w:tc>
          <w:tcPr>
            <w:tcW w:w="391" w:type="pct"/>
            <w:tcBorders>
              <w:right w:val="single" w:sz="4" w:space="0" w:color="808080"/>
            </w:tcBorders>
            <w:shd w:val="clear" w:color="auto" w:fill="E5E5E5" w:themeFill="background2"/>
          </w:tcPr>
          <w:p w14:paraId="3E386F6F" w14:textId="77777777" w:rsidR="00D27DDC" w:rsidRPr="00DA55A8" w:rsidRDefault="00D27DDC" w:rsidP="00D27DDC">
            <w:pPr>
              <w:pStyle w:val="Tablesmalltext"/>
              <w:jc w:val="center"/>
              <w:rPr>
                <w:b/>
                <w:vertAlign w:val="superscript"/>
              </w:rPr>
            </w:pPr>
            <w:r>
              <w:rPr>
                <w:b/>
              </w:rPr>
              <w:t>Source</w:t>
            </w:r>
            <w:r>
              <w:rPr>
                <w:b/>
                <w:vertAlign w:val="superscript"/>
              </w:rPr>
              <w:t>1</w:t>
            </w:r>
          </w:p>
        </w:tc>
        <w:tc>
          <w:tcPr>
            <w:tcW w:w="3488" w:type="pct"/>
            <w:tcBorders>
              <w:left w:val="single" w:sz="4" w:space="0" w:color="808080"/>
              <w:right w:val="single" w:sz="4" w:space="0" w:color="808080"/>
            </w:tcBorders>
            <w:shd w:val="clear" w:color="auto" w:fill="E5E5E5" w:themeFill="background2"/>
          </w:tcPr>
          <w:p w14:paraId="1617B95D" w14:textId="77777777" w:rsidR="00D27DDC" w:rsidRPr="00730D0F" w:rsidRDefault="00D27DDC" w:rsidP="00D27DDC">
            <w:pPr>
              <w:pStyle w:val="Tablesmalltext"/>
              <w:rPr>
                <w:b/>
              </w:rPr>
            </w:pPr>
            <w:r>
              <w:rPr>
                <w:b/>
              </w:rPr>
              <w:t>Compliance element and audit criteria</w:t>
            </w:r>
          </w:p>
        </w:tc>
        <w:tc>
          <w:tcPr>
            <w:tcW w:w="599" w:type="pct"/>
            <w:tcBorders>
              <w:left w:val="single" w:sz="4" w:space="0" w:color="808080"/>
              <w:right w:val="single" w:sz="4" w:space="0" w:color="808080"/>
            </w:tcBorders>
            <w:shd w:val="clear" w:color="auto" w:fill="E5E5E5" w:themeFill="background2"/>
          </w:tcPr>
          <w:p w14:paraId="272ED591" w14:textId="77777777" w:rsidR="00D27DDC" w:rsidRPr="00730D0F" w:rsidRDefault="00D27DDC" w:rsidP="00D27DDC">
            <w:pPr>
              <w:pStyle w:val="Tablesmalltext"/>
              <w:jc w:val="center"/>
              <w:rPr>
                <w:b/>
              </w:rPr>
            </w:pPr>
            <w:r>
              <w:rPr>
                <w:b/>
              </w:rPr>
              <w:t>% full conformance</w:t>
            </w:r>
          </w:p>
        </w:tc>
        <w:tc>
          <w:tcPr>
            <w:tcW w:w="522" w:type="pct"/>
            <w:tcBorders>
              <w:left w:val="single" w:sz="4" w:space="0" w:color="808080"/>
            </w:tcBorders>
            <w:shd w:val="clear" w:color="auto" w:fill="E5E5E5" w:themeFill="background2"/>
          </w:tcPr>
          <w:p w14:paraId="4AC3D8AB" w14:textId="77777777" w:rsidR="00D27DDC" w:rsidRPr="00DA55A8" w:rsidRDefault="00D27DDC" w:rsidP="00D27DDC">
            <w:pPr>
              <w:pStyle w:val="Tablesmalltext"/>
              <w:jc w:val="center"/>
              <w:rPr>
                <w:b/>
                <w:vertAlign w:val="superscript"/>
              </w:rPr>
            </w:pPr>
            <w:r>
              <w:rPr>
                <w:b/>
              </w:rPr>
              <w:t>Theme</w:t>
            </w:r>
            <w:r>
              <w:rPr>
                <w:b/>
                <w:vertAlign w:val="superscript"/>
              </w:rPr>
              <w:t>2</w:t>
            </w:r>
          </w:p>
        </w:tc>
      </w:tr>
      <w:tr w:rsidR="00D27DDC" w:rsidRPr="00831739" w14:paraId="5CB3F666" w14:textId="77777777" w:rsidTr="00D27DDC">
        <w:tc>
          <w:tcPr>
            <w:tcW w:w="391" w:type="pct"/>
            <w:shd w:val="clear" w:color="auto" w:fill="FFEBD0" w:themeFill="accent4" w:themeFillTint="33"/>
          </w:tcPr>
          <w:p w14:paraId="1F89859D" w14:textId="77777777" w:rsidR="00D27DDC" w:rsidRPr="00831739" w:rsidRDefault="00D27DDC" w:rsidP="00D27DDC">
            <w:pPr>
              <w:pStyle w:val="Tablesmalltext"/>
              <w:jc w:val="center"/>
              <w:rPr>
                <w:b/>
              </w:rPr>
            </w:pPr>
            <w:r w:rsidRPr="00831739">
              <w:rPr>
                <w:b/>
              </w:rPr>
              <w:t>C</w:t>
            </w:r>
          </w:p>
        </w:tc>
        <w:tc>
          <w:tcPr>
            <w:tcW w:w="4609" w:type="pct"/>
            <w:gridSpan w:val="3"/>
            <w:shd w:val="clear" w:color="auto" w:fill="FFEBD0" w:themeFill="accent4" w:themeFillTint="33"/>
            <w:vAlign w:val="center"/>
          </w:tcPr>
          <w:p w14:paraId="79D7891C" w14:textId="77777777" w:rsidR="00D27DDC" w:rsidRPr="00831739" w:rsidRDefault="00D27DDC" w:rsidP="00D27DDC">
            <w:pPr>
              <w:pStyle w:val="Tablesmalltext"/>
              <w:rPr>
                <w:b/>
              </w:rPr>
            </w:pPr>
            <w:r w:rsidRPr="00831739">
              <w:rPr>
                <w:b/>
                <w:color w:val="000000"/>
                <w:lang w:val="en-AU" w:eastAsia="en-AU"/>
              </w:rPr>
              <w:t>2.2 Environmental Values in State forests</w:t>
            </w:r>
          </w:p>
        </w:tc>
      </w:tr>
      <w:tr w:rsidR="00D27DDC" w:rsidRPr="00831739" w14:paraId="54C0D1C5" w14:textId="77777777" w:rsidTr="00D27DDC">
        <w:tc>
          <w:tcPr>
            <w:tcW w:w="391" w:type="pct"/>
            <w:shd w:val="clear" w:color="auto" w:fill="FFEBD0" w:themeFill="accent4" w:themeFillTint="33"/>
          </w:tcPr>
          <w:p w14:paraId="7F009160" w14:textId="77777777" w:rsidR="00D27DDC" w:rsidRPr="00831739" w:rsidRDefault="00D27DDC" w:rsidP="00D27DDC">
            <w:pPr>
              <w:pStyle w:val="Tablesmalltext"/>
              <w:jc w:val="center"/>
              <w:rPr>
                <w:b/>
              </w:rPr>
            </w:pPr>
            <w:r w:rsidRPr="00831739">
              <w:rPr>
                <w:b/>
              </w:rPr>
              <w:t>C</w:t>
            </w:r>
          </w:p>
        </w:tc>
        <w:tc>
          <w:tcPr>
            <w:tcW w:w="4609" w:type="pct"/>
            <w:gridSpan w:val="3"/>
            <w:shd w:val="clear" w:color="auto" w:fill="FFEBD0" w:themeFill="accent4" w:themeFillTint="33"/>
            <w:vAlign w:val="center"/>
          </w:tcPr>
          <w:p w14:paraId="53D60669" w14:textId="77777777" w:rsidR="00D27DDC" w:rsidRPr="00831739" w:rsidRDefault="00D27DDC" w:rsidP="00D27DDC">
            <w:pPr>
              <w:pStyle w:val="Tablesmalltext"/>
              <w:rPr>
                <w:b/>
              </w:rPr>
            </w:pPr>
            <w:r w:rsidRPr="00831739">
              <w:rPr>
                <w:b/>
                <w:color w:val="000000"/>
                <w:lang w:val="en-AU" w:eastAsia="en-AU"/>
              </w:rPr>
              <w:t>2.2.1 Water Quality, River Health and Soil Protection</w:t>
            </w:r>
          </w:p>
        </w:tc>
      </w:tr>
      <w:tr w:rsidR="00D27DDC" w14:paraId="4E9B94D5" w14:textId="77777777" w:rsidTr="00D27DDC">
        <w:tc>
          <w:tcPr>
            <w:tcW w:w="391" w:type="pct"/>
            <w:shd w:val="clear" w:color="auto" w:fill="FFEBD0" w:themeFill="accent4" w:themeFillTint="33"/>
          </w:tcPr>
          <w:p w14:paraId="043C546D" w14:textId="77777777" w:rsidR="00D27DDC" w:rsidRDefault="00D27DDC" w:rsidP="00D27DDC">
            <w:pPr>
              <w:pStyle w:val="Tablesmalltext"/>
              <w:jc w:val="center"/>
            </w:pPr>
            <w:r>
              <w:rPr>
                <w:lang w:val="en-AU" w:eastAsia="en-AU"/>
              </w:rPr>
              <w:t>C</w:t>
            </w:r>
          </w:p>
        </w:tc>
        <w:tc>
          <w:tcPr>
            <w:tcW w:w="4609" w:type="pct"/>
            <w:gridSpan w:val="3"/>
            <w:shd w:val="clear" w:color="auto" w:fill="FFEBD0" w:themeFill="accent4" w:themeFillTint="33"/>
          </w:tcPr>
          <w:p w14:paraId="197F959E" w14:textId="77777777" w:rsidR="00D27DDC" w:rsidRDefault="00D27DDC" w:rsidP="00D27DDC">
            <w:pPr>
              <w:pStyle w:val="Tablesmalltext"/>
            </w:pPr>
            <w:r w:rsidRPr="00730D0F">
              <w:rPr>
                <w:color w:val="000000"/>
                <w:lang w:val="en-AU" w:eastAsia="en-AU"/>
              </w:rPr>
              <w:t>2.2.1.1 Planning and management of timber harvesting operations must comply with relevant water quality, river health and soil protection measures specified within the Management Standards and Procedures.</w:t>
            </w:r>
          </w:p>
        </w:tc>
      </w:tr>
      <w:tr w:rsidR="00D27DDC" w14:paraId="2AB90847" w14:textId="77777777" w:rsidTr="00523E3C">
        <w:tc>
          <w:tcPr>
            <w:tcW w:w="391" w:type="pct"/>
            <w:shd w:val="clear" w:color="auto" w:fill="FFFFCC"/>
          </w:tcPr>
          <w:p w14:paraId="41A97F54" w14:textId="77777777" w:rsidR="00D27DDC" w:rsidRDefault="00D27DDC" w:rsidP="00D27DDC">
            <w:pPr>
              <w:pStyle w:val="Tablesmalltext"/>
              <w:jc w:val="center"/>
            </w:pPr>
            <w:r>
              <w:rPr>
                <w:lang w:val="en-AU" w:eastAsia="en-AU"/>
              </w:rPr>
              <w:t>M</w:t>
            </w:r>
          </w:p>
        </w:tc>
        <w:tc>
          <w:tcPr>
            <w:tcW w:w="4609" w:type="pct"/>
            <w:gridSpan w:val="3"/>
            <w:shd w:val="clear" w:color="auto" w:fill="FFFFCC"/>
          </w:tcPr>
          <w:p w14:paraId="1E868C17" w14:textId="77777777" w:rsidR="00D27DDC" w:rsidRDefault="00D27DDC" w:rsidP="00D27DDC">
            <w:pPr>
              <w:pStyle w:val="Tablesmalltext"/>
            </w:pPr>
            <w:r w:rsidRPr="00730D0F">
              <w:rPr>
                <w:color w:val="000000"/>
                <w:lang w:val="en-AU" w:eastAsia="en-AU"/>
              </w:rPr>
              <w:t xml:space="preserve">3.1.1.1 Use the following categories when determining buffer (B) and filter (F) widths for waterways within and immediately adjacent to each coupe. Aids to the identification of each class of waterway are provided in the Code Glossary. (a) Permanent streams, pools and wetlands. (b) Temporary streams. c) Drainage lines. </w:t>
            </w:r>
          </w:p>
        </w:tc>
      </w:tr>
      <w:tr w:rsidR="00D27DDC" w14:paraId="6E1B8D26" w14:textId="77777777" w:rsidTr="00D27DDC">
        <w:tc>
          <w:tcPr>
            <w:tcW w:w="391" w:type="pct"/>
          </w:tcPr>
          <w:p w14:paraId="177F4EEE" w14:textId="77777777" w:rsidR="00D27DDC" w:rsidRDefault="00D27DDC" w:rsidP="00D27DDC">
            <w:pPr>
              <w:pStyle w:val="Tablesmalltext"/>
              <w:jc w:val="center"/>
            </w:pPr>
            <w:r w:rsidRPr="00730D0F">
              <w:rPr>
                <w:lang w:val="en-AU" w:eastAsia="en-AU"/>
              </w:rPr>
              <w:t>1.01</w:t>
            </w:r>
          </w:p>
        </w:tc>
        <w:tc>
          <w:tcPr>
            <w:tcW w:w="3488" w:type="pct"/>
          </w:tcPr>
          <w:p w14:paraId="0A03D0B6" w14:textId="77777777" w:rsidR="00D27DDC" w:rsidRPr="00730D0F" w:rsidRDefault="00D27DDC" w:rsidP="00D27DDC">
            <w:pPr>
              <w:pStyle w:val="Tablesmalltext"/>
              <w:rPr>
                <w:color w:val="000000"/>
                <w:lang w:val="en-AU" w:eastAsia="en-AU"/>
              </w:rPr>
            </w:pPr>
            <w:r w:rsidRPr="00730D0F">
              <w:rPr>
                <w:color w:val="000000"/>
                <w:lang w:val="en-AU" w:eastAsia="en-AU"/>
              </w:rPr>
              <w:t>Have the categories prescribed in the MSPs been used in classifying waterways present on the coupe?</w:t>
            </w:r>
          </w:p>
        </w:tc>
        <w:tc>
          <w:tcPr>
            <w:tcW w:w="599" w:type="pct"/>
          </w:tcPr>
          <w:p w14:paraId="4F6A9E33" w14:textId="77777777" w:rsidR="00D27DDC" w:rsidRDefault="00D27DDC" w:rsidP="00D27DDC">
            <w:pPr>
              <w:pStyle w:val="Tablesmalltext"/>
              <w:jc w:val="center"/>
            </w:pPr>
            <w:r>
              <w:t>96%</w:t>
            </w:r>
          </w:p>
        </w:tc>
        <w:tc>
          <w:tcPr>
            <w:tcW w:w="522" w:type="pct"/>
          </w:tcPr>
          <w:p w14:paraId="4843DA53" w14:textId="77777777" w:rsidR="00D27DDC" w:rsidRDefault="00D27DDC" w:rsidP="00D27DDC">
            <w:pPr>
              <w:pStyle w:val="Tablesmalltext"/>
              <w:jc w:val="center"/>
            </w:pPr>
            <w:r>
              <w:t>W,P</w:t>
            </w:r>
          </w:p>
        </w:tc>
      </w:tr>
      <w:tr w:rsidR="00D27DDC" w14:paraId="074670F0" w14:textId="77777777" w:rsidTr="00D27DDC">
        <w:tc>
          <w:tcPr>
            <w:tcW w:w="391" w:type="pct"/>
          </w:tcPr>
          <w:p w14:paraId="3202D355" w14:textId="77777777" w:rsidR="00D27DDC" w:rsidRDefault="00D27DDC" w:rsidP="00D27DDC">
            <w:pPr>
              <w:pStyle w:val="Tablesmalltext"/>
              <w:jc w:val="center"/>
            </w:pPr>
            <w:r w:rsidRPr="00730D0F">
              <w:rPr>
                <w:lang w:val="en-AU" w:eastAsia="en-AU"/>
              </w:rPr>
              <w:t>1.02</w:t>
            </w:r>
          </w:p>
        </w:tc>
        <w:tc>
          <w:tcPr>
            <w:tcW w:w="3488" w:type="pct"/>
          </w:tcPr>
          <w:p w14:paraId="31722657" w14:textId="77777777" w:rsidR="00D27DDC" w:rsidRPr="00730D0F" w:rsidRDefault="00D27DDC" w:rsidP="00D27DDC">
            <w:pPr>
              <w:pStyle w:val="Tablesmalltext"/>
              <w:rPr>
                <w:color w:val="000000"/>
                <w:lang w:val="en-AU" w:eastAsia="en-AU"/>
              </w:rPr>
            </w:pPr>
            <w:r w:rsidRPr="00730D0F">
              <w:rPr>
                <w:color w:val="000000"/>
                <w:lang w:val="en-AU" w:eastAsia="en-AU"/>
              </w:rPr>
              <w:t>Is there a map in the FCP showing application of the waterway classification to the coupe?</w:t>
            </w:r>
          </w:p>
        </w:tc>
        <w:tc>
          <w:tcPr>
            <w:tcW w:w="599" w:type="pct"/>
          </w:tcPr>
          <w:p w14:paraId="0335B5DF" w14:textId="3C514E42" w:rsidR="00D27DDC" w:rsidRDefault="0028330A" w:rsidP="00D27DDC">
            <w:pPr>
              <w:pStyle w:val="Tablesmalltext"/>
              <w:jc w:val="center"/>
            </w:pPr>
            <w:r>
              <w:t>89</w:t>
            </w:r>
            <w:r w:rsidR="00D27DDC">
              <w:t>%</w:t>
            </w:r>
          </w:p>
        </w:tc>
        <w:tc>
          <w:tcPr>
            <w:tcW w:w="522" w:type="pct"/>
          </w:tcPr>
          <w:p w14:paraId="3E8ECC75" w14:textId="77777777" w:rsidR="00D27DDC" w:rsidRDefault="00D27DDC" w:rsidP="00D27DDC">
            <w:pPr>
              <w:pStyle w:val="Tablesmalltext"/>
              <w:jc w:val="center"/>
            </w:pPr>
            <w:r>
              <w:t>W,P</w:t>
            </w:r>
          </w:p>
        </w:tc>
      </w:tr>
      <w:tr w:rsidR="00D27DDC" w14:paraId="69990A80" w14:textId="77777777" w:rsidTr="00D27DDC">
        <w:tc>
          <w:tcPr>
            <w:tcW w:w="391" w:type="pct"/>
          </w:tcPr>
          <w:p w14:paraId="346755CB" w14:textId="77777777" w:rsidR="00D27DDC" w:rsidRDefault="00D27DDC" w:rsidP="00D27DDC">
            <w:pPr>
              <w:pStyle w:val="Tablesmalltext"/>
              <w:jc w:val="center"/>
            </w:pPr>
            <w:r w:rsidRPr="00730D0F">
              <w:rPr>
                <w:rFonts w:ascii="Calibri" w:hAnsi="Calibri" w:cs="Times New Roman"/>
                <w:color w:val="000000"/>
                <w:sz w:val="18"/>
                <w:szCs w:val="18"/>
                <w:lang w:val="en-AU" w:eastAsia="en-AU"/>
              </w:rPr>
              <w:t>1.03</w:t>
            </w:r>
          </w:p>
        </w:tc>
        <w:tc>
          <w:tcPr>
            <w:tcW w:w="3488" w:type="pct"/>
            <w:vAlign w:val="center"/>
          </w:tcPr>
          <w:p w14:paraId="7B5325D5" w14:textId="77777777" w:rsidR="00D27DDC" w:rsidRPr="00730D0F" w:rsidRDefault="00D27DDC" w:rsidP="00D27DDC">
            <w:pPr>
              <w:pStyle w:val="Tablesmalltext"/>
              <w:rPr>
                <w:color w:val="000000"/>
                <w:lang w:val="en-AU" w:eastAsia="en-AU"/>
              </w:rPr>
            </w:pPr>
            <w:r w:rsidRPr="00730D0F">
              <w:rPr>
                <w:color w:val="000000"/>
                <w:lang w:val="en-AU" w:eastAsia="en-AU"/>
              </w:rPr>
              <w:t>ITAO</w:t>
            </w:r>
            <w:r>
              <w:rPr>
                <w:color w:val="000000"/>
                <w:vertAlign w:val="superscript"/>
                <w:lang w:val="en-AU" w:eastAsia="en-AU"/>
              </w:rPr>
              <w:t>3</w:t>
            </w:r>
            <w:r w:rsidRPr="00730D0F">
              <w:rPr>
                <w:color w:val="000000"/>
                <w:lang w:val="en-AU" w:eastAsia="en-AU"/>
              </w:rPr>
              <w:t xml:space="preserve"> is the classification assessed to have been applied correctly?</w:t>
            </w:r>
          </w:p>
        </w:tc>
        <w:tc>
          <w:tcPr>
            <w:tcW w:w="599" w:type="pct"/>
          </w:tcPr>
          <w:p w14:paraId="3FDF5B75" w14:textId="77777777" w:rsidR="00D27DDC" w:rsidRDefault="00D27DDC" w:rsidP="00D27DDC">
            <w:pPr>
              <w:pStyle w:val="Tablesmalltext"/>
              <w:jc w:val="center"/>
            </w:pPr>
            <w:r>
              <w:t>89%</w:t>
            </w:r>
          </w:p>
        </w:tc>
        <w:tc>
          <w:tcPr>
            <w:tcW w:w="522" w:type="pct"/>
          </w:tcPr>
          <w:p w14:paraId="76C473BD" w14:textId="77777777" w:rsidR="00D27DDC" w:rsidRDefault="00D27DDC" w:rsidP="00D27DDC">
            <w:pPr>
              <w:pStyle w:val="Tablesmalltext"/>
              <w:jc w:val="center"/>
            </w:pPr>
            <w:r>
              <w:t>W</w:t>
            </w:r>
          </w:p>
        </w:tc>
      </w:tr>
      <w:tr w:rsidR="00D27DDC" w14:paraId="67F6FF21" w14:textId="77777777" w:rsidTr="00523E3C">
        <w:tc>
          <w:tcPr>
            <w:tcW w:w="391" w:type="pct"/>
            <w:shd w:val="clear" w:color="auto" w:fill="FFFFCC"/>
          </w:tcPr>
          <w:p w14:paraId="2F34BF9F" w14:textId="77777777" w:rsidR="00D27DDC" w:rsidRDefault="00D27DDC" w:rsidP="00D27DDC">
            <w:pPr>
              <w:pStyle w:val="Tablesmalltext"/>
              <w:jc w:val="center"/>
            </w:pPr>
            <w:r>
              <w:t>M</w:t>
            </w:r>
          </w:p>
        </w:tc>
        <w:tc>
          <w:tcPr>
            <w:tcW w:w="4609" w:type="pct"/>
            <w:gridSpan w:val="3"/>
            <w:shd w:val="clear" w:color="auto" w:fill="FFFFCC"/>
          </w:tcPr>
          <w:p w14:paraId="15A7F88D" w14:textId="77777777" w:rsidR="00D27DDC" w:rsidRDefault="00D27DDC" w:rsidP="00D27DDC">
            <w:pPr>
              <w:pStyle w:val="Tablesmalltext"/>
            </w:pPr>
            <w:r w:rsidRPr="00730D0F">
              <w:rPr>
                <w:color w:val="000000"/>
                <w:lang w:val="en-AU" w:eastAsia="en-AU"/>
              </w:rPr>
              <w:t xml:space="preserve">3.2.1.1 Conduct field assessments to determine the soil erosion hazard and soil permeability classifications for an area proposed for any soil disturbing timber harvesting operations as follows (3.2.1.2-3.2.1.11, Table 8). </w:t>
            </w:r>
          </w:p>
        </w:tc>
      </w:tr>
      <w:tr w:rsidR="00D27DDC" w14:paraId="59B6D5C7" w14:textId="77777777" w:rsidTr="00D27DDC">
        <w:tc>
          <w:tcPr>
            <w:tcW w:w="391" w:type="pct"/>
          </w:tcPr>
          <w:p w14:paraId="09A680E3" w14:textId="77777777" w:rsidR="00D27DDC" w:rsidRDefault="00D27DDC" w:rsidP="00D27DDC">
            <w:pPr>
              <w:pStyle w:val="Tablesmalltext"/>
              <w:jc w:val="center"/>
            </w:pPr>
            <w:r w:rsidRPr="00730D0F">
              <w:rPr>
                <w:rFonts w:ascii="Calibri" w:hAnsi="Calibri" w:cs="Times New Roman"/>
                <w:color w:val="000000"/>
                <w:sz w:val="18"/>
                <w:szCs w:val="18"/>
                <w:lang w:val="en-AU" w:eastAsia="en-AU"/>
              </w:rPr>
              <w:t>2.01</w:t>
            </w:r>
          </w:p>
        </w:tc>
        <w:tc>
          <w:tcPr>
            <w:tcW w:w="3488" w:type="pct"/>
            <w:vAlign w:val="center"/>
          </w:tcPr>
          <w:p w14:paraId="53AB4D85" w14:textId="77777777" w:rsidR="00D27DDC" w:rsidRPr="00730D0F" w:rsidRDefault="00D27DDC" w:rsidP="00D27DDC">
            <w:pPr>
              <w:pStyle w:val="Tablesmalltext"/>
              <w:rPr>
                <w:color w:val="000000"/>
                <w:lang w:val="en-AU" w:eastAsia="en-AU"/>
              </w:rPr>
            </w:pPr>
            <w:r w:rsidRPr="00730D0F">
              <w:rPr>
                <w:color w:val="000000"/>
                <w:lang w:val="en-AU" w:eastAsia="en-AU"/>
              </w:rPr>
              <w:t>Has soil erosion hazard and soil permeability been assessed using the method prescribed in the MSPs?</w:t>
            </w:r>
          </w:p>
        </w:tc>
        <w:tc>
          <w:tcPr>
            <w:tcW w:w="599" w:type="pct"/>
          </w:tcPr>
          <w:p w14:paraId="6DC9C4F9" w14:textId="77777777" w:rsidR="00D27DDC" w:rsidRDefault="00D27DDC" w:rsidP="00D27DDC">
            <w:pPr>
              <w:pStyle w:val="Tablesmalltext"/>
              <w:jc w:val="center"/>
            </w:pPr>
            <w:r>
              <w:t>83%</w:t>
            </w:r>
          </w:p>
        </w:tc>
        <w:tc>
          <w:tcPr>
            <w:tcW w:w="522" w:type="pct"/>
          </w:tcPr>
          <w:p w14:paraId="7096869B" w14:textId="77777777" w:rsidR="00D27DDC" w:rsidRDefault="00D27DDC" w:rsidP="00D27DDC">
            <w:pPr>
              <w:pStyle w:val="Tablesmalltext"/>
              <w:jc w:val="center"/>
            </w:pPr>
            <w:r>
              <w:t>S,P</w:t>
            </w:r>
          </w:p>
        </w:tc>
      </w:tr>
      <w:tr w:rsidR="00D27DDC" w14:paraId="5D3EEB30" w14:textId="77777777" w:rsidTr="00D27DDC">
        <w:tc>
          <w:tcPr>
            <w:tcW w:w="391" w:type="pct"/>
          </w:tcPr>
          <w:p w14:paraId="56341BAB" w14:textId="77777777" w:rsidR="00D27DDC" w:rsidRDefault="00D27DDC" w:rsidP="00D27DDC">
            <w:pPr>
              <w:pStyle w:val="Tablesmalltext"/>
              <w:jc w:val="center"/>
            </w:pPr>
            <w:r w:rsidRPr="00730D0F">
              <w:rPr>
                <w:rFonts w:ascii="Calibri" w:hAnsi="Calibri" w:cs="Times New Roman"/>
                <w:color w:val="000000"/>
                <w:sz w:val="18"/>
                <w:szCs w:val="18"/>
                <w:lang w:val="en-AU" w:eastAsia="en-AU"/>
              </w:rPr>
              <w:t>2.02</w:t>
            </w:r>
          </w:p>
        </w:tc>
        <w:tc>
          <w:tcPr>
            <w:tcW w:w="3488" w:type="pct"/>
            <w:vAlign w:val="center"/>
          </w:tcPr>
          <w:p w14:paraId="281649F0" w14:textId="77777777" w:rsidR="00D27DDC" w:rsidRPr="00730D0F" w:rsidRDefault="00D27DDC" w:rsidP="00D27DDC">
            <w:pPr>
              <w:pStyle w:val="Tablesmalltext"/>
              <w:rPr>
                <w:color w:val="000000"/>
                <w:lang w:val="en-AU" w:eastAsia="en-AU"/>
              </w:rPr>
            </w:pPr>
            <w:r w:rsidRPr="00730D0F">
              <w:rPr>
                <w:color w:val="000000"/>
                <w:lang w:val="en-AU" w:eastAsia="en-AU"/>
              </w:rPr>
              <w:t>Has the methodology been followed correctly?</w:t>
            </w:r>
          </w:p>
        </w:tc>
        <w:tc>
          <w:tcPr>
            <w:tcW w:w="599" w:type="pct"/>
          </w:tcPr>
          <w:p w14:paraId="7A1F355B" w14:textId="77777777" w:rsidR="00D27DDC" w:rsidRDefault="00D27DDC" w:rsidP="00D27DDC">
            <w:pPr>
              <w:pStyle w:val="Tablesmalltext"/>
              <w:jc w:val="center"/>
            </w:pPr>
            <w:r>
              <w:t>83%</w:t>
            </w:r>
          </w:p>
        </w:tc>
        <w:tc>
          <w:tcPr>
            <w:tcW w:w="522" w:type="pct"/>
          </w:tcPr>
          <w:p w14:paraId="1A4ED49B" w14:textId="77777777" w:rsidR="00D27DDC" w:rsidRDefault="00D27DDC" w:rsidP="00D27DDC">
            <w:pPr>
              <w:pStyle w:val="Tablesmalltext"/>
              <w:jc w:val="center"/>
            </w:pPr>
            <w:r>
              <w:t>S,P</w:t>
            </w:r>
          </w:p>
        </w:tc>
      </w:tr>
      <w:tr w:rsidR="00D27DDC" w14:paraId="67BC6AAE" w14:textId="77777777" w:rsidTr="00523E3C">
        <w:tc>
          <w:tcPr>
            <w:tcW w:w="391" w:type="pct"/>
            <w:shd w:val="clear" w:color="auto" w:fill="FFFFCC"/>
          </w:tcPr>
          <w:p w14:paraId="51D18912" w14:textId="77777777" w:rsidR="00D27DDC" w:rsidRDefault="00D27DDC" w:rsidP="00D27DDC">
            <w:pPr>
              <w:pStyle w:val="Tablesmalltext"/>
              <w:jc w:val="center"/>
            </w:pPr>
            <w:r>
              <w:t>M</w:t>
            </w:r>
          </w:p>
        </w:tc>
        <w:tc>
          <w:tcPr>
            <w:tcW w:w="4609" w:type="pct"/>
            <w:gridSpan w:val="3"/>
            <w:shd w:val="clear" w:color="auto" w:fill="FFFFCC"/>
          </w:tcPr>
          <w:p w14:paraId="6E84624F" w14:textId="77777777" w:rsidR="00D27DDC" w:rsidRDefault="00D27DDC" w:rsidP="00D27DDC">
            <w:pPr>
              <w:pStyle w:val="Tablesmalltext"/>
            </w:pPr>
            <w:r w:rsidRPr="00730D0F">
              <w:rPr>
                <w:color w:val="000000"/>
                <w:lang w:val="en-AU" w:eastAsia="en-AU"/>
              </w:rPr>
              <w:t>3.2.1.2 Collect</w:t>
            </w:r>
            <w:r>
              <w:rPr>
                <w:color w:val="000000"/>
                <w:lang w:val="en-AU" w:eastAsia="en-AU"/>
              </w:rPr>
              <w:t xml:space="preserve"> </w:t>
            </w:r>
            <w:r w:rsidRPr="00730D0F">
              <w:rPr>
                <w:color w:val="000000"/>
                <w:lang w:val="en-AU" w:eastAsia="en-AU"/>
              </w:rPr>
              <w:t>soil</w:t>
            </w:r>
            <w:r>
              <w:rPr>
                <w:color w:val="000000"/>
                <w:lang w:val="en-AU" w:eastAsia="en-AU"/>
              </w:rPr>
              <w:t xml:space="preserve"> </w:t>
            </w:r>
            <w:r w:rsidRPr="00730D0F">
              <w:rPr>
                <w:color w:val="000000"/>
                <w:lang w:val="en-AU" w:eastAsia="en-AU"/>
              </w:rPr>
              <w:t>profile</w:t>
            </w:r>
            <w:r>
              <w:rPr>
                <w:color w:val="000000"/>
                <w:lang w:val="en-AU" w:eastAsia="en-AU"/>
              </w:rPr>
              <w:t xml:space="preserve"> </w:t>
            </w:r>
            <w:r w:rsidRPr="00730D0F">
              <w:rPr>
                <w:color w:val="000000"/>
                <w:lang w:val="en-AU" w:eastAsia="en-AU"/>
              </w:rPr>
              <w:t>samples</w:t>
            </w:r>
            <w:r>
              <w:rPr>
                <w:color w:val="000000"/>
                <w:lang w:val="en-AU" w:eastAsia="en-AU"/>
              </w:rPr>
              <w:t xml:space="preserve"> </w:t>
            </w:r>
            <w:r w:rsidRPr="00730D0F">
              <w:rPr>
                <w:color w:val="000000"/>
                <w:lang w:val="en-AU" w:eastAsia="en-AU"/>
              </w:rPr>
              <w:t>that</w:t>
            </w:r>
            <w:r>
              <w:rPr>
                <w:color w:val="000000"/>
                <w:lang w:val="en-AU" w:eastAsia="en-AU"/>
              </w:rPr>
              <w:t xml:space="preserve"> </w:t>
            </w:r>
            <w:r w:rsidRPr="00730D0F">
              <w:rPr>
                <w:color w:val="000000"/>
                <w:lang w:val="en-AU" w:eastAsia="en-AU"/>
              </w:rPr>
              <w:t>reflect</w:t>
            </w:r>
            <w:r>
              <w:rPr>
                <w:color w:val="000000"/>
                <w:lang w:val="en-AU" w:eastAsia="en-AU"/>
              </w:rPr>
              <w:t xml:space="preserve"> </w:t>
            </w:r>
            <w:r w:rsidRPr="00730D0F">
              <w:rPr>
                <w:color w:val="000000"/>
                <w:lang w:val="en-AU" w:eastAsia="en-AU"/>
              </w:rPr>
              <w:t>the</w:t>
            </w:r>
            <w:r>
              <w:rPr>
                <w:color w:val="000000"/>
                <w:lang w:val="en-AU" w:eastAsia="en-AU"/>
              </w:rPr>
              <w:t xml:space="preserve"> </w:t>
            </w:r>
            <w:r w:rsidRPr="00730D0F">
              <w:rPr>
                <w:color w:val="000000"/>
                <w:lang w:val="en-AU" w:eastAsia="en-AU"/>
              </w:rPr>
              <w:t>variety</w:t>
            </w:r>
            <w:r>
              <w:rPr>
                <w:color w:val="000000"/>
                <w:lang w:val="en-AU" w:eastAsia="en-AU"/>
              </w:rPr>
              <w:t xml:space="preserve"> </w:t>
            </w:r>
            <w:r w:rsidRPr="00730D0F">
              <w:rPr>
                <w:color w:val="000000"/>
                <w:lang w:val="en-AU" w:eastAsia="en-AU"/>
              </w:rPr>
              <w:t>of</w:t>
            </w:r>
            <w:r>
              <w:rPr>
                <w:color w:val="000000"/>
                <w:lang w:val="en-AU" w:eastAsia="en-AU"/>
              </w:rPr>
              <w:t xml:space="preserve"> </w:t>
            </w:r>
            <w:r w:rsidRPr="00730D0F">
              <w:rPr>
                <w:color w:val="000000"/>
                <w:lang w:val="en-AU" w:eastAsia="en-AU"/>
              </w:rPr>
              <w:t>soils</w:t>
            </w:r>
            <w:r>
              <w:rPr>
                <w:color w:val="000000"/>
                <w:lang w:val="en-AU" w:eastAsia="en-AU"/>
              </w:rPr>
              <w:t xml:space="preserve"> </w:t>
            </w:r>
            <w:r w:rsidRPr="00730D0F">
              <w:rPr>
                <w:color w:val="000000"/>
                <w:lang w:val="en-AU" w:eastAsia="en-AU"/>
              </w:rPr>
              <w:t>represented</w:t>
            </w:r>
            <w:r>
              <w:rPr>
                <w:color w:val="000000"/>
                <w:lang w:val="en-AU" w:eastAsia="en-AU"/>
              </w:rPr>
              <w:t xml:space="preserve"> </w:t>
            </w:r>
            <w:r w:rsidRPr="00730D0F">
              <w:rPr>
                <w:color w:val="000000"/>
                <w:lang w:val="en-AU" w:eastAsia="en-AU"/>
              </w:rPr>
              <w:t>within</w:t>
            </w:r>
            <w:r>
              <w:rPr>
                <w:color w:val="000000"/>
                <w:lang w:val="en-AU" w:eastAsia="en-AU"/>
              </w:rPr>
              <w:t xml:space="preserve"> </w:t>
            </w:r>
            <w:r w:rsidRPr="00730D0F">
              <w:rPr>
                <w:color w:val="000000"/>
                <w:lang w:val="en-AU" w:eastAsia="en-AU"/>
              </w:rPr>
              <w:t>the</w:t>
            </w:r>
            <w:r>
              <w:rPr>
                <w:color w:val="000000"/>
                <w:lang w:val="en-AU" w:eastAsia="en-AU"/>
              </w:rPr>
              <w:t xml:space="preserve"> </w:t>
            </w:r>
            <w:r w:rsidRPr="00730D0F">
              <w:rPr>
                <w:color w:val="000000"/>
                <w:lang w:val="en-AU" w:eastAsia="en-AU"/>
              </w:rPr>
              <w:t>coupe.</w:t>
            </w:r>
          </w:p>
        </w:tc>
      </w:tr>
      <w:tr w:rsidR="00D27DDC" w14:paraId="34946DA0" w14:textId="77777777" w:rsidTr="00D27DDC">
        <w:tc>
          <w:tcPr>
            <w:tcW w:w="391" w:type="pct"/>
          </w:tcPr>
          <w:p w14:paraId="42558A53" w14:textId="77777777" w:rsidR="00D27DDC" w:rsidRDefault="00D27DDC" w:rsidP="00D27DDC">
            <w:pPr>
              <w:pStyle w:val="Tablesmalltext"/>
              <w:jc w:val="center"/>
            </w:pPr>
            <w:r w:rsidRPr="00730D0F">
              <w:rPr>
                <w:rFonts w:ascii="Calibri" w:hAnsi="Calibri" w:cs="Times New Roman"/>
                <w:color w:val="000000"/>
                <w:sz w:val="18"/>
                <w:szCs w:val="18"/>
                <w:lang w:val="en-AU" w:eastAsia="en-AU"/>
              </w:rPr>
              <w:t>2.03</w:t>
            </w:r>
          </w:p>
        </w:tc>
        <w:tc>
          <w:tcPr>
            <w:tcW w:w="3488" w:type="pct"/>
            <w:vAlign w:val="center"/>
          </w:tcPr>
          <w:p w14:paraId="66A86851" w14:textId="77777777" w:rsidR="00D27DDC" w:rsidRPr="00730D0F" w:rsidRDefault="00D27DDC" w:rsidP="00D27DDC">
            <w:pPr>
              <w:pStyle w:val="Tablesmalltext"/>
              <w:rPr>
                <w:color w:val="000000"/>
                <w:lang w:val="en-AU" w:eastAsia="en-AU"/>
              </w:rPr>
            </w:pPr>
            <w:r w:rsidRPr="00730D0F">
              <w:rPr>
                <w:color w:val="000000"/>
                <w:lang w:val="en-AU" w:eastAsia="en-AU"/>
              </w:rPr>
              <w:t>If there are significant changes in soil and/or vegetation types within the coupe, ITAO have an adequate number of soil profile samples been taken to assess soil erosion hazard for the coupe?</w:t>
            </w:r>
          </w:p>
        </w:tc>
        <w:tc>
          <w:tcPr>
            <w:tcW w:w="599" w:type="pct"/>
          </w:tcPr>
          <w:p w14:paraId="65B6E748" w14:textId="77777777" w:rsidR="00D27DDC" w:rsidRDefault="00D27DDC" w:rsidP="00D27DDC">
            <w:pPr>
              <w:pStyle w:val="Tablesmalltext"/>
              <w:jc w:val="center"/>
            </w:pPr>
            <w:r>
              <w:t>84%</w:t>
            </w:r>
          </w:p>
        </w:tc>
        <w:tc>
          <w:tcPr>
            <w:tcW w:w="522" w:type="pct"/>
          </w:tcPr>
          <w:p w14:paraId="34D398A9" w14:textId="77777777" w:rsidR="00D27DDC" w:rsidRDefault="00D27DDC" w:rsidP="00D27DDC">
            <w:pPr>
              <w:pStyle w:val="Tablesmalltext"/>
              <w:jc w:val="center"/>
            </w:pPr>
            <w:r>
              <w:t>S,P</w:t>
            </w:r>
          </w:p>
        </w:tc>
      </w:tr>
      <w:tr w:rsidR="00D27DDC" w14:paraId="7E012C7A" w14:textId="77777777" w:rsidTr="00523E3C">
        <w:tc>
          <w:tcPr>
            <w:tcW w:w="391" w:type="pct"/>
            <w:shd w:val="clear" w:color="auto" w:fill="FFFFCC"/>
          </w:tcPr>
          <w:p w14:paraId="3D3E71FC" w14:textId="77777777" w:rsidR="00D27DDC" w:rsidRDefault="00D27DDC" w:rsidP="00D27DDC">
            <w:pPr>
              <w:pStyle w:val="Tablesmalltext"/>
              <w:jc w:val="center"/>
            </w:pPr>
            <w:r>
              <w:t>M</w:t>
            </w:r>
          </w:p>
        </w:tc>
        <w:tc>
          <w:tcPr>
            <w:tcW w:w="4609" w:type="pct"/>
            <w:gridSpan w:val="3"/>
            <w:shd w:val="clear" w:color="auto" w:fill="FFFFCC"/>
          </w:tcPr>
          <w:p w14:paraId="1FA7A8BD" w14:textId="77777777" w:rsidR="00D27DDC" w:rsidRDefault="00D27DDC" w:rsidP="00D27DDC">
            <w:pPr>
              <w:pStyle w:val="Tablesmalltext"/>
            </w:pPr>
            <w:r w:rsidRPr="00730D0F">
              <w:rPr>
                <w:color w:val="000000"/>
                <w:lang w:val="en-AU" w:eastAsia="en-AU"/>
              </w:rPr>
              <w:t xml:space="preserve">3.3.1.1 Apply appropriate protection to class of waterway as outlined in MSP Table 9. </w:t>
            </w:r>
          </w:p>
        </w:tc>
      </w:tr>
      <w:tr w:rsidR="00D27DDC" w14:paraId="21D49C47" w14:textId="77777777" w:rsidTr="00523E3C">
        <w:tc>
          <w:tcPr>
            <w:tcW w:w="391" w:type="pct"/>
            <w:shd w:val="clear" w:color="auto" w:fill="FFFFCC"/>
          </w:tcPr>
          <w:p w14:paraId="0E145203" w14:textId="77777777" w:rsidR="00D27DDC" w:rsidRDefault="00D27DDC" w:rsidP="00D27DDC">
            <w:pPr>
              <w:pStyle w:val="Tablesmalltext"/>
              <w:jc w:val="center"/>
            </w:pPr>
            <w:r>
              <w:lastRenderedPageBreak/>
              <w:t>M</w:t>
            </w:r>
          </w:p>
        </w:tc>
        <w:tc>
          <w:tcPr>
            <w:tcW w:w="4609" w:type="pct"/>
            <w:gridSpan w:val="3"/>
            <w:shd w:val="clear" w:color="auto" w:fill="FFFFCC"/>
          </w:tcPr>
          <w:p w14:paraId="3C9B0326" w14:textId="77777777" w:rsidR="00D27DDC" w:rsidRDefault="00D27DDC" w:rsidP="00D27DDC">
            <w:pPr>
              <w:pStyle w:val="Tablesmalltext"/>
            </w:pPr>
            <w:r w:rsidRPr="00730D0F">
              <w:rPr>
                <w:color w:val="000000"/>
                <w:lang w:val="en-AU" w:eastAsia="en-AU"/>
              </w:rPr>
              <w:t xml:space="preserve">3.3.1.2 Apply appropriate protection to class of waterway as outlined in table 10 below for coupes in catchments up to 1 km upstream of verified and potential Spotted Tree Frog sites or coupes in Barred Galaxias and Mountain Galaxias SMZs where specified in section 4.2. </w:t>
            </w:r>
          </w:p>
        </w:tc>
      </w:tr>
      <w:tr w:rsidR="00D27DDC" w14:paraId="3DD97CB6" w14:textId="77777777" w:rsidTr="00D27DDC">
        <w:tc>
          <w:tcPr>
            <w:tcW w:w="391" w:type="pct"/>
          </w:tcPr>
          <w:p w14:paraId="747C109A" w14:textId="77777777" w:rsidR="00D27DDC" w:rsidRDefault="00D27DDC" w:rsidP="00D27DDC">
            <w:pPr>
              <w:pStyle w:val="Tablesmalltext"/>
              <w:jc w:val="center"/>
            </w:pPr>
            <w:r w:rsidRPr="00730D0F">
              <w:rPr>
                <w:rFonts w:ascii="Calibri" w:hAnsi="Calibri" w:cs="Times New Roman"/>
                <w:color w:val="000000"/>
                <w:sz w:val="18"/>
                <w:szCs w:val="18"/>
                <w:lang w:val="en-AU" w:eastAsia="en-AU"/>
              </w:rPr>
              <w:t>3.01</w:t>
            </w:r>
          </w:p>
        </w:tc>
        <w:tc>
          <w:tcPr>
            <w:tcW w:w="3488" w:type="pct"/>
            <w:vAlign w:val="center"/>
          </w:tcPr>
          <w:p w14:paraId="5695E8B8" w14:textId="77777777" w:rsidR="00D27DDC" w:rsidRPr="00730D0F" w:rsidRDefault="00D27DDC" w:rsidP="00D27DDC">
            <w:pPr>
              <w:pStyle w:val="Tablesmalltext"/>
              <w:rPr>
                <w:color w:val="000000"/>
                <w:lang w:val="en-AU" w:eastAsia="en-AU"/>
              </w:rPr>
            </w:pPr>
            <w:r w:rsidRPr="00730D0F">
              <w:rPr>
                <w:color w:val="000000"/>
                <w:lang w:val="en-AU" w:eastAsia="en-AU"/>
              </w:rPr>
              <w:t>If applicable, have the buffer and filter strip widths prescribed in MSP Table 9 been applied to the coupe?</w:t>
            </w:r>
          </w:p>
        </w:tc>
        <w:tc>
          <w:tcPr>
            <w:tcW w:w="599" w:type="pct"/>
          </w:tcPr>
          <w:p w14:paraId="500DAF96" w14:textId="77777777" w:rsidR="00D27DDC" w:rsidRDefault="00D27DDC" w:rsidP="00D27DDC">
            <w:pPr>
              <w:pStyle w:val="Tablesmalltext"/>
              <w:jc w:val="center"/>
            </w:pPr>
            <w:r>
              <w:t>89%</w:t>
            </w:r>
          </w:p>
        </w:tc>
        <w:tc>
          <w:tcPr>
            <w:tcW w:w="522" w:type="pct"/>
          </w:tcPr>
          <w:p w14:paraId="3815F80B" w14:textId="77777777" w:rsidR="00D27DDC" w:rsidRDefault="00D27DDC" w:rsidP="00D27DDC">
            <w:pPr>
              <w:pStyle w:val="Tablesmalltext"/>
              <w:jc w:val="center"/>
            </w:pPr>
            <w:r>
              <w:t>W</w:t>
            </w:r>
          </w:p>
        </w:tc>
      </w:tr>
      <w:tr w:rsidR="00D27DDC" w14:paraId="142811FE" w14:textId="77777777" w:rsidTr="00D27DDC">
        <w:tc>
          <w:tcPr>
            <w:tcW w:w="391" w:type="pct"/>
          </w:tcPr>
          <w:p w14:paraId="5B922D3B" w14:textId="77777777" w:rsidR="00D27DDC" w:rsidRDefault="00D27DDC" w:rsidP="00D27DDC">
            <w:pPr>
              <w:pStyle w:val="Tablesmalltext"/>
              <w:jc w:val="center"/>
            </w:pPr>
            <w:r w:rsidRPr="00730D0F">
              <w:rPr>
                <w:rFonts w:ascii="Calibri" w:hAnsi="Calibri" w:cs="Times New Roman"/>
                <w:color w:val="000000"/>
                <w:sz w:val="18"/>
                <w:szCs w:val="18"/>
                <w:lang w:val="en-AU" w:eastAsia="en-AU"/>
              </w:rPr>
              <w:t>3.02</w:t>
            </w:r>
          </w:p>
        </w:tc>
        <w:tc>
          <w:tcPr>
            <w:tcW w:w="3488" w:type="pct"/>
            <w:vAlign w:val="center"/>
          </w:tcPr>
          <w:p w14:paraId="11DE057B" w14:textId="77777777" w:rsidR="00D27DDC" w:rsidRPr="00730D0F" w:rsidRDefault="00D27DDC" w:rsidP="00D27DDC">
            <w:pPr>
              <w:pStyle w:val="Tablesmalltext"/>
              <w:rPr>
                <w:color w:val="000000"/>
                <w:lang w:val="en-AU" w:eastAsia="en-AU"/>
              </w:rPr>
            </w:pPr>
            <w:r w:rsidRPr="00730D0F">
              <w:rPr>
                <w:color w:val="000000"/>
                <w:lang w:val="en-AU" w:eastAsia="en-AU"/>
              </w:rPr>
              <w:t>If applicable, have the buffer and filter strip widths prescribed in MSP Table 10 been applied to the coupe?</w:t>
            </w:r>
          </w:p>
        </w:tc>
        <w:tc>
          <w:tcPr>
            <w:tcW w:w="599" w:type="pct"/>
          </w:tcPr>
          <w:p w14:paraId="0D84F962" w14:textId="77777777" w:rsidR="00D27DDC" w:rsidRDefault="00D27DDC" w:rsidP="00D27DDC">
            <w:pPr>
              <w:pStyle w:val="Tablesmalltext"/>
              <w:jc w:val="center"/>
            </w:pPr>
            <w:r>
              <w:t>No applicable coupes</w:t>
            </w:r>
          </w:p>
        </w:tc>
        <w:tc>
          <w:tcPr>
            <w:tcW w:w="522" w:type="pct"/>
          </w:tcPr>
          <w:p w14:paraId="415FD2D5" w14:textId="77777777" w:rsidR="00D27DDC" w:rsidRDefault="00D27DDC" w:rsidP="00D27DDC">
            <w:pPr>
              <w:pStyle w:val="Tablesmalltext"/>
              <w:jc w:val="center"/>
            </w:pPr>
            <w:r>
              <w:t>W</w:t>
            </w:r>
          </w:p>
        </w:tc>
      </w:tr>
      <w:tr w:rsidR="00D27DDC" w14:paraId="2C08DF33" w14:textId="77777777" w:rsidTr="00523E3C">
        <w:tc>
          <w:tcPr>
            <w:tcW w:w="391" w:type="pct"/>
            <w:shd w:val="clear" w:color="auto" w:fill="FFFFCC"/>
          </w:tcPr>
          <w:p w14:paraId="6047043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F7A25CD" w14:textId="77777777" w:rsidR="00D27DDC" w:rsidRDefault="00D27DDC" w:rsidP="00D27DDC">
            <w:pPr>
              <w:pStyle w:val="Tablesmalltext"/>
            </w:pPr>
            <w:r w:rsidRPr="00730D0F">
              <w:rPr>
                <w:color w:val="000000"/>
                <w:lang w:val="en-AU" w:eastAsia="en-AU"/>
              </w:rPr>
              <w:t>3.4.1.1 Exclude</w:t>
            </w:r>
            <w:r>
              <w:rPr>
                <w:color w:val="000000"/>
                <w:lang w:val="en-AU" w:eastAsia="en-AU"/>
              </w:rPr>
              <w:t xml:space="preserve"> </w:t>
            </w:r>
            <w:r w:rsidRPr="00730D0F">
              <w:rPr>
                <w:color w:val="000000"/>
                <w:lang w:val="en-AU" w:eastAsia="en-AU"/>
              </w:rPr>
              <w:t>timber</w:t>
            </w:r>
            <w:r>
              <w:rPr>
                <w:color w:val="000000"/>
                <w:lang w:val="en-AU" w:eastAsia="en-AU"/>
              </w:rPr>
              <w:t xml:space="preserve"> </w:t>
            </w:r>
            <w:r w:rsidRPr="00730D0F">
              <w:rPr>
                <w:color w:val="000000"/>
                <w:lang w:val="en-AU" w:eastAsia="en-AU"/>
              </w:rPr>
              <w:t>harvesting</w:t>
            </w:r>
            <w:r>
              <w:rPr>
                <w:color w:val="000000"/>
                <w:lang w:val="en-AU" w:eastAsia="en-AU"/>
              </w:rPr>
              <w:t xml:space="preserve"> </w:t>
            </w:r>
            <w:r w:rsidRPr="00730D0F">
              <w:rPr>
                <w:color w:val="000000"/>
                <w:lang w:val="en-AU" w:eastAsia="en-AU"/>
              </w:rPr>
              <w:t>operations</w:t>
            </w:r>
            <w:r>
              <w:rPr>
                <w:color w:val="000000"/>
                <w:lang w:val="en-AU" w:eastAsia="en-AU"/>
              </w:rPr>
              <w:t xml:space="preserve"> </w:t>
            </w:r>
            <w:r w:rsidRPr="00730D0F">
              <w:rPr>
                <w:color w:val="000000"/>
                <w:lang w:val="en-AU" w:eastAsia="en-AU"/>
              </w:rPr>
              <w:t>from</w:t>
            </w:r>
            <w:r>
              <w:rPr>
                <w:color w:val="000000"/>
                <w:lang w:val="en-AU" w:eastAsia="en-AU"/>
              </w:rPr>
              <w:t xml:space="preserve"> </w:t>
            </w:r>
            <w:r w:rsidRPr="00730D0F">
              <w:rPr>
                <w:color w:val="000000"/>
                <w:lang w:val="en-AU" w:eastAsia="en-AU"/>
              </w:rPr>
              <w:t>slopes</w:t>
            </w:r>
            <w:r>
              <w:rPr>
                <w:color w:val="000000"/>
                <w:lang w:val="en-AU" w:eastAsia="en-AU"/>
              </w:rPr>
              <w:t xml:space="preserve"> </w:t>
            </w:r>
            <w:r w:rsidRPr="00730D0F">
              <w:rPr>
                <w:color w:val="000000"/>
                <w:lang w:val="en-AU" w:eastAsia="en-AU"/>
              </w:rPr>
              <w:t>over</w:t>
            </w:r>
            <w:r>
              <w:rPr>
                <w:color w:val="000000"/>
                <w:lang w:val="en-AU" w:eastAsia="en-AU"/>
              </w:rPr>
              <w:t xml:space="preserve"> </w:t>
            </w:r>
            <w:r w:rsidRPr="00730D0F">
              <w:rPr>
                <w:color w:val="000000"/>
                <w:lang w:val="en-AU" w:eastAsia="en-AU"/>
              </w:rPr>
              <w:t>30degrees.</w:t>
            </w:r>
          </w:p>
        </w:tc>
      </w:tr>
      <w:tr w:rsidR="00D27DDC" w14:paraId="0231CA82" w14:textId="77777777" w:rsidTr="00523E3C">
        <w:tc>
          <w:tcPr>
            <w:tcW w:w="391" w:type="pct"/>
            <w:shd w:val="clear" w:color="auto" w:fill="FFFFCC"/>
          </w:tcPr>
          <w:p w14:paraId="6B67641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876D762" w14:textId="77777777" w:rsidR="00D27DDC" w:rsidRDefault="00D27DDC" w:rsidP="00D27DDC">
            <w:pPr>
              <w:pStyle w:val="Tablesmalltext"/>
            </w:pPr>
            <w:r w:rsidRPr="00730D0F">
              <w:rPr>
                <w:color w:val="000000"/>
                <w:lang w:val="en-AU" w:eastAsia="en-AU"/>
              </w:rPr>
              <w:t xml:space="preserve">3.4.1.2 Up to 10% of the net harvest area of any coupe can contain areas greater than 30 degrees, where the risk of mass soil movement has been managed accordingly. </w:t>
            </w:r>
          </w:p>
        </w:tc>
      </w:tr>
      <w:tr w:rsidR="00D27DDC" w14:paraId="787661B4" w14:textId="77777777" w:rsidTr="00523E3C">
        <w:tc>
          <w:tcPr>
            <w:tcW w:w="391" w:type="pct"/>
            <w:shd w:val="clear" w:color="auto" w:fill="FFFFCC"/>
          </w:tcPr>
          <w:p w14:paraId="4B32931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E4216ED" w14:textId="77777777" w:rsidR="00D27DDC" w:rsidRDefault="00D27DDC" w:rsidP="00D27DDC">
            <w:pPr>
              <w:pStyle w:val="Tablesmalltext"/>
            </w:pPr>
            <w:r w:rsidRPr="00730D0F">
              <w:rPr>
                <w:color w:val="000000"/>
                <w:lang w:val="en-AU" w:eastAsia="en-AU"/>
              </w:rPr>
              <w:t>3.4.1.3 Exclude timber harvesting operations from slopes over 25 degrees in the East Gippsland FMA in areas with granite</w:t>
            </w:r>
            <w:r w:rsidRPr="00730D0F">
              <w:rPr>
                <w:rFonts w:ascii="Cambria Math" w:hAnsi="Cambria Math" w:cs="Cambria Math"/>
                <w:color w:val="000000"/>
                <w:lang w:val="en-AU" w:eastAsia="en-AU"/>
              </w:rPr>
              <w:t>‐</w:t>
            </w:r>
            <w:r w:rsidRPr="00730D0F">
              <w:rPr>
                <w:color w:val="000000"/>
                <w:lang w:val="en-AU" w:eastAsia="en-AU"/>
              </w:rPr>
              <w:t>based soils.</w:t>
            </w:r>
          </w:p>
        </w:tc>
      </w:tr>
      <w:tr w:rsidR="00D27DDC" w14:paraId="73E82C14" w14:textId="77777777" w:rsidTr="00D27DDC">
        <w:tc>
          <w:tcPr>
            <w:tcW w:w="391" w:type="pct"/>
          </w:tcPr>
          <w:p w14:paraId="708F2DE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4.01</w:t>
            </w:r>
          </w:p>
        </w:tc>
        <w:tc>
          <w:tcPr>
            <w:tcW w:w="3488" w:type="pct"/>
            <w:vAlign w:val="center"/>
          </w:tcPr>
          <w:p w14:paraId="3FE0C5F8" w14:textId="77777777" w:rsidR="00D27DDC" w:rsidRPr="00730D0F" w:rsidRDefault="00D27DDC" w:rsidP="00D27DDC">
            <w:pPr>
              <w:pStyle w:val="Tablesmalltext"/>
              <w:rPr>
                <w:color w:val="000000"/>
                <w:lang w:val="en-AU" w:eastAsia="en-AU"/>
              </w:rPr>
            </w:pPr>
            <w:r w:rsidRPr="00730D0F">
              <w:rPr>
                <w:color w:val="000000"/>
                <w:lang w:val="en-AU" w:eastAsia="en-AU"/>
              </w:rPr>
              <w:t>Does the FCP include a map that shows areas of the coupe with slope &gt;30°?</w:t>
            </w:r>
          </w:p>
        </w:tc>
        <w:tc>
          <w:tcPr>
            <w:tcW w:w="599" w:type="pct"/>
          </w:tcPr>
          <w:p w14:paraId="2D1786D9" w14:textId="45D26436" w:rsidR="00D27DDC" w:rsidRDefault="00770074" w:rsidP="00D27DDC">
            <w:pPr>
              <w:pStyle w:val="Tablesmalltext"/>
              <w:jc w:val="center"/>
            </w:pPr>
            <w:r>
              <w:t>75</w:t>
            </w:r>
            <w:r w:rsidR="00D27DDC">
              <w:t>%</w:t>
            </w:r>
          </w:p>
        </w:tc>
        <w:tc>
          <w:tcPr>
            <w:tcW w:w="522" w:type="pct"/>
          </w:tcPr>
          <w:p w14:paraId="7A9CFECE" w14:textId="77777777" w:rsidR="00D27DDC" w:rsidRDefault="00D27DDC" w:rsidP="00D27DDC">
            <w:pPr>
              <w:pStyle w:val="Tablesmalltext"/>
              <w:jc w:val="center"/>
            </w:pPr>
            <w:r>
              <w:t>S,W,P</w:t>
            </w:r>
          </w:p>
        </w:tc>
      </w:tr>
      <w:tr w:rsidR="00D27DDC" w14:paraId="7CBF5009" w14:textId="77777777" w:rsidTr="00D27DDC">
        <w:tc>
          <w:tcPr>
            <w:tcW w:w="391" w:type="pct"/>
          </w:tcPr>
          <w:p w14:paraId="2CEFF63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4.02</w:t>
            </w:r>
          </w:p>
        </w:tc>
        <w:tc>
          <w:tcPr>
            <w:tcW w:w="3488" w:type="pct"/>
            <w:vAlign w:val="center"/>
          </w:tcPr>
          <w:p w14:paraId="0CC5C566" w14:textId="77777777" w:rsidR="00D27DDC" w:rsidRPr="00730D0F" w:rsidRDefault="00D27DDC" w:rsidP="00D27DDC">
            <w:pPr>
              <w:pStyle w:val="Tablesmalltext"/>
              <w:rPr>
                <w:color w:val="000000"/>
                <w:lang w:val="en-AU" w:eastAsia="en-AU"/>
              </w:rPr>
            </w:pPr>
            <w:r w:rsidRPr="00730D0F">
              <w:rPr>
                <w:color w:val="000000"/>
                <w:lang w:val="en-AU" w:eastAsia="en-AU"/>
              </w:rPr>
              <w:t>Has timber harvesting been excluded from areas with slopes &gt;30° (unless the area &gt;30</w:t>
            </w:r>
            <w:r w:rsidRPr="00730D0F">
              <w:rPr>
                <w:rFonts w:ascii="Calibri" w:hAnsi="Calibri"/>
                <w:color w:val="000000"/>
                <w:lang w:val="en-AU" w:eastAsia="en-AU"/>
              </w:rPr>
              <w:t>°</w:t>
            </w:r>
            <w:r w:rsidRPr="00730D0F">
              <w:rPr>
                <w:color w:val="000000"/>
                <w:lang w:val="en-AU" w:eastAsia="en-AU"/>
              </w:rPr>
              <w:t xml:space="preserve"> slope is </w:t>
            </w:r>
            <w:r w:rsidRPr="00730D0F">
              <w:rPr>
                <w:rFonts w:ascii="Calibri" w:hAnsi="Calibri"/>
                <w:color w:val="000000"/>
                <w:lang w:val="en-AU" w:eastAsia="en-AU"/>
              </w:rPr>
              <w:t>≤</w:t>
            </w:r>
            <w:r w:rsidRPr="00730D0F">
              <w:rPr>
                <w:color w:val="000000"/>
                <w:lang w:val="en-AU" w:eastAsia="en-AU"/>
              </w:rPr>
              <w:t>10% net harvest area and ITAO the risk of mass soil movement has been managed accordingly)?</w:t>
            </w:r>
          </w:p>
        </w:tc>
        <w:tc>
          <w:tcPr>
            <w:tcW w:w="599" w:type="pct"/>
          </w:tcPr>
          <w:p w14:paraId="1A32819F" w14:textId="77777777" w:rsidR="00D27DDC" w:rsidRDefault="00D27DDC" w:rsidP="00D27DDC">
            <w:pPr>
              <w:pStyle w:val="Tablesmalltext"/>
              <w:jc w:val="center"/>
            </w:pPr>
            <w:r>
              <w:t>100%</w:t>
            </w:r>
          </w:p>
        </w:tc>
        <w:tc>
          <w:tcPr>
            <w:tcW w:w="522" w:type="pct"/>
          </w:tcPr>
          <w:p w14:paraId="1EA360A5" w14:textId="77777777" w:rsidR="00D27DDC" w:rsidRDefault="00D27DDC" w:rsidP="00D27DDC">
            <w:pPr>
              <w:pStyle w:val="Tablesmalltext"/>
              <w:jc w:val="center"/>
            </w:pPr>
            <w:r>
              <w:t>S,W</w:t>
            </w:r>
          </w:p>
        </w:tc>
      </w:tr>
      <w:tr w:rsidR="00D27DDC" w14:paraId="0A52AAFF" w14:textId="77777777" w:rsidTr="00D27DDC">
        <w:tc>
          <w:tcPr>
            <w:tcW w:w="391" w:type="pct"/>
          </w:tcPr>
          <w:p w14:paraId="526E6F0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4.03</w:t>
            </w:r>
          </w:p>
        </w:tc>
        <w:tc>
          <w:tcPr>
            <w:tcW w:w="3488" w:type="pct"/>
            <w:vAlign w:val="center"/>
          </w:tcPr>
          <w:p w14:paraId="71A5CF22" w14:textId="77777777" w:rsidR="00D27DDC" w:rsidRPr="00730D0F" w:rsidRDefault="00D27DDC" w:rsidP="00D27DDC">
            <w:pPr>
              <w:pStyle w:val="Tablesmalltext"/>
              <w:rPr>
                <w:color w:val="000000"/>
                <w:lang w:val="en-AU" w:eastAsia="en-AU"/>
              </w:rPr>
            </w:pPr>
            <w:r w:rsidRPr="00730D0F">
              <w:rPr>
                <w:color w:val="000000"/>
                <w:lang w:val="en-AU" w:eastAsia="en-AU"/>
              </w:rPr>
              <w:t>If timber harvesting is undertaken in areas with slope &gt;30°, does the area harvested exceed 10% of net harvest area and has the risk of soil mass movement been managed accordingly?</w:t>
            </w:r>
          </w:p>
        </w:tc>
        <w:tc>
          <w:tcPr>
            <w:tcW w:w="599" w:type="pct"/>
          </w:tcPr>
          <w:p w14:paraId="01082DA9" w14:textId="77777777" w:rsidR="00D27DDC" w:rsidRDefault="00D27DDC" w:rsidP="00D27DDC">
            <w:pPr>
              <w:pStyle w:val="Tablesmalltext"/>
              <w:jc w:val="center"/>
            </w:pPr>
            <w:r>
              <w:t>100%</w:t>
            </w:r>
          </w:p>
        </w:tc>
        <w:tc>
          <w:tcPr>
            <w:tcW w:w="522" w:type="pct"/>
          </w:tcPr>
          <w:p w14:paraId="31CC6BDC" w14:textId="77777777" w:rsidR="00D27DDC" w:rsidRDefault="00D27DDC" w:rsidP="00D27DDC">
            <w:pPr>
              <w:pStyle w:val="Tablesmalltext"/>
              <w:jc w:val="center"/>
            </w:pPr>
            <w:r>
              <w:t>S,W</w:t>
            </w:r>
          </w:p>
        </w:tc>
      </w:tr>
      <w:tr w:rsidR="00D27DDC" w14:paraId="7FF1D0E0" w14:textId="77777777" w:rsidTr="00D27DDC">
        <w:tc>
          <w:tcPr>
            <w:tcW w:w="391" w:type="pct"/>
          </w:tcPr>
          <w:p w14:paraId="2076AFF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4.04</w:t>
            </w:r>
          </w:p>
        </w:tc>
        <w:tc>
          <w:tcPr>
            <w:tcW w:w="3488" w:type="pct"/>
          </w:tcPr>
          <w:p w14:paraId="0449AF8D" w14:textId="77777777" w:rsidR="00D27DDC" w:rsidRPr="00730D0F" w:rsidRDefault="00D27DDC" w:rsidP="00D27DDC">
            <w:pPr>
              <w:pStyle w:val="Tablesmalltext"/>
              <w:rPr>
                <w:color w:val="000000"/>
                <w:lang w:val="en-AU" w:eastAsia="en-AU"/>
              </w:rPr>
            </w:pPr>
            <w:r w:rsidRPr="00730D0F">
              <w:rPr>
                <w:color w:val="000000"/>
                <w:lang w:val="en-AU" w:eastAsia="en-AU"/>
              </w:rPr>
              <w:t>For applicable EG coupes on granite</w:t>
            </w:r>
            <w:r>
              <w:rPr>
                <w:color w:val="000000"/>
                <w:lang w:val="en-AU" w:eastAsia="en-AU"/>
              </w:rPr>
              <w:t>-</w:t>
            </w:r>
            <w:r w:rsidRPr="00730D0F">
              <w:rPr>
                <w:color w:val="000000"/>
                <w:lang w:val="en-AU" w:eastAsia="en-AU"/>
              </w:rPr>
              <w:t>based soils (only), does the FCP show areas of the coupe with slope &gt;25°?</w:t>
            </w:r>
          </w:p>
        </w:tc>
        <w:tc>
          <w:tcPr>
            <w:tcW w:w="599" w:type="pct"/>
          </w:tcPr>
          <w:p w14:paraId="19E06604" w14:textId="77777777" w:rsidR="00D27DDC" w:rsidRDefault="00D27DDC" w:rsidP="00D27DDC">
            <w:pPr>
              <w:pStyle w:val="Tablesmalltext"/>
              <w:jc w:val="center"/>
            </w:pPr>
            <w:r>
              <w:t>0%</w:t>
            </w:r>
          </w:p>
        </w:tc>
        <w:tc>
          <w:tcPr>
            <w:tcW w:w="522" w:type="pct"/>
          </w:tcPr>
          <w:p w14:paraId="50B6629C" w14:textId="77777777" w:rsidR="00D27DDC" w:rsidRDefault="00D27DDC" w:rsidP="00D27DDC">
            <w:pPr>
              <w:pStyle w:val="Tablesmalltext"/>
              <w:jc w:val="center"/>
            </w:pPr>
            <w:r>
              <w:t>S,W</w:t>
            </w:r>
          </w:p>
        </w:tc>
      </w:tr>
      <w:tr w:rsidR="00D27DDC" w14:paraId="568F0EE5" w14:textId="77777777" w:rsidTr="00D27DDC">
        <w:tc>
          <w:tcPr>
            <w:tcW w:w="391" w:type="pct"/>
          </w:tcPr>
          <w:p w14:paraId="7AE70D9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4.05</w:t>
            </w:r>
          </w:p>
        </w:tc>
        <w:tc>
          <w:tcPr>
            <w:tcW w:w="3488" w:type="pct"/>
          </w:tcPr>
          <w:p w14:paraId="0D007EF9" w14:textId="77777777" w:rsidR="00D27DDC" w:rsidRPr="00730D0F" w:rsidRDefault="00D27DDC" w:rsidP="00D27DDC">
            <w:pPr>
              <w:pStyle w:val="Tablesmalltext"/>
              <w:rPr>
                <w:color w:val="000000"/>
                <w:lang w:val="en-AU" w:eastAsia="en-AU"/>
              </w:rPr>
            </w:pPr>
            <w:r w:rsidRPr="00730D0F">
              <w:rPr>
                <w:color w:val="000000"/>
                <w:lang w:val="en-AU" w:eastAsia="en-AU"/>
              </w:rPr>
              <w:t>For applicable EG coupes on granite</w:t>
            </w:r>
            <w:r>
              <w:rPr>
                <w:color w:val="000000"/>
                <w:lang w:val="en-AU" w:eastAsia="en-AU"/>
              </w:rPr>
              <w:t>-</w:t>
            </w:r>
            <w:r w:rsidRPr="00730D0F">
              <w:rPr>
                <w:color w:val="000000"/>
                <w:lang w:val="en-AU" w:eastAsia="en-AU"/>
              </w:rPr>
              <w:t>based soils (only), has timber harvesting been excluded from areas with slopes &gt;25°?</w:t>
            </w:r>
          </w:p>
        </w:tc>
        <w:tc>
          <w:tcPr>
            <w:tcW w:w="599" w:type="pct"/>
          </w:tcPr>
          <w:p w14:paraId="6713BD58" w14:textId="77777777" w:rsidR="00D27DDC" w:rsidRDefault="00D27DDC" w:rsidP="00D27DDC">
            <w:pPr>
              <w:pStyle w:val="Tablesmalltext"/>
              <w:jc w:val="center"/>
            </w:pPr>
            <w:r>
              <w:t>100%</w:t>
            </w:r>
          </w:p>
        </w:tc>
        <w:tc>
          <w:tcPr>
            <w:tcW w:w="522" w:type="pct"/>
          </w:tcPr>
          <w:p w14:paraId="7B53BD38" w14:textId="77777777" w:rsidR="00D27DDC" w:rsidRDefault="00D27DDC" w:rsidP="00D27DDC">
            <w:pPr>
              <w:pStyle w:val="Tablesmalltext"/>
              <w:jc w:val="center"/>
            </w:pPr>
            <w:r>
              <w:t>S,W</w:t>
            </w:r>
          </w:p>
        </w:tc>
      </w:tr>
      <w:tr w:rsidR="00D27DDC" w14:paraId="2D95ECE0" w14:textId="77777777" w:rsidTr="00523E3C">
        <w:tc>
          <w:tcPr>
            <w:tcW w:w="391" w:type="pct"/>
            <w:shd w:val="clear" w:color="auto" w:fill="FFFFCC"/>
          </w:tcPr>
          <w:p w14:paraId="493B434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190DDB4" w14:textId="77777777" w:rsidR="00D27DDC" w:rsidRDefault="00D27DDC" w:rsidP="00D27DDC">
            <w:pPr>
              <w:pStyle w:val="Tablesmalltext"/>
            </w:pPr>
            <w:r w:rsidRPr="00730D0F">
              <w:rPr>
                <w:color w:val="000000"/>
                <w:lang w:val="en-AU" w:eastAsia="en-AU"/>
              </w:rPr>
              <w:t xml:space="preserve">3.5.1.1 Apply the slope limits, seasonal closures, buffer and filter strip widths and other relevant management actions specified in MSP Appendix 3 Table 11 (Water supply protection areas) for timber harvesting operations and associated roading and regeneration in water supply protection areas. </w:t>
            </w:r>
          </w:p>
        </w:tc>
      </w:tr>
      <w:tr w:rsidR="00D27DDC" w14:paraId="661E1CDD" w14:textId="77777777" w:rsidTr="00523E3C">
        <w:tc>
          <w:tcPr>
            <w:tcW w:w="391" w:type="pct"/>
            <w:shd w:val="clear" w:color="auto" w:fill="FFFFCC"/>
          </w:tcPr>
          <w:p w14:paraId="6BAD26D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CB7E6CC" w14:textId="77777777" w:rsidR="00D27DDC" w:rsidRDefault="00D27DDC" w:rsidP="00D27DDC">
            <w:pPr>
              <w:pStyle w:val="Tablesmalltext"/>
            </w:pPr>
            <w:r w:rsidRPr="00730D0F">
              <w:rPr>
                <w:color w:val="000000"/>
                <w:lang w:val="en-AU" w:eastAsia="en-AU"/>
              </w:rPr>
              <w:t>3.5.1.2 Refer to Table 2 in Appendix 5 the PS for management actions that apply to water supply protection area SMZs in the Benalla-Mansfield, East Gippsland FMAs</w:t>
            </w:r>
          </w:p>
        </w:tc>
      </w:tr>
      <w:tr w:rsidR="00D27DDC" w14:paraId="16825DBB" w14:textId="77777777" w:rsidTr="00523E3C">
        <w:tc>
          <w:tcPr>
            <w:tcW w:w="391" w:type="pct"/>
            <w:shd w:val="clear" w:color="auto" w:fill="FFFFCC"/>
          </w:tcPr>
          <w:p w14:paraId="2C4634C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C62D497" w14:textId="77777777" w:rsidR="00D27DDC" w:rsidRDefault="00D27DDC" w:rsidP="00D27DDC">
            <w:pPr>
              <w:pStyle w:val="Tablesmalltext"/>
            </w:pPr>
            <w:r w:rsidRPr="00730D0F">
              <w:rPr>
                <w:color w:val="000000"/>
                <w:lang w:val="en-AU" w:eastAsia="en-AU"/>
              </w:rPr>
              <w:t xml:space="preserve">3.5.1.3 Obtain approval from the Minister or delegate in accordance with section 1.4 for any timber harvesting operations that are not conducted in accordance with clauses 3.5.1.1 or 3.5.1.2. </w:t>
            </w:r>
          </w:p>
        </w:tc>
      </w:tr>
      <w:tr w:rsidR="00D27DDC" w14:paraId="686EF8F5" w14:textId="77777777" w:rsidTr="00D27DDC">
        <w:tc>
          <w:tcPr>
            <w:tcW w:w="391" w:type="pct"/>
          </w:tcPr>
          <w:p w14:paraId="22527D3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5.01</w:t>
            </w:r>
          </w:p>
        </w:tc>
        <w:tc>
          <w:tcPr>
            <w:tcW w:w="3488" w:type="pct"/>
          </w:tcPr>
          <w:p w14:paraId="519B70BD" w14:textId="77777777" w:rsidR="00D27DDC" w:rsidRPr="00730D0F" w:rsidRDefault="00D27DDC" w:rsidP="00D27DDC">
            <w:pPr>
              <w:pStyle w:val="Tablesmalltext"/>
              <w:rPr>
                <w:color w:val="000000"/>
                <w:lang w:val="en-AU" w:eastAsia="en-AU"/>
              </w:rPr>
            </w:pPr>
            <w:r w:rsidRPr="00730D0F">
              <w:rPr>
                <w:color w:val="000000"/>
                <w:lang w:val="en-AU" w:eastAsia="en-AU"/>
              </w:rPr>
              <w:t>Does the FCP correctly note that the coupe is or is not located in a water supply catchment?</w:t>
            </w:r>
          </w:p>
        </w:tc>
        <w:tc>
          <w:tcPr>
            <w:tcW w:w="599" w:type="pct"/>
          </w:tcPr>
          <w:p w14:paraId="5340EBDC" w14:textId="77777777" w:rsidR="00D27DDC" w:rsidRDefault="00D27DDC" w:rsidP="00D27DDC">
            <w:pPr>
              <w:pStyle w:val="Tablesmalltext"/>
              <w:jc w:val="center"/>
            </w:pPr>
            <w:r>
              <w:t>100%</w:t>
            </w:r>
          </w:p>
        </w:tc>
        <w:tc>
          <w:tcPr>
            <w:tcW w:w="522" w:type="pct"/>
          </w:tcPr>
          <w:p w14:paraId="7CA531A8" w14:textId="77777777" w:rsidR="00D27DDC" w:rsidRDefault="00D27DDC" w:rsidP="00D27DDC">
            <w:pPr>
              <w:pStyle w:val="Tablesmalltext"/>
              <w:jc w:val="center"/>
            </w:pPr>
            <w:r>
              <w:t>W,P</w:t>
            </w:r>
          </w:p>
        </w:tc>
      </w:tr>
      <w:tr w:rsidR="00D27DDC" w14:paraId="1B1CEBE2" w14:textId="77777777" w:rsidTr="00D27DDC">
        <w:tc>
          <w:tcPr>
            <w:tcW w:w="391" w:type="pct"/>
          </w:tcPr>
          <w:p w14:paraId="0451C3D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5.02</w:t>
            </w:r>
          </w:p>
        </w:tc>
        <w:tc>
          <w:tcPr>
            <w:tcW w:w="3488" w:type="pct"/>
          </w:tcPr>
          <w:p w14:paraId="4FD20995" w14:textId="77777777" w:rsidR="00D27DDC" w:rsidRPr="00730D0F" w:rsidRDefault="00D27DDC" w:rsidP="00D27DDC">
            <w:pPr>
              <w:pStyle w:val="Tablesmalltext"/>
              <w:rPr>
                <w:color w:val="000000"/>
                <w:lang w:val="en-AU" w:eastAsia="en-AU"/>
              </w:rPr>
            </w:pPr>
            <w:r w:rsidRPr="00730D0F">
              <w:rPr>
                <w:color w:val="000000"/>
                <w:lang w:val="en-AU" w:eastAsia="en-AU"/>
              </w:rPr>
              <w:t>For relevant couples located in WSPA/DWSC, have the applicable slope limits, seasonal closures, buffer and filter strip widths and other relevant management actions specified in Appendix 3 Table 11 been correctly applied on the coupe?</w:t>
            </w:r>
          </w:p>
        </w:tc>
        <w:tc>
          <w:tcPr>
            <w:tcW w:w="599" w:type="pct"/>
          </w:tcPr>
          <w:p w14:paraId="47C67F1B" w14:textId="77777777" w:rsidR="00D27DDC" w:rsidRDefault="00D27DDC" w:rsidP="00D27DDC">
            <w:pPr>
              <w:pStyle w:val="Tablesmalltext"/>
              <w:jc w:val="center"/>
            </w:pPr>
            <w:r>
              <w:t>83%</w:t>
            </w:r>
          </w:p>
        </w:tc>
        <w:tc>
          <w:tcPr>
            <w:tcW w:w="522" w:type="pct"/>
          </w:tcPr>
          <w:p w14:paraId="250710D1" w14:textId="77777777" w:rsidR="00D27DDC" w:rsidRDefault="00D27DDC" w:rsidP="00D27DDC">
            <w:pPr>
              <w:pStyle w:val="Tablesmalltext"/>
              <w:jc w:val="center"/>
            </w:pPr>
            <w:r>
              <w:t>W</w:t>
            </w:r>
          </w:p>
        </w:tc>
      </w:tr>
      <w:tr w:rsidR="00D27DDC" w14:paraId="2E9D915E" w14:textId="77777777" w:rsidTr="00D27DDC">
        <w:tc>
          <w:tcPr>
            <w:tcW w:w="391" w:type="pct"/>
          </w:tcPr>
          <w:p w14:paraId="3F91FB4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5.03</w:t>
            </w:r>
          </w:p>
        </w:tc>
        <w:tc>
          <w:tcPr>
            <w:tcW w:w="3488" w:type="pct"/>
          </w:tcPr>
          <w:p w14:paraId="5E623CF1" w14:textId="77777777" w:rsidR="00D27DDC" w:rsidRPr="00730D0F" w:rsidRDefault="00D27DDC" w:rsidP="00D27DDC">
            <w:pPr>
              <w:pStyle w:val="Tablesmalltext"/>
              <w:rPr>
                <w:color w:val="000000"/>
                <w:lang w:val="en-AU" w:eastAsia="en-AU"/>
              </w:rPr>
            </w:pPr>
            <w:r w:rsidRPr="00730D0F">
              <w:rPr>
                <w:color w:val="000000"/>
                <w:lang w:val="en-AU" w:eastAsia="en-AU"/>
              </w:rPr>
              <w:t>For relevant couples located in WSPA/DWSC, are the applicable stream buffers and maximum annual areas harvested correctly applied on the coupe?</w:t>
            </w:r>
          </w:p>
        </w:tc>
        <w:tc>
          <w:tcPr>
            <w:tcW w:w="599" w:type="pct"/>
          </w:tcPr>
          <w:p w14:paraId="79C8DB70" w14:textId="77777777" w:rsidR="00D27DDC" w:rsidRDefault="00D27DDC" w:rsidP="00D27DDC">
            <w:pPr>
              <w:pStyle w:val="Tablesmalltext"/>
              <w:jc w:val="center"/>
            </w:pPr>
            <w:r>
              <w:t>100%</w:t>
            </w:r>
          </w:p>
        </w:tc>
        <w:tc>
          <w:tcPr>
            <w:tcW w:w="522" w:type="pct"/>
          </w:tcPr>
          <w:p w14:paraId="29975B7D" w14:textId="77777777" w:rsidR="00D27DDC" w:rsidRDefault="00D27DDC" w:rsidP="00D27DDC">
            <w:pPr>
              <w:pStyle w:val="Tablesmalltext"/>
              <w:jc w:val="center"/>
            </w:pPr>
            <w:r>
              <w:t>W</w:t>
            </w:r>
          </w:p>
        </w:tc>
      </w:tr>
      <w:tr w:rsidR="00D27DDC" w14:paraId="570891B9" w14:textId="77777777" w:rsidTr="00D27DDC">
        <w:tc>
          <w:tcPr>
            <w:tcW w:w="391" w:type="pct"/>
          </w:tcPr>
          <w:p w14:paraId="6DDE9D8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5.04</w:t>
            </w:r>
          </w:p>
        </w:tc>
        <w:tc>
          <w:tcPr>
            <w:tcW w:w="3488" w:type="pct"/>
          </w:tcPr>
          <w:p w14:paraId="104D86AE" w14:textId="77777777" w:rsidR="00D27DDC" w:rsidRPr="00730D0F" w:rsidRDefault="00D27DDC" w:rsidP="00D27DDC">
            <w:pPr>
              <w:pStyle w:val="Tablesmalltext"/>
              <w:rPr>
                <w:color w:val="000000"/>
                <w:lang w:val="en-AU" w:eastAsia="en-AU"/>
              </w:rPr>
            </w:pPr>
            <w:r w:rsidRPr="00730D0F">
              <w:rPr>
                <w:color w:val="000000"/>
                <w:lang w:val="en-AU" w:eastAsia="en-AU"/>
              </w:rPr>
              <w:t>For relevant couples located in WSPA/DWSC, if timber harvesting operations are not conducted in accordance with the relevant MSP prescriptions, has Ministerial approval been obtained in accordance with MSP section 1.5 and Appendix 1 prior to harvesting commencing?</w:t>
            </w:r>
          </w:p>
        </w:tc>
        <w:tc>
          <w:tcPr>
            <w:tcW w:w="599" w:type="pct"/>
          </w:tcPr>
          <w:p w14:paraId="09347DD5" w14:textId="77777777" w:rsidR="00D27DDC" w:rsidRDefault="00D27DDC" w:rsidP="00D27DDC">
            <w:pPr>
              <w:pStyle w:val="Tablesmalltext"/>
              <w:jc w:val="center"/>
            </w:pPr>
            <w:r>
              <w:t>No applicable coupes</w:t>
            </w:r>
          </w:p>
        </w:tc>
        <w:tc>
          <w:tcPr>
            <w:tcW w:w="522" w:type="pct"/>
          </w:tcPr>
          <w:p w14:paraId="3DCC05D5" w14:textId="77777777" w:rsidR="00D27DDC" w:rsidRDefault="00D27DDC" w:rsidP="00D27DDC">
            <w:pPr>
              <w:pStyle w:val="Tablesmalltext"/>
              <w:jc w:val="center"/>
            </w:pPr>
            <w:r>
              <w:t>P</w:t>
            </w:r>
          </w:p>
        </w:tc>
      </w:tr>
      <w:tr w:rsidR="00D27DDC" w14:paraId="68F91E9A" w14:textId="77777777" w:rsidTr="00D27DDC">
        <w:tc>
          <w:tcPr>
            <w:tcW w:w="391" w:type="pct"/>
            <w:shd w:val="clear" w:color="auto" w:fill="FFEBD0" w:themeFill="accent4" w:themeFillTint="33"/>
          </w:tcPr>
          <w:p w14:paraId="7ECB3BC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55C10567" w14:textId="77777777" w:rsidR="00D27DDC" w:rsidRDefault="00D27DDC" w:rsidP="00D27DDC">
            <w:pPr>
              <w:pStyle w:val="Tablesmalltext"/>
            </w:pPr>
            <w:r w:rsidRPr="00730D0F">
              <w:rPr>
                <w:color w:val="000000"/>
                <w:lang w:val="en-AU" w:eastAsia="en-AU"/>
              </w:rPr>
              <w:t>2.2.1.2 Management actions to protect waterways, river health and soil must be appropriate to the waterway class, soil category, and potential water quality risk posed by timber harvesting operations at each site.</w:t>
            </w:r>
          </w:p>
        </w:tc>
      </w:tr>
      <w:tr w:rsidR="00D27DDC" w14:paraId="7D48E4C0" w14:textId="77777777" w:rsidTr="00D27DDC">
        <w:tc>
          <w:tcPr>
            <w:tcW w:w="391" w:type="pct"/>
          </w:tcPr>
          <w:p w14:paraId="3817E02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6.01</w:t>
            </w:r>
          </w:p>
        </w:tc>
        <w:tc>
          <w:tcPr>
            <w:tcW w:w="3488" w:type="pct"/>
            <w:vAlign w:val="center"/>
          </w:tcPr>
          <w:p w14:paraId="06FEE25B" w14:textId="77777777" w:rsidR="00D27DDC" w:rsidRPr="00730D0F" w:rsidRDefault="00D27DDC" w:rsidP="00D27DDC">
            <w:pPr>
              <w:pStyle w:val="Tablesmalltext"/>
              <w:rPr>
                <w:color w:val="000000"/>
                <w:lang w:val="en-AU" w:eastAsia="en-AU"/>
              </w:rPr>
            </w:pPr>
            <w:r w:rsidRPr="00730D0F">
              <w:rPr>
                <w:color w:val="000000"/>
                <w:lang w:val="en-AU" w:eastAsia="en-AU"/>
              </w:rPr>
              <w:t>ITAO is there evidence from the coupe which suggests that management actions to protect waterways, river health and soil have not been appropriate to protect waterways, river health and soil?</w:t>
            </w:r>
          </w:p>
        </w:tc>
        <w:tc>
          <w:tcPr>
            <w:tcW w:w="599" w:type="pct"/>
          </w:tcPr>
          <w:p w14:paraId="7B3E7AA5" w14:textId="77777777" w:rsidR="00D27DDC" w:rsidRDefault="00D27DDC" w:rsidP="00D27DDC">
            <w:pPr>
              <w:pStyle w:val="Tablesmalltext"/>
              <w:jc w:val="center"/>
            </w:pPr>
            <w:r>
              <w:t>53%</w:t>
            </w:r>
          </w:p>
        </w:tc>
        <w:tc>
          <w:tcPr>
            <w:tcW w:w="522" w:type="pct"/>
          </w:tcPr>
          <w:p w14:paraId="26F417FC" w14:textId="77777777" w:rsidR="00D27DDC" w:rsidRDefault="00D27DDC" w:rsidP="00D27DDC">
            <w:pPr>
              <w:pStyle w:val="Tablesmalltext"/>
              <w:jc w:val="center"/>
            </w:pPr>
            <w:r>
              <w:t>S,W</w:t>
            </w:r>
          </w:p>
        </w:tc>
      </w:tr>
      <w:tr w:rsidR="00D27DDC" w14:paraId="4826587C" w14:textId="77777777" w:rsidTr="00D27DDC">
        <w:tc>
          <w:tcPr>
            <w:tcW w:w="391" w:type="pct"/>
            <w:shd w:val="clear" w:color="auto" w:fill="FFEBD0" w:themeFill="accent4" w:themeFillTint="33"/>
          </w:tcPr>
          <w:p w14:paraId="707CA18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784D4A3F" w14:textId="77777777" w:rsidR="00D27DDC" w:rsidRDefault="00D27DDC" w:rsidP="00D27DDC">
            <w:pPr>
              <w:pStyle w:val="Tablesmalltext"/>
            </w:pPr>
            <w:r w:rsidRPr="00730D0F">
              <w:rPr>
                <w:color w:val="000000"/>
                <w:lang w:val="en-AU" w:eastAsia="en-AU"/>
              </w:rPr>
              <w:t>2.2.1.5 Where practical exclude roads and snig tracks from aquatic and riparian habitats.</w:t>
            </w:r>
          </w:p>
        </w:tc>
      </w:tr>
      <w:tr w:rsidR="00D27DDC" w14:paraId="1B88CB8B" w14:textId="77777777" w:rsidTr="00D27DDC">
        <w:tc>
          <w:tcPr>
            <w:tcW w:w="391" w:type="pct"/>
            <w:shd w:val="clear" w:color="auto" w:fill="FFEBD0" w:themeFill="accent4" w:themeFillTint="33"/>
          </w:tcPr>
          <w:p w14:paraId="021D61C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C</w:t>
            </w:r>
          </w:p>
        </w:tc>
        <w:tc>
          <w:tcPr>
            <w:tcW w:w="4609" w:type="pct"/>
            <w:gridSpan w:val="3"/>
            <w:shd w:val="clear" w:color="auto" w:fill="FFEBD0" w:themeFill="accent4" w:themeFillTint="33"/>
          </w:tcPr>
          <w:p w14:paraId="3C3D6CEE" w14:textId="77777777" w:rsidR="00D27DDC" w:rsidRDefault="00D27DDC" w:rsidP="00D27DDC">
            <w:pPr>
              <w:pStyle w:val="Tablesmalltext"/>
            </w:pPr>
            <w:r w:rsidRPr="00730D0F">
              <w:rPr>
                <w:color w:val="000000"/>
                <w:lang w:val="en-AU" w:eastAsia="en-AU"/>
              </w:rPr>
              <w:t>2.2.1.6 Where crossings are required, minimise the extent of habitat damage, constriction to stream flow and barriers to fish and other aquatic fauna.</w:t>
            </w:r>
          </w:p>
        </w:tc>
      </w:tr>
      <w:tr w:rsidR="00D27DDC" w14:paraId="7EB41FF3" w14:textId="77777777" w:rsidTr="00D27DDC">
        <w:tc>
          <w:tcPr>
            <w:tcW w:w="391" w:type="pct"/>
            <w:shd w:val="clear" w:color="auto" w:fill="FFEBD0" w:themeFill="accent4" w:themeFillTint="33"/>
          </w:tcPr>
          <w:p w14:paraId="69F55F3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0553E63B" w14:textId="77777777" w:rsidR="00D27DDC" w:rsidRDefault="00D27DDC" w:rsidP="00D27DDC">
            <w:pPr>
              <w:pStyle w:val="Tablesmalltext"/>
            </w:pPr>
            <w:r w:rsidRPr="00730D0F">
              <w:rPr>
                <w:color w:val="000000"/>
                <w:lang w:val="en-AU" w:eastAsia="en-AU"/>
              </w:rPr>
              <w:t>2.2.1.7 Remove temporary crossings immediately after harvesting or any subsequent regeneration work is complete using a technique that minimises soil and habitat disturbance.</w:t>
            </w:r>
          </w:p>
        </w:tc>
      </w:tr>
      <w:tr w:rsidR="00D27DDC" w14:paraId="2D383336" w14:textId="77777777" w:rsidTr="00D27DDC">
        <w:tc>
          <w:tcPr>
            <w:tcW w:w="391" w:type="pct"/>
            <w:shd w:val="clear" w:color="auto" w:fill="FFEBD0" w:themeFill="accent4" w:themeFillTint="33"/>
          </w:tcPr>
          <w:p w14:paraId="5F3AA82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68520289" w14:textId="77777777" w:rsidR="00D27DDC" w:rsidRDefault="00D27DDC" w:rsidP="00D27DDC">
            <w:pPr>
              <w:pStyle w:val="Tablesmalltext"/>
            </w:pPr>
            <w:r w:rsidRPr="00730D0F">
              <w:rPr>
                <w:color w:val="000000"/>
                <w:lang w:val="en-AU" w:eastAsia="en-AU"/>
              </w:rPr>
              <w:t>2.2.1.8 Use drainage, artificial structures, buffers and filters of effective width to slow and disperse surface flows and deposit sediment before reaching waterways.</w:t>
            </w:r>
          </w:p>
        </w:tc>
      </w:tr>
      <w:tr w:rsidR="00D27DDC" w14:paraId="647067F4" w14:textId="77777777" w:rsidTr="00D27DDC">
        <w:tc>
          <w:tcPr>
            <w:tcW w:w="391" w:type="pct"/>
            <w:shd w:val="clear" w:color="auto" w:fill="FFEBD0" w:themeFill="accent4" w:themeFillTint="33"/>
          </w:tcPr>
          <w:p w14:paraId="6011789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3488" w:type="pct"/>
            <w:shd w:val="clear" w:color="auto" w:fill="FFEBD0" w:themeFill="accent4" w:themeFillTint="33"/>
            <w:vAlign w:val="center"/>
          </w:tcPr>
          <w:p w14:paraId="194CB1EB" w14:textId="77777777" w:rsidR="00D27DDC" w:rsidRPr="00730D0F" w:rsidRDefault="00D27DDC" w:rsidP="00D27DDC">
            <w:pPr>
              <w:pStyle w:val="Tablesmalltext"/>
              <w:rPr>
                <w:color w:val="000000"/>
                <w:lang w:val="en-AU" w:eastAsia="en-AU"/>
              </w:rPr>
            </w:pPr>
            <w:r w:rsidRPr="00730D0F">
              <w:rPr>
                <w:color w:val="000000"/>
                <w:lang w:val="en-AU" w:eastAsia="en-AU"/>
              </w:rPr>
              <w:t>2.2.1.12 Design, construct and maintain roads, crossings, coupe infrastructure and drainage structures to withstand foreseeable rainfall events and traffic conditions, and protect water quality.</w:t>
            </w:r>
          </w:p>
        </w:tc>
        <w:tc>
          <w:tcPr>
            <w:tcW w:w="599" w:type="pct"/>
            <w:shd w:val="clear" w:color="auto" w:fill="FFEBD0" w:themeFill="accent4" w:themeFillTint="33"/>
          </w:tcPr>
          <w:p w14:paraId="2E525585" w14:textId="77777777" w:rsidR="00D27DDC" w:rsidRDefault="00D27DDC" w:rsidP="00D27DDC">
            <w:pPr>
              <w:pStyle w:val="Tablesmalltext"/>
              <w:jc w:val="center"/>
            </w:pPr>
          </w:p>
        </w:tc>
        <w:tc>
          <w:tcPr>
            <w:tcW w:w="522" w:type="pct"/>
            <w:shd w:val="clear" w:color="auto" w:fill="FFEBD0" w:themeFill="accent4" w:themeFillTint="33"/>
          </w:tcPr>
          <w:p w14:paraId="27A79E4B" w14:textId="77777777" w:rsidR="00D27DDC" w:rsidRDefault="00D27DDC" w:rsidP="00D27DDC">
            <w:pPr>
              <w:pStyle w:val="Tablesmalltext"/>
              <w:jc w:val="center"/>
            </w:pPr>
          </w:p>
        </w:tc>
      </w:tr>
      <w:tr w:rsidR="00D27DDC" w14:paraId="4FAA36C1" w14:textId="77777777" w:rsidTr="00D27DDC">
        <w:tc>
          <w:tcPr>
            <w:tcW w:w="391" w:type="pct"/>
          </w:tcPr>
          <w:p w14:paraId="4750EB2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7.01</w:t>
            </w:r>
          </w:p>
        </w:tc>
        <w:tc>
          <w:tcPr>
            <w:tcW w:w="3488" w:type="pct"/>
            <w:vAlign w:val="center"/>
          </w:tcPr>
          <w:p w14:paraId="06595BFC" w14:textId="77777777" w:rsidR="00D27DDC" w:rsidRPr="00730D0F" w:rsidRDefault="00D27DDC" w:rsidP="00D27DDC">
            <w:pPr>
              <w:pStyle w:val="Tablesmalltext"/>
              <w:rPr>
                <w:color w:val="000000"/>
                <w:lang w:val="en-AU" w:eastAsia="en-AU"/>
              </w:rPr>
            </w:pPr>
            <w:r w:rsidRPr="00730D0F">
              <w:rPr>
                <w:color w:val="000000"/>
                <w:lang w:val="en-AU" w:eastAsia="en-AU"/>
              </w:rPr>
              <w:t>If roads and snig tracks have not been excluded from aquatic and riparian habitats, ITAO was it reasonably practicable to have done so?</w:t>
            </w:r>
          </w:p>
        </w:tc>
        <w:tc>
          <w:tcPr>
            <w:tcW w:w="599" w:type="pct"/>
          </w:tcPr>
          <w:p w14:paraId="2D2A83DA" w14:textId="77777777" w:rsidR="00D27DDC" w:rsidRDefault="00D27DDC" w:rsidP="00D27DDC">
            <w:pPr>
              <w:pStyle w:val="Tablesmalltext"/>
              <w:jc w:val="center"/>
            </w:pPr>
            <w:r>
              <w:t>75%</w:t>
            </w:r>
          </w:p>
        </w:tc>
        <w:tc>
          <w:tcPr>
            <w:tcW w:w="522" w:type="pct"/>
          </w:tcPr>
          <w:p w14:paraId="5311099A" w14:textId="77777777" w:rsidR="00D27DDC" w:rsidRDefault="00D27DDC" w:rsidP="00D27DDC">
            <w:pPr>
              <w:pStyle w:val="Tablesmalltext"/>
              <w:jc w:val="center"/>
            </w:pPr>
            <w:r>
              <w:t>W,C</w:t>
            </w:r>
          </w:p>
        </w:tc>
      </w:tr>
      <w:tr w:rsidR="00D27DDC" w14:paraId="26026F21" w14:textId="77777777" w:rsidTr="00D27DDC">
        <w:tc>
          <w:tcPr>
            <w:tcW w:w="391" w:type="pct"/>
          </w:tcPr>
          <w:p w14:paraId="500373D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7.02</w:t>
            </w:r>
          </w:p>
        </w:tc>
        <w:tc>
          <w:tcPr>
            <w:tcW w:w="3488" w:type="pct"/>
          </w:tcPr>
          <w:p w14:paraId="2F7FBDE6" w14:textId="77777777" w:rsidR="00D27DDC" w:rsidRPr="00730D0F" w:rsidRDefault="00D27DDC" w:rsidP="00D27DDC">
            <w:pPr>
              <w:pStyle w:val="Tablesmalltext"/>
              <w:rPr>
                <w:color w:val="000000"/>
                <w:lang w:val="en-AU" w:eastAsia="en-AU"/>
              </w:rPr>
            </w:pPr>
            <w:r w:rsidRPr="00730D0F">
              <w:rPr>
                <w:color w:val="000000"/>
                <w:lang w:val="en-AU" w:eastAsia="en-AU"/>
              </w:rPr>
              <w:t>For coupes with waterway crossings, ITAO did the crossing minimise the extent of habitat damage and, where relevant, constriction to stream flow and/or barriers to fish and other aquatic fauna?</w:t>
            </w:r>
          </w:p>
        </w:tc>
        <w:tc>
          <w:tcPr>
            <w:tcW w:w="599" w:type="pct"/>
          </w:tcPr>
          <w:p w14:paraId="52A4DC46" w14:textId="77777777" w:rsidR="00D27DDC" w:rsidRDefault="00D27DDC" w:rsidP="00D27DDC">
            <w:pPr>
              <w:pStyle w:val="Tablesmalltext"/>
              <w:jc w:val="center"/>
            </w:pPr>
            <w:r>
              <w:t>56%</w:t>
            </w:r>
          </w:p>
        </w:tc>
        <w:tc>
          <w:tcPr>
            <w:tcW w:w="522" w:type="pct"/>
          </w:tcPr>
          <w:p w14:paraId="19A33A5B" w14:textId="77777777" w:rsidR="00D27DDC" w:rsidRDefault="00D27DDC" w:rsidP="00D27DDC">
            <w:pPr>
              <w:pStyle w:val="Tablesmalltext"/>
              <w:jc w:val="center"/>
            </w:pPr>
            <w:r>
              <w:t>W</w:t>
            </w:r>
          </w:p>
        </w:tc>
      </w:tr>
      <w:tr w:rsidR="00D27DDC" w14:paraId="0BA0579B" w14:textId="77777777" w:rsidTr="00D27DDC">
        <w:tc>
          <w:tcPr>
            <w:tcW w:w="391" w:type="pct"/>
          </w:tcPr>
          <w:p w14:paraId="466E161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7.03</w:t>
            </w:r>
          </w:p>
        </w:tc>
        <w:tc>
          <w:tcPr>
            <w:tcW w:w="3488" w:type="pct"/>
          </w:tcPr>
          <w:p w14:paraId="08512BD3" w14:textId="77777777" w:rsidR="00D27DDC" w:rsidRPr="00730D0F" w:rsidRDefault="00D27DDC" w:rsidP="00D27DDC">
            <w:pPr>
              <w:pStyle w:val="Tablesmalltext"/>
              <w:rPr>
                <w:color w:val="000000"/>
                <w:lang w:val="en-AU" w:eastAsia="en-AU"/>
              </w:rPr>
            </w:pPr>
            <w:r w:rsidRPr="00730D0F">
              <w:rPr>
                <w:color w:val="000000"/>
                <w:lang w:val="en-AU" w:eastAsia="en-AU"/>
              </w:rPr>
              <w:t>ITAO has the crossing been removed as soon as reasonably practicable following harvesting or regeneration work?</w:t>
            </w:r>
          </w:p>
        </w:tc>
        <w:tc>
          <w:tcPr>
            <w:tcW w:w="599" w:type="pct"/>
          </w:tcPr>
          <w:p w14:paraId="2D0AE01F" w14:textId="77777777" w:rsidR="00D27DDC" w:rsidRDefault="00D27DDC" w:rsidP="00D27DDC">
            <w:pPr>
              <w:pStyle w:val="Tablesmalltext"/>
              <w:jc w:val="center"/>
            </w:pPr>
            <w:r>
              <w:t>67%</w:t>
            </w:r>
          </w:p>
        </w:tc>
        <w:tc>
          <w:tcPr>
            <w:tcW w:w="522" w:type="pct"/>
          </w:tcPr>
          <w:p w14:paraId="1544CE05" w14:textId="77777777" w:rsidR="00D27DDC" w:rsidRDefault="00D27DDC" w:rsidP="00D27DDC">
            <w:pPr>
              <w:pStyle w:val="Tablesmalltext"/>
              <w:jc w:val="center"/>
            </w:pPr>
            <w:r>
              <w:t>S,W,B,M</w:t>
            </w:r>
          </w:p>
        </w:tc>
      </w:tr>
      <w:tr w:rsidR="00D27DDC" w14:paraId="36D8CE92" w14:textId="77777777" w:rsidTr="00D27DDC">
        <w:tc>
          <w:tcPr>
            <w:tcW w:w="391" w:type="pct"/>
          </w:tcPr>
          <w:p w14:paraId="214D9B3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7.04</w:t>
            </w:r>
          </w:p>
        </w:tc>
        <w:tc>
          <w:tcPr>
            <w:tcW w:w="3488" w:type="pct"/>
          </w:tcPr>
          <w:p w14:paraId="394878E1" w14:textId="77777777" w:rsidR="00D27DDC" w:rsidRPr="00730D0F" w:rsidRDefault="00D27DDC" w:rsidP="00D27DDC">
            <w:pPr>
              <w:pStyle w:val="Tablesmalltext"/>
              <w:rPr>
                <w:color w:val="000000"/>
                <w:lang w:val="en-AU" w:eastAsia="en-AU"/>
              </w:rPr>
            </w:pPr>
            <w:r w:rsidRPr="00730D0F">
              <w:rPr>
                <w:color w:val="000000"/>
                <w:lang w:val="en-AU" w:eastAsia="en-AU"/>
              </w:rPr>
              <w:t>ITAO has removal of the crossing been undertaken in a manner that has minimised soil and habitat disturbance?</w:t>
            </w:r>
          </w:p>
        </w:tc>
        <w:tc>
          <w:tcPr>
            <w:tcW w:w="599" w:type="pct"/>
          </w:tcPr>
          <w:p w14:paraId="2C5218CB" w14:textId="77777777" w:rsidR="00D27DDC" w:rsidRDefault="00D27DDC" w:rsidP="00D27DDC">
            <w:pPr>
              <w:pStyle w:val="Tablesmalltext"/>
              <w:jc w:val="center"/>
            </w:pPr>
            <w:r>
              <w:t>100%</w:t>
            </w:r>
          </w:p>
        </w:tc>
        <w:tc>
          <w:tcPr>
            <w:tcW w:w="522" w:type="pct"/>
          </w:tcPr>
          <w:p w14:paraId="648E0168" w14:textId="77777777" w:rsidR="00D27DDC" w:rsidRDefault="00D27DDC" w:rsidP="00D27DDC">
            <w:pPr>
              <w:pStyle w:val="Tablesmalltext"/>
              <w:jc w:val="center"/>
            </w:pPr>
            <w:r>
              <w:t>S,W,M</w:t>
            </w:r>
          </w:p>
        </w:tc>
      </w:tr>
      <w:tr w:rsidR="00D27DDC" w14:paraId="27D0B384" w14:textId="77777777" w:rsidTr="00D27DDC">
        <w:tc>
          <w:tcPr>
            <w:tcW w:w="391" w:type="pct"/>
          </w:tcPr>
          <w:p w14:paraId="36797E1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7.05</w:t>
            </w:r>
          </w:p>
        </w:tc>
        <w:tc>
          <w:tcPr>
            <w:tcW w:w="3488" w:type="pct"/>
          </w:tcPr>
          <w:p w14:paraId="6DE659DE" w14:textId="77777777" w:rsidR="00D27DDC" w:rsidRPr="00730D0F" w:rsidRDefault="00D27DDC" w:rsidP="00D27DDC">
            <w:pPr>
              <w:pStyle w:val="Tablesmalltext"/>
              <w:rPr>
                <w:color w:val="000000"/>
                <w:lang w:val="en-AU" w:eastAsia="en-AU"/>
              </w:rPr>
            </w:pPr>
            <w:r w:rsidRPr="00730D0F">
              <w:rPr>
                <w:color w:val="000000"/>
                <w:lang w:val="en-AU" w:eastAsia="en-AU"/>
              </w:rPr>
              <w:t>ITAO have drainage, artificial structures, buffers and filters of effective width been appropriate used to try to slow and disperse surface flows and deposit sediment before reaching waterways?</w:t>
            </w:r>
          </w:p>
        </w:tc>
        <w:tc>
          <w:tcPr>
            <w:tcW w:w="599" w:type="pct"/>
          </w:tcPr>
          <w:p w14:paraId="391297FA" w14:textId="77777777" w:rsidR="00D27DDC" w:rsidRDefault="00D27DDC" w:rsidP="00D27DDC">
            <w:pPr>
              <w:pStyle w:val="Tablesmalltext"/>
              <w:jc w:val="center"/>
            </w:pPr>
            <w:r>
              <w:t>56%</w:t>
            </w:r>
          </w:p>
        </w:tc>
        <w:tc>
          <w:tcPr>
            <w:tcW w:w="522" w:type="pct"/>
          </w:tcPr>
          <w:p w14:paraId="195D3541" w14:textId="77777777" w:rsidR="00D27DDC" w:rsidRDefault="00D27DDC" w:rsidP="00D27DDC">
            <w:pPr>
              <w:pStyle w:val="Tablesmalltext"/>
              <w:jc w:val="center"/>
            </w:pPr>
            <w:r>
              <w:t>W,C,I</w:t>
            </w:r>
          </w:p>
        </w:tc>
      </w:tr>
      <w:tr w:rsidR="00D27DDC" w14:paraId="3E92AF85" w14:textId="77777777" w:rsidTr="00D27DDC">
        <w:tc>
          <w:tcPr>
            <w:tcW w:w="391" w:type="pct"/>
          </w:tcPr>
          <w:p w14:paraId="0C838B9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7.06</w:t>
            </w:r>
          </w:p>
        </w:tc>
        <w:tc>
          <w:tcPr>
            <w:tcW w:w="3488" w:type="pct"/>
          </w:tcPr>
          <w:p w14:paraId="2D8E37DB" w14:textId="77777777" w:rsidR="00D27DDC" w:rsidRPr="00730D0F" w:rsidRDefault="00D27DDC" w:rsidP="00D27DDC">
            <w:pPr>
              <w:pStyle w:val="Tablesmalltext"/>
              <w:rPr>
                <w:color w:val="000000"/>
                <w:lang w:val="en-AU" w:eastAsia="en-AU"/>
              </w:rPr>
            </w:pPr>
            <w:r w:rsidRPr="00730D0F">
              <w:rPr>
                <w:color w:val="000000"/>
                <w:lang w:val="en-AU" w:eastAsia="en-AU"/>
              </w:rPr>
              <w:t>Have the measures put in place to slow and disperse surface flows and deposit sediment before reaching waterways been effective?</w:t>
            </w:r>
          </w:p>
        </w:tc>
        <w:tc>
          <w:tcPr>
            <w:tcW w:w="599" w:type="pct"/>
          </w:tcPr>
          <w:p w14:paraId="4401A1E7" w14:textId="77777777" w:rsidR="00D27DDC" w:rsidRDefault="00D27DDC" w:rsidP="00D27DDC">
            <w:pPr>
              <w:pStyle w:val="Tablesmalltext"/>
              <w:jc w:val="center"/>
            </w:pPr>
            <w:r>
              <w:t>63%</w:t>
            </w:r>
          </w:p>
        </w:tc>
        <w:tc>
          <w:tcPr>
            <w:tcW w:w="522" w:type="pct"/>
          </w:tcPr>
          <w:p w14:paraId="0DACF07D" w14:textId="77777777" w:rsidR="00D27DDC" w:rsidRDefault="00D27DDC" w:rsidP="00D27DDC">
            <w:pPr>
              <w:pStyle w:val="Tablesmalltext"/>
              <w:jc w:val="center"/>
            </w:pPr>
            <w:r>
              <w:t>W,C,M</w:t>
            </w:r>
          </w:p>
        </w:tc>
      </w:tr>
      <w:tr w:rsidR="00D27DDC" w14:paraId="61BFC663" w14:textId="77777777" w:rsidTr="00D27DDC">
        <w:tc>
          <w:tcPr>
            <w:tcW w:w="391" w:type="pct"/>
          </w:tcPr>
          <w:p w14:paraId="1C645F6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7.07</w:t>
            </w:r>
          </w:p>
        </w:tc>
        <w:tc>
          <w:tcPr>
            <w:tcW w:w="3488" w:type="pct"/>
          </w:tcPr>
          <w:p w14:paraId="51ADB7D5" w14:textId="77777777" w:rsidR="00D27DDC" w:rsidRPr="00730D0F" w:rsidRDefault="00D27DDC" w:rsidP="00D27DDC">
            <w:pPr>
              <w:pStyle w:val="Tablesmalltext"/>
              <w:rPr>
                <w:color w:val="000000"/>
                <w:lang w:val="en-AU" w:eastAsia="en-AU"/>
              </w:rPr>
            </w:pPr>
            <w:r w:rsidRPr="00730D0F">
              <w:rPr>
                <w:color w:val="000000"/>
                <w:lang w:val="en-AU" w:eastAsia="en-AU"/>
              </w:rPr>
              <w:t>ITAO have roads, crossings, coupe infrastructure and drainage structures been designed, constructed and maintained so water quality has been protected from foreseeable rainfall events and traffic?</w:t>
            </w:r>
          </w:p>
        </w:tc>
        <w:tc>
          <w:tcPr>
            <w:tcW w:w="599" w:type="pct"/>
          </w:tcPr>
          <w:p w14:paraId="10723B0D" w14:textId="77777777" w:rsidR="00D27DDC" w:rsidRDefault="00D27DDC" w:rsidP="00D27DDC">
            <w:pPr>
              <w:pStyle w:val="Tablesmalltext"/>
              <w:jc w:val="center"/>
            </w:pPr>
            <w:r>
              <w:t>67%</w:t>
            </w:r>
          </w:p>
        </w:tc>
        <w:tc>
          <w:tcPr>
            <w:tcW w:w="522" w:type="pct"/>
          </w:tcPr>
          <w:p w14:paraId="09501EF1" w14:textId="77777777" w:rsidR="00D27DDC" w:rsidRDefault="00D27DDC" w:rsidP="00D27DDC">
            <w:pPr>
              <w:pStyle w:val="Tablesmalltext"/>
              <w:jc w:val="center"/>
            </w:pPr>
            <w:r>
              <w:t>W,D,C,M,I</w:t>
            </w:r>
          </w:p>
        </w:tc>
      </w:tr>
      <w:tr w:rsidR="00D27DDC" w14:paraId="58CA804E" w14:textId="77777777" w:rsidTr="00D27DDC">
        <w:tc>
          <w:tcPr>
            <w:tcW w:w="391" w:type="pct"/>
            <w:shd w:val="clear" w:color="auto" w:fill="FFEBD0" w:themeFill="accent4" w:themeFillTint="33"/>
          </w:tcPr>
          <w:p w14:paraId="152A9EB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1F1737F5" w14:textId="77777777" w:rsidR="00D27DDC" w:rsidRDefault="00D27DDC" w:rsidP="00D27DDC">
            <w:pPr>
              <w:pStyle w:val="Tablesmalltext"/>
            </w:pPr>
            <w:r w:rsidRPr="00730D0F">
              <w:rPr>
                <w:color w:val="000000"/>
                <w:lang w:val="en-AU" w:eastAsia="en-AU"/>
              </w:rPr>
              <w:t>2.2.1.14 Minimise potential for soil erosion or mass movement by planning and using operational methods and restrictions appropriate to the assessed soil erosion risk and slope.</w:t>
            </w:r>
          </w:p>
        </w:tc>
      </w:tr>
      <w:tr w:rsidR="00D27DDC" w14:paraId="368277AB" w14:textId="77777777" w:rsidTr="00D27DDC">
        <w:tc>
          <w:tcPr>
            <w:tcW w:w="391" w:type="pct"/>
            <w:shd w:val="clear" w:color="auto" w:fill="FFEBD0" w:themeFill="accent4" w:themeFillTint="33"/>
          </w:tcPr>
          <w:p w14:paraId="6BA9030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4DE71E4E" w14:textId="77777777" w:rsidR="00D27DDC" w:rsidRDefault="00D27DDC" w:rsidP="00D27DDC">
            <w:pPr>
              <w:pStyle w:val="Tablesmalltext"/>
            </w:pPr>
            <w:r w:rsidRPr="00730D0F">
              <w:rPr>
                <w:color w:val="000000"/>
                <w:lang w:val="en-AU" w:eastAsia="en-AU"/>
              </w:rPr>
              <w:t>2.2.1.15 Locate coupe infrastructure and roads to minimise soil erosion and degradation.</w:t>
            </w:r>
          </w:p>
        </w:tc>
      </w:tr>
      <w:tr w:rsidR="00D27DDC" w14:paraId="2942E8C2" w14:textId="77777777" w:rsidTr="00D27DDC">
        <w:tc>
          <w:tcPr>
            <w:tcW w:w="391" w:type="pct"/>
            <w:shd w:val="clear" w:color="auto" w:fill="FFEBD0" w:themeFill="accent4" w:themeFillTint="33"/>
          </w:tcPr>
          <w:p w14:paraId="4635B31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15243646" w14:textId="77777777" w:rsidR="00D27DDC" w:rsidRDefault="00D27DDC" w:rsidP="00D27DDC">
            <w:pPr>
              <w:pStyle w:val="Tablesmalltext"/>
            </w:pPr>
            <w:r w:rsidRPr="00730D0F">
              <w:rPr>
                <w:color w:val="000000"/>
                <w:lang w:val="en-AU" w:eastAsia="en-AU"/>
              </w:rPr>
              <w:t>2.2.1.18 Employ topsoil conservation techniques in timber harvesting areas affected by coupe infrastructure and roads.</w:t>
            </w:r>
          </w:p>
        </w:tc>
      </w:tr>
      <w:tr w:rsidR="00D27DDC" w14:paraId="3BA80C82" w14:textId="77777777" w:rsidTr="00D27DDC">
        <w:tc>
          <w:tcPr>
            <w:tcW w:w="391" w:type="pct"/>
          </w:tcPr>
          <w:p w14:paraId="06E81F5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8.01</w:t>
            </w:r>
          </w:p>
        </w:tc>
        <w:tc>
          <w:tcPr>
            <w:tcW w:w="3488" w:type="pct"/>
            <w:vAlign w:val="center"/>
          </w:tcPr>
          <w:p w14:paraId="1206FD50" w14:textId="77777777" w:rsidR="00D27DDC" w:rsidRPr="00730D0F" w:rsidRDefault="00D27DDC" w:rsidP="00D27DDC">
            <w:pPr>
              <w:pStyle w:val="Tablesmalltext"/>
              <w:rPr>
                <w:color w:val="000000"/>
                <w:lang w:val="en-AU" w:eastAsia="en-AU"/>
              </w:rPr>
            </w:pPr>
            <w:r w:rsidRPr="00730D0F">
              <w:rPr>
                <w:color w:val="000000"/>
                <w:lang w:val="en-AU" w:eastAsia="en-AU"/>
              </w:rPr>
              <w:t>ITAO have planning (including locating coupe infrastructure and roads) and operations methods applied on the coupe been appropriate for the assessed soil erosion risk and slope?</w:t>
            </w:r>
          </w:p>
        </w:tc>
        <w:tc>
          <w:tcPr>
            <w:tcW w:w="599" w:type="pct"/>
          </w:tcPr>
          <w:p w14:paraId="31309C16" w14:textId="77777777" w:rsidR="00D27DDC" w:rsidRDefault="00D27DDC" w:rsidP="00D27DDC">
            <w:pPr>
              <w:pStyle w:val="Tablesmalltext"/>
              <w:jc w:val="center"/>
            </w:pPr>
            <w:r>
              <w:t>83%</w:t>
            </w:r>
          </w:p>
        </w:tc>
        <w:tc>
          <w:tcPr>
            <w:tcW w:w="522" w:type="pct"/>
          </w:tcPr>
          <w:p w14:paraId="30E0D069" w14:textId="77777777" w:rsidR="00D27DDC" w:rsidRDefault="00D27DDC" w:rsidP="00D27DDC">
            <w:pPr>
              <w:pStyle w:val="Tablesmalltext"/>
              <w:jc w:val="center"/>
            </w:pPr>
            <w:r>
              <w:t>S,W,D,P</w:t>
            </w:r>
          </w:p>
        </w:tc>
      </w:tr>
      <w:tr w:rsidR="00D27DDC" w14:paraId="3963531D" w14:textId="77777777" w:rsidTr="00D27DDC">
        <w:tc>
          <w:tcPr>
            <w:tcW w:w="391" w:type="pct"/>
          </w:tcPr>
          <w:p w14:paraId="38F4B23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8.02</w:t>
            </w:r>
          </w:p>
        </w:tc>
        <w:tc>
          <w:tcPr>
            <w:tcW w:w="3488" w:type="pct"/>
            <w:vAlign w:val="center"/>
          </w:tcPr>
          <w:p w14:paraId="1E64C8E9" w14:textId="77777777" w:rsidR="00D27DDC" w:rsidRPr="00730D0F" w:rsidRDefault="00D27DDC" w:rsidP="00D27DDC">
            <w:pPr>
              <w:pStyle w:val="Tablesmalltext"/>
              <w:rPr>
                <w:color w:val="000000"/>
                <w:lang w:val="en-AU" w:eastAsia="en-AU"/>
              </w:rPr>
            </w:pPr>
            <w:r w:rsidRPr="00730D0F">
              <w:rPr>
                <w:color w:val="000000"/>
                <w:lang w:val="en-AU" w:eastAsia="en-AU"/>
              </w:rPr>
              <w:t>Is there evidence within the coupe of soil erosion or mass movement resulting from harvesting operations?</w:t>
            </w:r>
          </w:p>
        </w:tc>
        <w:tc>
          <w:tcPr>
            <w:tcW w:w="599" w:type="pct"/>
          </w:tcPr>
          <w:p w14:paraId="1B7C5496" w14:textId="77777777" w:rsidR="00D27DDC" w:rsidRDefault="00D27DDC" w:rsidP="00D27DDC">
            <w:pPr>
              <w:pStyle w:val="Tablesmalltext"/>
              <w:jc w:val="center"/>
            </w:pPr>
            <w:r>
              <w:t>62%</w:t>
            </w:r>
          </w:p>
        </w:tc>
        <w:tc>
          <w:tcPr>
            <w:tcW w:w="522" w:type="pct"/>
          </w:tcPr>
          <w:p w14:paraId="0BC5ABFA" w14:textId="77777777" w:rsidR="00D27DDC" w:rsidRDefault="00D27DDC" w:rsidP="00D27DDC">
            <w:pPr>
              <w:pStyle w:val="Tablesmalltext"/>
              <w:jc w:val="center"/>
            </w:pPr>
            <w:r>
              <w:t>S</w:t>
            </w:r>
          </w:p>
        </w:tc>
      </w:tr>
      <w:tr w:rsidR="00D27DDC" w14:paraId="1216DD1C" w14:textId="77777777" w:rsidTr="00D27DDC">
        <w:tc>
          <w:tcPr>
            <w:tcW w:w="391" w:type="pct"/>
          </w:tcPr>
          <w:p w14:paraId="3278495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8.03</w:t>
            </w:r>
          </w:p>
        </w:tc>
        <w:tc>
          <w:tcPr>
            <w:tcW w:w="3488" w:type="pct"/>
            <w:vAlign w:val="center"/>
          </w:tcPr>
          <w:p w14:paraId="4BA26539" w14:textId="77777777" w:rsidR="00D27DDC" w:rsidRPr="00730D0F" w:rsidRDefault="00D27DDC" w:rsidP="00D27DDC">
            <w:pPr>
              <w:pStyle w:val="Tablesmalltext"/>
              <w:rPr>
                <w:color w:val="000000"/>
                <w:lang w:val="en-AU" w:eastAsia="en-AU"/>
              </w:rPr>
            </w:pPr>
            <w:r w:rsidRPr="00730D0F">
              <w:rPr>
                <w:color w:val="000000"/>
                <w:lang w:val="en-AU" w:eastAsia="en-AU"/>
              </w:rPr>
              <w:t>ITAO has topsoil conservation been used as appropriate in areas affected by coupe infrastructure and/or roads?</w:t>
            </w:r>
          </w:p>
        </w:tc>
        <w:tc>
          <w:tcPr>
            <w:tcW w:w="599" w:type="pct"/>
          </w:tcPr>
          <w:p w14:paraId="301214A6" w14:textId="77777777" w:rsidR="00D27DDC" w:rsidRDefault="00D27DDC" w:rsidP="00D27DDC">
            <w:pPr>
              <w:pStyle w:val="Tablesmalltext"/>
              <w:jc w:val="center"/>
            </w:pPr>
            <w:r>
              <w:t>100%</w:t>
            </w:r>
          </w:p>
        </w:tc>
        <w:tc>
          <w:tcPr>
            <w:tcW w:w="522" w:type="pct"/>
          </w:tcPr>
          <w:p w14:paraId="40AEEF15" w14:textId="77777777" w:rsidR="00D27DDC" w:rsidRDefault="00D27DDC" w:rsidP="00D27DDC">
            <w:pPr>
              <w:pStyle w:val="Tablesmalltext"/>
              <w:jc w:val="center"/>
            </w:pPr>
            <w:r>
              <w:t>S,I</w:t>
            </w:r>
          </w:p>
        </w:tc>
      </w:tr>
      <w:tr w:rsidR="00D27DDC" w:rsidRPr="00831739" w14:paraId="724994BC" w14:textId="77777777" w:rsidTr="00D27DDC">
        <w:tc>
          <w:tcPr>
            <w:tcW w:w="391" w:type="pct"/>
            <w:shd w:val="clear" w:color="auto" w:fill="FFEBD0" w:themeFill="accent4" w:themeFillTint="33"/>
          </w:tcPr>
          <w:p w14:paraId="122D44E8" w14:textId="77777777" w:rsidR="00D27DDC" w:rsidRPr="00831739" w:rsidRDefault="00D27DDC" w:rsidP="00D27DDC">
            <w:pPr>
              <w:pStyle w:val="Tablesmalltext"/>
              <w:jc w:val="center"/>
              <w:rPr>
                <w:rFonts w:ascii="Calibri" w:hAnsi="Calibri" w:cs="Times New Roman"/>
                <w:b/>
                <w:color w:val="000000"/>
                <w:sz w:val="18"/>
                <w:szCs w:val="18"/>
                <w:lang w:val="en-AU" w:eastAsia="en-AU"/>
              </w:rPr>
            </w:pPr>
            <w:r w:rsidRPr="00831739">
              <w:rPr>
                <w:rFonts w:ascii="Calibri" w:hAnsi="Calibri" w:cs="Times New Roman"/>
                <w:b/>
                <w:color w:val="000000"/>
                <w:sz w:val="18"/>
                <w:szCs w:val="18"/>
                <w:lang w:val="en-AU" w:eastAsia="en-AU"/>
              </w:rPr>
              <w:t>C</w:t>
            </w:r>
          </w:p>
        </w:tc>
        <w:tc>
          <w:tcPr>
            <w:tcW w:w="4609" w:type="pct"/>
            <w:gridSpan w:val="3"/>
            <w:shd w:val="clear" w:color="auto" w:fill="FFEBD0" w:themeFill="accent4" w:themeFillTint="33"/>
          </w:tcPr>
          <w:p w14:paraId="6DB92190" w14:textId="77777777" w:rsidR="00D27DDC" w:rsidRPr="00831739" w:rsidRDefault="00D27DDC" w:rsidP="00D27DDC">
            <w:pPr>
              <w:pStyle w:val="Tablesmalltext"/>
              <w:rPr>
                <w:b/>
              </w:rPr>
            </w:pPr>
            <w:r w:rsidRPr="00831739">
              <w:rPr>
                <w:b/>
                <w:color w:val="000000"/>
                <w:lang w:val="en-AU" w:eastAsia="en-AU"/>
              </w:rPr>
              <w:t>2.2.2 Conservation of Biodiversity</w:t>
            </w:r>
          </w:p>
        </w:tc>
      </w:tr>
      <w:tr w:rsidR="00D27DDC" w14:paraId="15795F8D" w14:textId="77777777" w:rsidTr="00D27DDC">
        <w:tc>
          <w:tcPr>
            <w:tcW w:w="391" w:type="pct"/>
            <w:shd w:val="clear" w:color="auto" w:fill="FFEBD0" w:themeFill="accent4" w:themeFillTint="33"/>
          </w:tcPr>
          <w:p w14:paraId="0BDBE13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0D5BCAA2" w14:textId="77777777" w:rsidR="00D27DDC" w:rsidRDefault="00D27DDC" w:rsidP="00D27DDC">
            <w:pPr>
              <w:pStyle w:val="Tablesmalltext"/>
            </w:pPr>
            <w:r w:rsidRPr="00730D0F">
              <w:rPr>
                <w:color w:val="000000"/>
                <w:lang w:val="en-AU" w:eastAsia="en-AU"/>
              </w:rPr>
              <w:t>2.2.2.1 Planning and management of timber harvesting operations must comply with relevant biodiversity conservation measures specified within the Management Standards and Procedures.</w:t>
            </w:r>
          </w:p>
        </w:tc>
      </w:tr>
      <w:tr w:rsidR="00D27DDC" w14:paraId="28BB21F6" w14:textId="77777777" w:rsidTr="00D27DDC">
        <w:tc>
          <w:tcPr>
            <w:tcW w:w="391" w:type="pct"/>
            <w:shd w:val="clear" w:color="auto" w:fill="FFEBD0" w:themeFill="accent4" w:themeFillTint="33"/>
          </w:tcPr>
          <w:p w14:paraId="6C536EA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57C7D820" w14:textId="77777777" w:rsidR="00D27DDC" w:rsidRDefault="00D27DDC" w:rsidP="00D27DDC">
            <w:pPr>
              <w:pStyle w:val="Tablesmalltext"/>
            </w:pPr>
            <w:r w:rsidRPr="00730D0F">
              <w:rPr>
                <w:color w:val="000000"/>
                <w:lang w:val="en-AU" w:eastAsia="en-AU"/>
              </w:rPr>
              <w:t>2.2.2.4 During planning identify biodiversity values listed in the Management Standards and Procedures prior to roading, harvesting, tending and regeneration. Address risks to these values through management actions consistent with the Management Standards and Procedures such as appropriate location of coupe infrastructure, buffers, exclusion areas, modified harvest timing, modified silvicultural techniques or retention of specific structural attributes.</w:t>
            </w:r>
          </w:p>
        </w:tc>
      </w:tr>
      <w:tr w:rsidR="00D27DDC" w14:paraId="3FD44272" w14:textId="77777777" w:rsidTr="00D27DDC">
        <w:tc>
          <w:tcPr>
            <w:tcW w:w="391" w:type="pct"/>
          </w:tcPr>
          <w:p w14:paraId="2E12A82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lastRenderedPageBreak/>
              <w:t>9.00</w:t>
            </w:r>
          </w:p>
        </w:tc>
        <w:tc>
          <w:tcPr>
            <w:tcW w:w="3488" w:type="pct"/>
            <w:vAlign w:val="center"/>
          </w:tcPr>
          <w:p w14:paraId="1CC95BC0" w14:textId="77777777" w:rsidR="00D27DDC" w:rsidRPr="00730D0F" w:rsidRDefault="00D27DDC" w:rsidP="00D27DDC">
            <w:pPr>
              <w:pStyle w:val="Tablesmalltext"/>
              <w:rPr>
                <w:color w:val="000000"/>
                <w:lang w:val="en-AU" w:eastAsia="en-AU"/>
              </w:rPr>
            </w:pPr>
            <w:r w:rsidRPr="00730D0F">
              <w:rPr>
                <w:color w:val="000000"/>
                <w:lang w:val="en-AU" w:eastAsia="en-AU"/>
              </w:rPr>
              <w:t>ITAO has the management of timber harvesting, roading and regeneration operations adequately protected biodiversity values associated with the coupe?</w:t>
            </w:r>
          </w:p>
        </w:tc>
        <w:tc>
          <w:tcPr>
            <w:tcW w:w="599" w:type="pct"/>
          </w:tcPr>
          <w:p w14:paraId="73D19316" w14:textId="5AA286F9" w:rsidR="00D27DDC" w:rsidRDefault="00D27DDC" w:rsidP="00D27DDC">
            <w:pPr>
              <w:pStyle w:val="Tablesmalltext"/>
              <w:jc w:val="center"/>
            </w:pPr>
            <w:r>
              <w:t>8</w:t>
            </w:r>
            <w:r w:rsidR="00770074">
              <w:t>6</w:t>
            </w:r>
            <w:r>
              <w:t>% H</w:t>
            </w:r>
            <w:r>
              <w:rPr>
                <w:vertAlign w:val="superscript"/>
              </w:rPr>
              <w:t>4</w:t>
            </w:r>
          </w:p>
          <w:p w14:paraId="4A04B7FD" w14:textId="77777777" w:rsidR="00D27DDC" w:rsidRPr="00654262" w:rsidRDefault="00D27DDC" w:rsidP="00D27DDC">
            <w:pPr>
              <w:pStyle w:val="Tablesmalltext"/>
              <w:jc w:val="center"/>
              <w:rPr>
                <w:vertAlign w:val="superscript"/>
              </w:rPr>
            </w:pPr>
            <w:r>
              <w:t>90% R</w:t>
            </w:r>
            <w:r>
              <w:rPr>
                <w:vertAlign w:val="superscript"/>
              </w:rPr>
              <w:t>5</w:t>
            </w:r>
          </w:p>
        </w:tc>
        <w:tc>
          <w:tcPr>
            <w:tcW w:w="522" w:type="pct"/>
          </w:tcPr>
          <w:p w14:paraId="32134EA3" w14:textId="77777777" w:rsidR="00D27DDC" w:rsidRDefault="00D27DDC" w:rsidP="00D27DDC">
            <w:pPr>
              <w:pStyle w:val="Tablesmalltext"/>
              <w:jc w:val="center"/>
            </w:pPr>
            <w:r>
              <w:t>B,C,M</w:t>
            </w:r>
          </w:p>
          <w:p w14:paraId="29BC8202" w14:textId="77777777" w:rsidR="00D27DDC" w:rsidRDefault="00D27DDC" w:rsidP="00D27DDC">
            <w:pPr>
              <w:pStyle w:val="Tablesmalltext"/>
              <w:jc w:val="center"/>
            </w:pPr>
            <w:r>
              <w:t>R</w:t>
            </w:r>
          </w:p>
        </w:tc>
      </w:tr>
      <w:tr w:rsidR="00D27DDC" w14:paraId="367174EC" w14:textId="77777777" w:rsidTr="00523E3C">
        <w:tc>
          <w:tcPr>
            <w:tcW w:w="391" w:type="pct"/>
            <w:shd w:val="clear" w:color="auto" w:fill="FFFFCC"/>
          </w:tcPr>
          <w:p w14:paraId="4D05E05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57C23AC" w14:textId="77777777" w:rsidR="00D27DDC" w:rsidRDefault="00D27DDC" w:rsidP="00D27DDC">
            <w:pPr>
              <w:pStyle w:val="Tablesmalltext"/>
            </w:pPr>
            <w:r w:rsidRPr="00730D0F">
              <w:rPr>
                <w:color w:val="000000"/>
                <w:lang w:val="en-AU" w:eastAsia="en-AU"/>
              </w:rPr>
              <w:t>MSP4.1 Habitat retention</w:t>
            </w:r>
          </w:p>
        </w:tc>
      </w:tr>
      <w:tr w:rsidR="00D27DDC" w14:paraId="43525C18" w14:textId="77777777" w:rsidTr="00D27DDC">
        <w:tc>
          <w:tcPr>
            <w:tcW w:w="391" w:type="pct"/>
            <w:shd w:val="clear" w:color="auto" w:fill="FFEBD0" w:themeFill="accent4" w:themeFillTint="33"/>
          </w:tcPr>
          <w:p w14:paraId="399F49E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2EE28699" w14:textId="77777777" w:rsidR="00D27DDC" w:rsidRDefault="00D27DDC" w:rsidP="00D27DDC">
            <w:pPr>
              <w:pStyle w:val="Tablesmalltext"/>
            </w:pPr>
            <w:r w:rsidRPr="00730D0F">
              <w:rPr>
                <w:color w:val="000000"/>
                <w:lang w:val="en-AU" w:eastAsia="en-AU"/>
              </w:rPr>
              <w:t>2.2.2.10 Retain and protect habitat trees or habitat patches and long-lived understorey species to provide for the continuity and replacement of old hollow-bearing trees and existing vegetation types within each coupe.</w:t>
            </w:r>
          </w:p>
        </w:tc>
      </w:tr>
      <w:tr w:rsidR="00D27DDC" w14:paraId="0FC8022D" w14:textId="77777777" w:rsidTr="00523E3C">
        <w:tc>
          <w:tcPr>
            <w:tcW w:w="391" w:type="pct"/>
            <w:shd w:val="clear" w:color="auto" w:fill="FFFFCC"/>
          </w:tcPr>
          <w:p w14:paraId="49A3ED9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0DFABA1" w14:textId="77777777" w:rsidR="00D27DDC" w:rsidRDefault="00D27DDC" w:rsidP="00D27DDC">
            <w:pPr>
              <w:pStyle w:val="Tablesmalltext"/>
            </w:pPr>
            <w:r w:rsidRPr="00730D0F">
              <w:rPr>
                <w:color w:val="000000"/>
                <w:lang w:val="en-AU" w:eastAsia="en-AU"/>
              </w:rPr>
              <w:t xml:space="preserve">4.1.1.1 Retain habitat trees in accordance with the FMA summary provided in Appendix 3 Table 12 (Habitat tree prescriptions).  </w:t>
            </w:r>
          </w:p>
        </w:tc>
      </w:tr>
      <w:tr w:rsidR="00D27DDC" w14:paraId="4DFE8B96" w14:textId="77777777" w:rsidTr="00523E3C">
        <w:tc>
          <w:tcPr>
            <w:tcW w:w="391" w:type="pct"/>
            <w:shd w:val="clear" w:color="auto" w:fill="FFFFCC"/>
          </w:tcPr>
          <w:p w14:paraId="0708452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351A39C" w14:textId="77777777" w:rsidR="00D27DDC" w:rsidRDefault="00D27DDC" w:rsidP="00D27DDC">
            <w:pPr>
              <w:pStyle w:val="Tablesmalltext"/>
            </w:pPr>
            <w:r w:rsidRPr="00730D0F">
              <w:rPr>
                <w:color w:val="000000"/>
                <w:lang w:val="en-AU" w:eastAsia="en-AU"/>
              </w:rPr>
              <w:t xml:space="preserve">4.1.1.2 Trees in buffers or other exclusion areas that have been extended beyond minimum required widths can contribute to habitat tree retention requirements. </w:t>
            </w:r>
          </w:p>
        </w:tc>
      </w:tr>
      <w:tr w:rsidR="00D27DDC" w14:paraId="425432B9" w14:textId="77777777" w:rsidTr="00D27DDC">
        <w:tc>
          <w:tcPr>
            <w:tcW w:w="391" w:type="pct"/>
          </w:tcPr>
          <w:p w14:paraId="393DD34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9.01</w:t>
            </w:r>
          </w:p>
        </w:tc>
        <w:tc>
          <w:tcPr>
            <w:tcW w:w="3488" w:type="pct"/>
            <w:vAlign w:val="center"/>
          </w:tcPr>
          <w:p w14:paraId="13DE55AF" w14:textId="77777777" w:rsidR="00D27DDC" w:rsidRPr="00730D0F" w:rsidRDefault="00D27DDC" w:rsidP="00D27DDC">
            <w:pPr>
              <w:pStyle w:val="Tablesmalltext"/>
              <w:rPr>
                <w:color w:val="000000"/>
                <w:lang w:val="en-AU" w:eastAsia="en-AU"/>
              </w:rPr>
            </w:pPr>
            <w:r w:rsidRPr="00730D0F">
              <w:rPr>
                <w:color w:val="000000"/>
                <w:lang w:val="en-AU" w:eastAsia="en-AU"/>
              </w:rPr>
              <w:t>Have the required number of habitat trees been retained on the coupe (as per MSP Appendix 3, Table 12) - including in areas where buffers and other exclusion areas extended beyond the minimum required widths?</w:t>
            </w:r>
          </w:p>
        </w:tc>
        <w:tc>
          <w:tcPr>
            <w:tcW w:w="599" w:type="pct"/>
          </w:tcPr>
          <w:p w14:paraId="5389D1B8" w14:textId="77777777" w:rsidR="00D27DDC" w:rsidRDefault="00D27DDC" w:rsidP="00D27DDC">
            <w:pPr>
              <w:pStyle w:val="Tablesmalltext"/>
              <w:jc w:val="center"/>
            </w:pPr>
            <w:r>
              <w:t>100%</w:t>
            </w:r>
          </w:p>
        </w:tc>
        <w:tc>
          <w:tcPr>
            <w:tcW w:w="522" w:type="pct"/>
          </w:tcPr>
          <w:p w14:paraId="693F740E" w14:textId="77777777" w:rsidR="00D27DDC" w:rsidRDefault="00D27DDC" w:rsidP="00D27DDC">
            <w:pPr>
              <w:pStyle w:val="Tablesmalltext"/>
              <w:jc w:val="center"/>
            </w:pPr>
            <w:r>
              <w:t>B</w:t>
            </w:r>
          </w:p>
        </w:tc>
      </w:tr>
      <w:tr w:rsidR="00D27DDC" w14:paraId="345430B5" w14:textId="77777777" w:rsidTr="00D27DDC">
        <w:tc>
          <w:tcPr>
            <w:tcW w:w="391" w:type="pct"/>
          </w:tcPr>
          <w:p w14:paraId="332AC3C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9.02</w:t>
            </w:r>
          </w:p>
        </w:tc>
        <w:tc>
          <w:tcPr>
            <w:tcW w:w="3488" w:type="pct"/>
            <w:vAlign w:val="center"/>
          </w:tcPr>
          <w:p w14:paraId="0AA5FB65" w14:textId="77777777" w:rsidR="00D27DDC" w:rsidRPr="00730D0F" w:rsidRDefault="00D27DDC" w:rsidP="00D27DDC">
            <w:pPr>
              <w:pStyle w:val="Tablesmalltext"/>
              <w:rPr>
                <w:color w:val="000000"/>
                <w:lang w:val="en-AU" w:eastAsia="en-AU"/>
              </w:rPr>
            </w:pPr>
            <w:r w:rsidRPr="00730D0F">
              <w:rPr>
                <w:color w:val="000000"/>
                <w:lang w:val="en-AU" w:eastAsia="en-AU"/>
              </w:rPr>
              <w:t>Have patches of long-lived understorey species been retained to represent existing vegetation types within the coupe?</w:t>
            </w:r>
          </w:p>
        </w:tc>
        <w:tc>
          <w:tcPr>
            <w:tcW w:w="599" w:type="pct"/>
          </w:tcPr>
          <w:p w14:paraId="1CAA1175" w14:textId="77777777" w:rsidR="00D27DDC" w:rsidRDefault="00D27DDC" w:rsidP="00D27DDC">
            <w:pPr>
              <w:pStyle w:val="Tablesmalltext"/>
              <w:jc w:val="center"/>
            </w:pPr>
            <w:r>
              <w:t>100%</w:t>
            </w:r>
          </w:p>
        </w:tc>
        <w:tc>
          <w:tcPr>
            <w:tcW w:w="522" w:type="pct"/>
          </w:tcPr>
          <w:p w14:paraId="436C7F15" w14:textId="77777777" w:rsidR="00D27DDC" w:rsidRDefault="00D27DDC" w:rsidP="00D27DDC">
            <w:pPr>
              <w:pStyle w:val="Tablesmalltext"/>
              <w:jc w:val="center"/>
            </w:pPr>
            <w:r>
              <w:t>B</w:t>
            </w:r>
          </w:p>
        </w:tc>
      </w:tr>
      <w:tr w:rsidR="00D27DDC" w14:paraId="124B2E79" w14:textId="77777777" w:rsidTr="00523E3C">
        <w:tc>
          <w:tcPr>
            <w:tcW w:w="391" w:type="pct"/>
            <w:shd w:val="clear" w:color="auto" w:fill="FFFFCC"/>
          </w:tcPr>
          <w:p w14:paraId="1CDD4EB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120CC51" w14:textId="77777777" w:rsidR="00D27DDC" w:rsidRDefault="00D27DDC" w:rsidP="00D27DDC">
            <w:pPr>
              <w:pStyle w:val="Tablesmalltext"/>
            </w:pPr>
            <w:r w:rsidRPr="00730D0F">
              <w:rPr>
                <w:color w:val="000000"/>
                <w:lang w:val="en-AU" w:eastAsia="en-AU"/>
              </w:rPr>
              <w:t>4.1.2.2 In East Gippsland FMA, avoid road construction in linear reserve SPZs. Where unavoidable, minimise road width and retain canopy closure over the road wherever possible.</w:t>
            </w:r>
          </w:p>
        </w:tc>
      </w:tr>
      <w:tr w:rsidR="00D27DDC" w14:paraId="79F5EE37" w14:textId="77777777" w:rsidTr="00D27DDC">
        <w:tc>
          <w:tcPr>
            <w:tcW w:w="391" w:type="pct"/>
          </w:tcPr>
          <w:p w14:paraId="694292E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10.01</w:t>
            </w:r>
          </w:p>
        </w:tc>
        <w:tc>
          <w:tcPr>
            <w:tcW w:w="3488" w:type="pct"/>
            <w:vAlign w:val="center"/>
          </w:tcPr>
          <w:p w14:paraId="3A0B6610" w14:textId="77777777" w:rsidR="00D27DDC" w:rsidRPr="00730D0F" w:rsidRDefault="00D27DDC" w:rsidP="00D27DDC">
            <w:pPr>
              <w:pStyle w:val="Tablesmalltext"/>
              <w:rPr>
                <w:color w:val="000000"/>
                <w:lang w:val="en-AU" w:eastAsia="en-AU"/>
              </w:rPr>
            </w:pPr>
            <w:r w:rsidRPr="00730D0F">
              <w:rPr>
                <w:color w:val="000000"/>
                <w:lang w:val="en-AU" w:eastAsia="en-AU"/>
              </w:rPr>
              <w:t>In EG FMA, if a new in-coupe road has been constructed through a linear reserve SPZ, was it reasonably practicable to have avoided doing so?</w:t>
            </w:r>
          </w:p>
        </w:tc>
        <w:tc>
          <w:tcPr>
            <w:tcW w:w="599" w:type="pct"/>
          </w:tcPr>
          <w:p w14:paraId="62575717" w14:textId="77777777" w:rsidR="00D27DDC" w:rsidRDefault="00D27DDC" w:rsidP="00D27DDC">
            <w:pPr>
              <w:pStyle w:val="Tablesmalltext"/>
              <w:jc w:val="center"/>
            </w:pPr>
            <w:r w:rsidRPr="00742106">
              <w:t>No applicable coupes</w:t>
            </w:r>
          </w:p>
        </w:tc>
        <w:tc>
          <w:tcPr>
            <w:tcW w:w="522" w:type="pct"/>
          </w:tcPr>
          <w:p w14:paraId="4BB5010B" w14:textId="77777777" w:rsidR="00D27DDC" w:rsidRDefault="00D27DDC" w:rsidP="00D27DDC">
            <w:pPr>
              <w:pStyle w:val="Tablesmalltext"/>
              <w:jc w:val="center"/>
            </w:pPr>
            <w:r>
              <w:t>B,C,P</w:t>
            </w:r>
          </w:p>
        </w:tc>
      </w:tr>
      <w:tr w:rsidR="00D27DDC" w14:paraId="66E59190" w14:textId="77777777" w:rsidTr="00D27DDC">
        <w:tc>
          <w:tcPr>
            <w:tcW w:w="391" w:type="pct"/>
          </w:tcPr>
          <w:p w14:paraId="6AC0B16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10.02</w:t>
            </w:r>
          </w:p>
        </w:tc>
        <w:tc>
          <w:tcPr>
            <w:tcW w:w="3488" w:type="pct"/>
            <w:vAlign w:val="center"/>
          </w:tcPr>
          <w:p w14:paraId="7D62E5AD" w14:textId="77777777" w:rsidR="00D27DDC" w:rsidRPr="00730D0F" w:rsidRDefault="00D27DDC" w:rsidP="00D27DDC">
            <w:pPr>
              <w:pStyle w:val="Tablesmalltext"/>
              <w:rPr>
                <w:color w:val="000000"/>
                <w:lang w:val="en-AU" w:eastAsia="en-AU"/>
              </w:rPr>
            </w:pPr>
            <w:r w:rsidRPr="00730D0F">
              <w:rPr>
                <w:color w:val="000000"/>
                <w:lang w:val="en-AU" w:eastAsia="en-AU"/>
              </w:rPr>
              <w:t>ITAO, for a new road passing through a linear reserve SPZ, has canopy closure been maintained over the road wherever reasonably practicable?</w:t>
            </w:r>
          </w:p>
        </w:tc>
        <w:tc>
          <w:tcPr>
            <w:tcW w:w="599" w:type="pct"/>
          </w:tcPr>
          <w:p w14:paraId="56122A90" w14:textId="77777777" w:rsidR="00D27DDC" w:rsidRDefault="00D27DDC" w:rsidP="00D27DDC">
            <w:pPr>
              <w:pStyle w:val="Tablesmalltext"/>
              <w:jc w:val="center"/>
            </w:pPr>
            <w:r w:rsidRPr="00742106">
              <w:t>No applicable coupes</w:t>
            </w:r>
          </w:p>
        </w:tc>
        <w:tc>
          <w:tcPr>
            <w:tcW w:w="522" w:type="pct"/>
          </w:tcPr>
          <w:p w14:paraId="11F7B4F3" w14:textId="77777777" w:rsidR="00D27DDC" w:rsidRDefault="00D27DDC" w:rsidP="00D27DDC">
            <w:pPr>
              <w:pStyle w:val="Tablesmalltext"/>
              <w:jc w:val="center"/>
            </w:pPr>
            <w:r>
              <w:t>B</w:t>
            </w:r>
          </w:p>
        </w:tc>
      </w:tr>
      <w:tr w:rsidR="00D27DDC" w14:paraId="5C00A727" w14:textId="77777777" w:rsidTr="00523E3C">
        <w:tc>
          <w:tcPr>
            <w:tcW w:w="391" w:type="pct"/>
            <w:shd w:val="clear" w:color="auto" w:fill="FFFFCC"/>
          </w:tcPr>
          <w:p w14:paraId="100E1F8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8DB3158" w14:textId="77777777" w:rsidR="00D27DDC" w:rsidRDefault="00D27DDC" w:rsidP="00D27DDC">
            <w:pPr>
              <w:pStyle w:val="Tablesmalltext"/>
            </w:pPr>
            <w:r w:rsidRPr="00730D0F">
              <w:rPr>
                <w:color w:val="000000"/>
                <w:lang w:val="en-AU" w:eastAsia="en-AU"/>
              </w:rPr>
              <w:t>MSP 4.1.2 Benalla/Mansfield and North East FMAs</w:t>
            </w:r>
          </w:p>
        </w:tc>
      </w:tr>
      <w:tr w:rsidR="00D27DDC" w14:paraId="5908E4AF" w14:textId="77777777" w:rsidTr="00523E3C">
        <w:tc>
          <w:tcPr>
            <w:tcW w:w="391" w:type="pct"/>
            <w:shd w:val="clear" w:color="auto" w:fill="FFFFCC"/>
          </w:tcPr>
          <w:p w14:paraId="2019672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995F5F1" w14:textId="77777777" w:rsidR="00D27DDC" w:rsidRDefault="00D27DDC" w:rsidP="00D27DDC">
            <w:pPr>
              <w:pStyle w:val="Tablesmalltext"/>
            </w:pPr>
            <w:r w:rsidRPr="00730D0F">
              <w:rPr>
                <w:color w:val="000000"/>
                <w:lang w:val="en-AU" w:eastAsia="en-AU"/>
              </w:rPr>
              <w:t>4.1.2.1</w:t>
            </w:r>
            <w:r>
              <w:rPr>
                <w:color w:val="000000"/>
                <w:lang w:val="en-AU" w:eastAsia="en-AU"/>
              </w:rPr>
              <w:t xml:space="preserve"> </w:t>
            </w:r>
            <w:r w:rsidRPr="00730D0F">
              <w:rPr>
                <w:color w:val="000000"/>
                <w:lang w:val="en-AU" w:eastAsia="en-AU"/>
              </w:rPr>
              <w:t>When</w:t>
            </w:r>
            <w:r>
              <w:rPr>
                <w:color w:val="000000"/>
                <w:lang w:val="en-AU" w:eastAsia="en-AU"/>
              </w:rPr>
              <w:t xml:space="preserve"> </w:t>
            </w:r>
            <w:r w:rsidRPr="00730D0F">
              <w:rPr>
                <w:color w:val="000000"/>
                <w:lang w:val="en-AU" w:eastAsia="en-AU"/>
              </w:rPr>
              <w:t>selecting</w:t>
            </w:r>
            <w:r>
              <w:rPr>
                <w:color w:val="000000"/>
                <w:lang w:val="en-AU" w:eastAsia="en-AU"/>
              </w:rPr>
              <w:t xml:space="preserve"> </w:t>
            </w:r>
            <w:r w:rsidRPr="00730D0F">
              <w:rPr>
                <w:color w:val="000000"/>
                <w:lang w:val="en-AU" w:eastAsia="en-AU"/>
              </w:rPr>
              <w:t>habitat</w:t>
            </w:r>
            <w:r>
              <w:rPr>
                <w:color w:val="000000"/>
                <w:lang w:val="en-AU" w:eastAsia="en-AU"/>
              </w:rPr>
              <w:t xml:space="preserve"> </w:t>
            </w:r>
            <w:r w:rsidRPr="00730D0F">
              <w:rPr>
                <w:color w:val="000000"/>
                <w:lang w:val="en-AU" w:eastAsia="en-AU"/>
              </w:rPr>
              <w:t>trees,</w:t>
            </w:r>
            <w:r>
              <w:rPr>
                <w:color w:val="000000"/>
                <w:lang w:val="en-AU" w:eastAsia="en-AU"/>
              </w:rPr>
              <w:t xml:space="preserve"> </w:t>
            </w:r>
            <w:r w:rsidRPr="00730D0F">
              <w:rPr>
                <w:color w:val="000000"/>
                <w:lang w:val="en-AU" w:eastAsia="en-AU"/>
              </w:rPr>
              <w:t>prioritise</w:t>
            </w:r>
            <w:r>
              <w:rPr>
                <w:color w:val="000000"/>
                <w:lang w:val="en-AU" w:eastAsia="en-AU"/>
              </w:rPr>
              <w:t xml:space="preserve"> </w:t>
            </w:r>
            <w:r w:rsidRPr="00730D0F">
              <w:rPr>
                <w:color w:val="000000"/>
                <w:lang w:val="en-AU" w:eastAsia="en-AU"/>
              </w:rPr>
              <w:t>live</w:t>
            </w:r>
            <w:r>
              <w:rPr>
                <w:color w:val="000000"/>
                <w:lang w:val="en-AU" w:eastAsia="en-AU"/>
              </w:rPr>
              <w:t xml:space="preserve"> </w:t>
            </w:r>
            <w:r w:rsidRPr="00730D0F">
              <w:rPr>
                <w:color w:val="000000"/>
                <w:lang w:val="en-AU" w:eastAsia="en-AU"/>
              </w:rPr>
              <w:t>hollow</w:t>
            </w:r>
            <w:r w:rsidRPr="00730D0F">
              <w:rPr>
                <w:rFonts w:ascii="Cambria Math" w:hAnsi="Cambria Math" w:cs="Cambria Math"/>
                <w:color w:val="000000"/>
                <w:lang w:val="en-AU" w:eastAsia="en-AU"/>
              </w:rPr>
              <w:t>‐</w:t>
            </w:r>
            <w:r w:rsidRPr="00730D0F">
              <w:rPr>
                <w:color w:val="000000"/>
                <w:lang w:val="en-AU" w:eastAsia="en-AU"/>
              </w:rPr>
              <w:t>bearing</w:t>
            </w:r>
            <w:r>
              <w:rPr>
                <w:color w:val="000000"/>
                <w:lang w:val="en-AU" w:eastAsia="en-AU"/>
              </w:rPr>
              <w:t xml:space="preserve"> </w:t>
            </w:r>
            <w:r w:rsidRPr="00730D0F">
              <w:rPr>
                <w:color w:val="000000"/>
                <w:lang w:val="en-AU" w:eastAsia="en-AU"/>
              </w:rPr>
              <w:t>trees</w:t>
            </w:r>
            <w:r>
              <w:rPr>
                <w:color w:val="000000"/>
                <w:lang w:val="en-AU" w:eastAsia="en-AU"/>
              </w:rPr>
              <w:t xml:space="preserve"> </w:t>
            </w:r>
            <w:r w:rsidRPr="00730D0F">
              <w:rPr>
                <w:color w:val="000000"/>
                <w:lang w:val="en-AU" w:eastAsia="en-AU"/>
              </w:rPr>
              <w:t>where</w:t>
            </w:r>
            <w:r>
              <w:rPr>
                <w:color w:val="000000"/>
                <w:lang w:val="en-AU" w:eastAsia="en-AU"/>
              </w:rPr>
              <w:t xml:space="preserve"> </w:t>
            </w:r>
            <w:r w:rsidRPr="00730D0F">
              <w:rPr>
                <w:color w:val="000000"/>
                <w:lang w:val="en-AU" w:eastAsia="en-AU"/>
              </w:rPr>
              <w:t>they</w:t>
            </w:r>
            <w:r>
              <w:rPr>
                <w:color w:val="000000"/>
                <w:lang w:val="en-AU" w:eastAsia="en-AU"/>
              </w:rPr>
              <w:t xml:space="preserve"> </w:t>
            </w:r>
            <w:r w:rsidRPr="00730D0F">
              <w:rPr>
                <w:color w:val="000000"/>
                <w:lang w:val="en-AU" w:eastAsia="en-AU"/>
              </w:rPr>
              <w:t>are</w:t>
            </w:r>
            <w:r>
              <w:rPr>
                <w:color w:val="000000"/>
                <w:lang w:val="en-AU" w:eastAsia="en-AU"/>
              </w:rPr>
              <w:t xml:space="preserve"> </w:t>
            </w:r>
            <w:r w:rsidRPr="00730D0F">
              <w:rPr>
                <w:color w:val="000000"/>
                <w:lang w:val="en-AU" w:eastAsia="en-AU"/>
              </w:rPr>
              <w:t>present</w:t>
            </w:r>
            <w:r>
              <w:rPr>
                <w:color w:val="000000"/>
                <w:lang w:val="en-AU" w:eastAsia="en-AU"/>
              </w:rPr>
              <w:t xml:space="preserve"> </w:t>
            </w:r>
            <w:r w:rsidRPr="00730D0F">
              <w:rPr>
                <w:color w:val="000000"/>
                <w:lang w:val="en-AU" w:eastAsia="en-AU"/>
              </w:rPr>
              <w:t>and</w:t>
            </w:r>
            <w:r>
              <w:rPr>
                <w:color w:val="000000"/>
                <w:lang w:val="en-AU" w:eastAsia="en-AU"/>
              </w:rPr>
              <w:t xml:space="preserve"> </w:t>
            </w:r>
            <w:r w:rsidRPr="00730D0F">
              <w:rPr>
                <w:color w:val="000000"/>
                <w:lang w:val="en-AU" w:eastAsia="en-AU"/>
              </w:rPr>
              <w:t>trees</w:t>
            </w:r>
            <w:r>
              <w:rPr>
                <w:color w:val="000000"/>
                <w:lang w:val="en-AU" w:eastAsia="en-AU"/>
              </w:rPr>
              <w:t xml:space="preserve"> </w:t>
            </w:r>
            <w:r w:rsidRPr="00730D0F">
              <w:rPr>
                <w:color w:val="000000"/>
                <w:lang w:val="en-AU" w:eastAsia="en-AU"/>
              </w:rPr>
              <w:t>of</w:t>
            </w:r>
            <w:r>
              <w:rPr>
                <w:color w:val="000000"/>
                <w:lang w:val="en-AU" w:eastAsia="en-AU"/>
              </w:rPr>
              <w:t xml:space="preserve"> </w:t>
            </w:r>
            <w:r w:rsidRPr="00730D0F">
              <w:rPr>
                <w:color w:val="000000"/>
                <w:lang w:val="en-AU" w:eastAsia="en-AU"/>
              </w:rPr>
              <w:t>younger</w:t>
            </w:r>
            <w:r>
              <w:rPr>
                <w:color w:val="000000"/>
                <w:lang w:val="en-AU" w:eastAsia="en-AU"/>
              </w:rPr>
              <w:t xml:space="preserve"> </w:t>
            </w:r>
            <w:r w:rsidRPr="00730D0F">
              <w:rPr>
                <w:color w:val="000000"/>
                <w:lang w:val="en-AU" w:eastAsia="en-AU"/>
              </w:rPr>
              <w:t>age</w:t>
            </w:r>
            <w:r>
              <w:rPr>
                <w:color w:val="000000"/>
                <w:lang w:val="en-AU" w:eastAsia="en-AU"/>
              </w:rPr>
              <w:t xml:space="preserve"> </w:t>
            </w:r>
            <w:r w:rsidRPr="00730D0F">
              <w:rPr>
                <w:color w:val="000000"/>
                <w:lang w:val="en-AU" w:eastAsia="en-AU"/>
              </w:rPr>
              <w:t>classes</w:t>
            </w:r>
            <w:r>
              <w:rPr>
                <w:color w:val="000000"/>
                <w:lang w:val="en-AU" w:eastAsia="en-AU"/>
              </w:rPr>
              <w:t xml:space="preserve"> </w:t>
            </w:r>
            <w:r w:rsidRPr="00730D0F">
              <w:rPr>
                <w:color w:val="000000"/>
                <w:lang w:val="en-AU" w:eastAsia="en-AU"/>
              </w:rPr>
              <w:t>that</w:t>
            </w:r>
            <w:r>
              <w:rPr>
                <w:color w:val="000000"/>
                <w:lang w:val="en-AU" w:eastAsia="en-AU"/>
              </w:rPr>
              <w:t xml:space="preserve"> </w:t>
            </w:r>
            <w:r w:rsidRPr="00730D0F">
              <w:rPr>
                <w:color w:val="000000"/>
                <w:lang w:val="en-AU" w:eastAsia="en-AU"/>
              </w:rPr>
              <w:t>are</w:t>
            </w:r>
            <w:r>
              <w:rPr>
                <w:color w:val="000000"/>
                <w:lang w:val="en-AU" w:eastAsia="en-AU"/>
              </w:rPr>
              <w:t xml:space="preserve"> </w:t>
            </w:r>
            <w:r w:rsidRPr="00730D0F">
              <w:rPr>
                <w:color w:val="000000"/>
                <w:lang w:val="en-AU" w:eastAsia="en-AU"/>
              </w:rPr>
              <w:t>likely</w:t>
            </w:r>
            <w:r>
              <w:rPr>
                <w:color w:val="000000"/>
                <w:lang w:val="en-AU" w:eastAsia="en-AU"/>
              </w:rPr>
              <w:t xml:space="preserve"> </w:t>
            </w:r>
            <w:r w:rsidRPr="00730D0F">
              <w:rPr>
                <w:color w:val="000000"/>
                <w:lang w:val="en-AU" w:eastAsia="en-AU"/>
              </w:rPr>
              <w:t>to</w:t>
            </w:r>
            <w:r>
              <w:rPr>
                <w:color w:val="000000"/>
                <w:lang w:val="en-AU" w:eastAsia="en-AU"/>
              </w:rPr>
              <w:t xml:space="preserve"> </w:t>
            </w:r>
            <w:r w:rsidRPr="00730D0F">
              <w:rPr>
                <w:color w:val="000000"/>
                <w:lang w:val="en-AU" w:eastAsia="en-AU"/>
              </w:rPr>
              <w:t>develop</w:t>
            </w:r>
            <w:r>
              <w:rPr>
                <w:color w:val="000000"/>
                <w:lang w:val="en-AU" w:eastAsia="en-AU"/>
              </w:rPr>
              <w:t xml:space="preserve"> </w:t>
            </w:r>
            <w:r w:rsidRPr="00730D0F">
              <w:rPr>
                <w:color w:val="000000"/>
                <w:lang w:val="en-AU" w:eastAsia="en-AU"/>
              </w:rPr>
              <w:t>hollows</w:t>
            </w:r>
            <w:r>
              <w:rPr>
                <w:color w:val="000000"/>
                <w:lang w:val="en-AU" w:eastAsia="en-AU"/>
              </w:rPr>
              <w:t xml:space="preserve"> </w:t>
            </w:r>
            <w:r w:rsidRPr="00730D0F">
              <w:rPr>
                <w:color w:val="000000"/>
                <w:lang w:val="en-AU" w:eastAsia="en-AU"/>
              </w:rPr>
              <w:t>are</w:t>
            </w:r>
            <w:r>
              <w:rPr>
                <w:color w:val="000000"/>
                <w:lang w:val="en-AU" w:eastAsia="en-AU"/>
              </w:rPr>
              <w:t xml:space="preserve"> </w:t>
            </w:r>
            <w:r w:rsidRPr="00730D0F">
              <w:rPr>
                <w:color w:val="000000"/>
                <w:lang w:val="en-AU" w:eastAsia="en-AU"/>
              </w:rPr>
              <w:t>present</w:t>
            </w:r>
            <w:r>
              <w:rPr>
                <w:color w:val="000000"/>
                <w:lang w:val="en-AU" w:eastAsia="en-AU"/>
              </w:rPr>
              <w:t xml:space="preserve"> </w:t>
            </w:r>
            <w:r w:rsidRPr="00730D0F">
              <w:rPr>
                <w:color w:val="000000"/>
                <w:lang w:val="en-AU" w:eastAsia="en-AU"/>
              </w:rPr>
              <w:t>and</w:t>
            </w:r>
            <w:r>
              <w:rPr>
                <w:color w:val="000000"/>
                <w:lang w:val="en-AU" w:eastAsia="en-AU"/>
              </w:rPr>
              <w:t xml:space="preserve"> </w:t>
            </w:r>
            <w:r w:rsidRPr="00730D0F">
              <w:rPr>
                <w:color w:val="000000"/>
                <w:lang w:val="en-AU" w:eastAsia="en-AU"/>
              </w:rPr>
              <w:t>trees</w:t>
            </w:r>
            <w:r>
              <w:rPr>
                <w:color w:val="000000"/>
                <w:lang w:val="en-AU" w:eastAsia="en-AU"/>
              </w:rPr>
              <w:t xml:space="preserve"> </w:t>
            </w:r>
            <w:r w:rsidRPr="00730D0F">
              <w:rPr>
                <w:color w:val="000000"/>
                <w:lang w:val="en-AU" w:eastAsia="en-AU"/>
              </w:rPr>
              <w:t>of</w:t>
            </w:r>
            <w:r>
              <w:rPr>
                <w:color w:val="000000"/>
                <w:lang w:val="en-AU" w:eastAsia="en-AU"/>
              </w:rPr>
              <w:t xml:space="preserve"> </w:t>
            </w:r>
            <w:r w:rsidRPr="00730D0F">
              <w:rPr>
                <w:color w:val="000000"/>
                <w:lang w:val="en-AU" w:eastAsia="en-AU"/>
              </w:rPr>
              <w:t>younger</w:t>
            </w:r>
            <w:r>
              <w:rPr>
                <w:color w:val="000000"/>
                <w:lang w:val="en-AU" w:eastAsia="en-AU"/>
              </w:rPr>
              <w:t xml:space="preserve"> </w:t>
            </w:r>
            <w:r w:rsidRPr="00730D0F">
              <w:rPr>
                <w:color w:val="000000"/>
                <w:lang w:val="en-AU" w:eastAsia="en-AU"/>
              </w:rPr>
              <w:t>age</w:t>
            </w:r>
            <w:r>
              <w:rPr>
                <w:color w:val="000000"/>
                <w:lang w:val="en-AU" w:eastAsia="en-AU"/>
              </w:rPr>
              <w:t xml:space="preserve"> </w:t>
            </w:r>
            <w:r w:rsidRPr="00730D0F">
              <w:rPr>
                <w:color w:val="000000"/>
                <w:lang w:val="en-AU" w:eastAsia="en-AU"/>
              </w:rPr>
              <w:t>classes</w:t>
            </w:r>
            <w:r>
              <w:rPr>
                <w:color w:val="000000"/>
                <w:lang w:val="en-AU" w:eastAsia="en-AU"/>
              </w:rPr>
              <w:t xml:space="preserve"> </w:t>
            </w:r>
            <w:r w:rsidRPr="00730D0F">
              <w:rPr>
                <w:color w:val="000000"/>
                <w:lang w:val="en-AU" w:eastAsia="en-AU"/>
              </w:rPr>
              <w:t>that</w:t>
            </w:r>
            <w:r>
              <w:rPr>
                <w:color w:val="000000"/>
                <w:lang w:val="en-AU" w:eastAsia="en-AU"/>
              </w:rPr>
              <w:t xml:space="preserve"> </w:t>
            </w:r>
            <w:r w:rsidRPr="00730D0F">
              <w:rPr>
                <w:color w:val="000000"/>
                <w:lang w:val="en-AU" w:eastAsia="en-AU"/>
              </w:rPr>
              <w:t>are</w:t>
            </w:r>
            <w:r>
              <w:rPr>
                <w:color w:val="000000"/>
                <w:lang w:val="en-AU" w:eastAsia="en-AU"/>
              </w:rPr>
              <w:t xml:space="preserve"> </w:t>
            </w:r>
            <w:r w:rsidRPr="00730D0F">
              <w:rPr>
                <w:color w:val="000000"/>
                <w:lang w:val="en-AU" w:eastAsia="en-AU"/>
              </w:rPr>
              <w:t>likely</w:t>
            </w:r>
            <w:r>
              <w:rPr>
                <w:color w:val="000000"/>
                <w:lang w:val="en-AU" w:eastAsia="en-AU"/>
              </w:rPr>
              <w:t xml:space="preserve"> </w:t>
            </w:r>
            <w:r w:rsidRPr="00730D0F">
              <w:rPr>
                <w:color w:val="000000"/>
                <w:lang w:val="en-AU" w:eastAsia="en-AU"/>
              </w:rPr>
              <w:t>to</w:t>
            </w:r>
            <w:r>
              <w:rPr>
                <w:color w:val="000000"/>
                <w:lang w:val="en-AU" w:eastAsia="en-AU"/>
              </w:rPr>
              <w:t xml:space="preserve"> </w:t>
            </w:r>
            <w:r w:rsidRPr="00730D0F">
              <w:rPr>
                <w:color w:val="000000"/>
                <w:lang w:val="en-AU" w:eastAsia="en-AU"/>
              </w:rPr>
              <w:t>develop</w:t>
            </w:r>
            <w:r>
              <w:rPr>
                <w:color w:val="000000"/>
                <w:lang w:val="en-AU" w:eastAsia="en-AU"/>
              </w:rPr>
              <w:t xml:space="preserve"> </w:t>
            </w:r>
            <w:r w:rsidRPr="00730D0F">
              <w:rPr>
                <w:color w:val="000000"/>
                <w:lang w:val="en-AU" w:eastAsia="en-AU"/>
              </w:rPr>
              <w:t>hollows</w:t>
            </w:r>
            <w:r>
              <w:rPr>
                <w:color w:val="000000"/>
                <w:lang w:val="en-AU" w:eastAsia="en-AU"/>
              </w:rPr>
              <w:t xml:space="preserve"> </w:t>
            </w:r>
            <w:r w:rsidRPr="00730D0F">
              <w:rPr>
                <w:color w:val="000000"/>
                <w:lang w:val="en-AU" w:eastAsia="en-AU"/>
              </w:rPr>
              <w:t>in</w:t>
            </w:r>
            <w:r>
              <w:rPr>
                <w:color w:val="000000"/>
                <w:lang w:val="en-AU" w:eastAsia="en-AU"/>
              </w:rPr>
              <w:t xml:space="preserve"> </w:t>
            </w:r>
            <w:r w:rsidRPr="00730D0F">
              <w:rPr>
                <w:color w:val="000000"/>
                <w:lang w:val="en-AU" w:eastAsia="en-AU"/>
              </w:rPr>
              <w:t>the</w:t>
            </w:r>
            <w:r>
              <w:rPr>
                <w:color w:val="000000"/>
                <w:lang w:val="en-AU" w:eastAsia="en-AU"/>
              </w:rPr>
              <w:t xml:space="preserve"> </w:t>
            </w:r>
            <w:r w:rsidRPr="00730D0F">
              <w:rPr>
                <w:color w:val="000000"/>
                <w:lang w:val="en-AU" w:eastAsia="en-AU"/>
              </w:rPr>
              <w:t>longer</w:t>
            </w:r>
            <w:r>
              <w:rPr>
                <w:color w:val="000000"/>
                <w:lang w:val="en-AU" w:eastAsia="en-AU"/>
              </w:rPr>
              <w:t xml:space="preserve"> </w:t>
            </w:r>
            <w:r w:rsidRPr="00730D0F">
              <w:rPr>
                <w:color w:val="000000"/>
                <w:lang w:val="en-AU" w:eastAsia="en-AU"/>
              </w:rPr>
              <w:t>term</w:t>
            </w:r>
          </w:p>
        </w:tc>
      </w:tr>
      <w:tr w:rsidR="00D27DDC" w14:paraId="1C6DD03A" w14:textId="77777777" w:rsidTr="00523E3C">
        <w:tc>
          <w:tcPr>
            <w:tcW w:w="391" w:type="pct"/>
            <w:shd w:val="clear" w:color="auto" w:fill="FFFFCC"/>
          </w:tcPr>
          <w:p w14:paraId="4539E80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9869E25" w14:textId="77777777" w:rsidR="00D27DDC" w:rsidRDefault="00D27DDC" w:rsidP="00D27DDC">
            <w:pPr>
              <w:pStyle w:val="Tablesmalltext"/>
            </w:pPr>
            <w:r w:rsidRPr="00730D0F">
              <w:rPr>
                <w:color w:val="000000"/>
                <w:lang w:val="en-AU" w:eastAsia="en-AU"/>
              </w:rPr>
              <w:t>4.1.2.2 Where possible retain dead trees for habitat trees</w:t>
            </w:r>
          </w:p>
        </w:tc>
      </w:tr>
      <w:tr w:rsidR="00D27DDC" w14:paraId="71272163" w14:textId="77777777" w:rsidTr="00523E3C">
        <w:tc>
          <w:tcPr>
            <w:tcW w:w="391" w:type="pct"/>
            <w:shd w:val="clear" w:color="auto" w:fill="FFFFCC"/>
          </w:tcPr>
          <w:p w14:paraId="3BDA124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7FC9D31" w14:textId="77777777" w:rsidR="00D27DDC" w:rsidRDefault="00D27DDC" w:rsidP="00D27DDC">
            <w:pPr>
              <w:pStyle w:val="Tablesmalltext"/>
            </w:pPr>
            <w:r w:rsidRPr="00730D0F">
              <w:rPr>
                <w:color w:val="000000"/>
                <w:lang w:val="en-AU" w:eastAsia="en-AU"/>
              </w:rPr>
              <w:t>4.1.2.3 Retain habitat trees adjacent to areas of high value habitat and areas most easily protected from damage during harvesting and regeneration operations.</w:t>
            </w:r>
          </w:p>
        </w:tc>
      </w:tr>
      <w:tr w:rsidR="00D27DDC" w14:paraId="5F7ACC57" w14:textId="77777777" w:rsidTr="00523E3C">
        <w:tc>
          <w:tcPr>
            <w:tcW w:w="391" w:type="pct"/>
            <w:shd w:val="clear" w:color="auto" w:fill="FFFFCC"/>
          </w:tcPr>
          <w:p w14:paraId="0538C2D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D97468F" w14:textId="77777777" w:rsidR="00D27DDC" w:rsidRDefault="00D27DDC" w:rsidP="00D27DDC">
            <w:pPr>
              <w:pStyle w:val="Tablesmalltext"/>
            </w:pPr>
            <w:r w:rsidRPr="00730D0F">
              <w:rPr>
                <w:color w:val="000000"/>
                <w:lang w:val="en-AU" w:eastAsia="en-AU"/>
              </w:rPr>
              <w:t>4.1.2.4 Habitat trees may be retained in groups/patches dispersed across the coupe.</w:t>
            </w:r>
          </w:p>
        </w:tc>
      </w:tr>
      <w:tr w:rsidR="00D27DDC" w14:paraId="3FD0E594" w14:textId="77777777" w:rsidTr="00523E3C">
        <w:tc>
          <w:tcPr>
            <w:tcW w:w="391" w:type="pct"/>
            <w:shd w:val="clear" w:color="auto" w:fill="FFFFCC"/>
          </w:tcPr>
          <w:p w14:paraId="04FE112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1E3EB91" w14:textId="77777777" w:rsidR="00D27DDC" w:rsidRDefault="00D27DDC" w:rsidP="00D27DDC">
            <w:pPr>
              <w:pStyle w:val="Tablesmalltext"/>
            </w:pPr>
            <w:r w:rsidRPr="00730D0F">
              <w:rPr>
                <w:color w:val="000000"/>
                <w:lang w:val="en-AU" w:eastAsia="en-AU"/>
              </w:rPr>
              <w:t>4.1.2.5 Seed trees may be counted as habitat trees.</w:t>
            </w:r>
          </w:p>
        </w:tc>
      </w:tr>
      <w:tr w:rsidR="00D27DDC" w14:paraId="520DB99C" w14:textId="77777777" w:rsidTr="00D27DDC">
        <w:tc>
          <w:tcPr>
            <w:tcW w:w="391" w:type="pct"/>
          </w:tcPr>
          <w:p w14:paraId="4C0438A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11.01</w:t>
            </w:r>
          </w:p>
        </w:tc>
        <w:tc>
          <w:tcPr>
            <w:tcW w:w="3488" w:type="pct"/>
            <w:vAlign w:val="center"/>
          </w:tcPr>
          <w:p w14:paraId="58FF43DA" w14:textId="77777777" w:rsidR="00D27DDC" w:rsidRPr="00730D0F" w:rsidRDefault="00D27DDC" w:rsidP="00D27DDC">
            <w:pPr>
              <w:pStyle w:val="Tablesmalltext"/>
              <w:rPr>
                <w:color w:val="000000"/>
                <w:lang w:val="en-AU" w:eastAsia="en-AU"/>
              </w:rPr>
            </w:pPr>
            <w:r w:rsidRPr="00730D0F">
              <w:rPr>
                <w:color w:val="000000"/>
                <w:lang w:val="en-AU" w:eastAsia="en-AU"/>
              </w:rPr>
              <w:t>In B-M and NE FMAs, based on evidence from the coupe and ITAO, have hollow-bearing or potential hollow-bearing trees, where present, been prioritised for habitat retention?</w:t>
            </w:r>
          </w:p>
        </w:tc>
        <w:tc>
          <w:tcPr>
            <w:tcW w:w="599" w:type="pct"/>
          </w:tcPr>
          <w:p w14:paraId="53DAD776" w14:textId="77777777" w:rsidR="00D27DDC" w:rsidRDefault="00D27DDC" w:rsidP="00D27DDC">
            <w:pPr>
              <w:pStyle w:val="Tablesmalltext"/>
              <w:jc w:val="center"/>
            </w:pPr>
            <w:r>
              <w:t>100%</w:t>
            </w:r>
          </w:p>
        </w:tc>
        <w:tc>
          <w:tcPr>
            <w:tcW w:w="522" w:type="pct"/>
          </w:tcPr>
          <w:p w14:paraId="0D88BED5" w14:textId="77777777" w:rsidR="00D27DDC" w:rsidRDefault="00D27DDC" w:rsidP="00D27DDC">
            <w:pPr>
              <w:pStyle w:val="Tablesmalltext"/>
              <w:jc w:val="center"/>
            </w:pPr>
            <w:r>
              <w:t>B</w:t>
            </w:r>
          </w:p>
        </w:tc>
      </w:tr>
      <w:tr w:rsidR="00D27DDC" w14:paraId="341E807D" w14:textId="77777777" w:rsidTr="00D27DDC">
        <w:tc>
          <w:tcPr>
            <w:tcW w:w="391" w:type="pct"/>
          </w:tcPr>
          <w:p w14:paraId="7396736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11.02</w:t>
            </w:r>
          </w:p>
        </w:tc>
        <w:tc>
          <w:tcPr>
            <w:tcW w:w="3488" w:type="pct"/>
            <w:vAlign w:val="center"/>
          </w:tcPr>
          <w:p w14:paraId="6DD63F89" w14:textId="77777777" w:rsidR="00D27DDC" w:rsidRPr="00730D0F" w:rsidRDefault="00D27DDC" w:rsidP="00D27DDC">
            <w:pPr>
              <w:pStyle w:val="Tablesmalltext"/>
              <w:rPr>
                <w:color w:val="000000"/>
                <w:lang w:val="en-AU" w:eastAsia="en-AU"/>
              </w:rPr>
            </w:pPr>
            <w:r w:rsidRPr="00730D0F">
              <w:rPr>
                <w:color w:val="000000"/>
                <w:lang w:val="en-AU" w:eastAsia="en-AU"/>
              </w:rPr>
              <w:t>Based on evidence from the coupe and ITAO, have dead trees been retained for habitat where reasonably practicable to do so?</w:t>
            </w:r>
          </w:p>
        </w:tc>
        <w:tc>
          <w:tcPr>
            <w:tcW w:w="599" w:type="pct"/>
          </w:tcPr>
          <w:p w14:paraId="4F505431" w14:textId="77777777" w:rsidR="00D27DDC" w:rsidRDefault="00D27DDC" w:rsidP="00D27DDC">
            <w:pPr>
              <w:pStyle w:val="Tablesmalltext"/>
              <w:jc w:val="center"/>
            </w:pPr>
            <w:r>
              <w:t>100%</w:t>
            </w:r>
          </w:p>
        </w:tc>
        <w:tc>
          <w:tcPr>
            <w:tcW w:w="522" w:type="pct"/>
          </w:tcPr>
          <w:p w14:paraId="57BACB85" w14:textId="77777777" w:rsidR="00D27DDC" w:rsidRDefault="00D27DDC" w:rsidP="00D27DDC">
            <w:pPr>
              <w:pStyle w:val="Tablesmalltext"/>
              <w:jc w:val="center"/>
            </w:pPr>
            <w:r>
              <w:t>B</w:t>
            </w:r>
          </w:p>
        </w:tc>
      </w:tr>
      <w:tr w:rsidR="00D27DDC" w14:paraId="6283325C" w14:textId="77777777" w:rsidTr="00D27DDC">
        <w:tc>
          <w:tcPr>
            <w:tcW w:w="391" w:type="pct"/>
          </w:tcPr>
          <w:p w14:paraId="113406B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11.03</w:t>
            </w:r>
          </w:p>
        </w:tc>
        <w:tc>
          <w:tcPr>
            <w:tcW w:w="3488" w:type="pct"/>
            <w:vAlign w:val="center"/>
          </w:tcPr>
          <w:p w14:paraId="13F26304" w14:textId="77777777" w:rsidR="00D27DDC" w:rsidRPr="00730D0F" w:rsidRDefault="00D27DDC" w:rsidP="00D27DDC">
            <w:pPr>
              <w:pStyle w:val="Tablesmalltext"/>
              <w:rPr>
                <w:color w:val="000000"/>
                <w:lang w:val="en-AU" w:eastAsia="en-AU"/>
              </w:rPr>
            </w:pPr>
            <w:r w:rsidRPr="00730D0F">
              <w:rPr>
                <w:color w:val="000000"/>
                <w:lang w:val="en-AU" w:eastAsia="en-AU"/>
              </w:rPr>
              <w:t>ITAO, have habitat trees been retained adjacent to any areas of high value habitat and/or areas most easily protected from damage during harvesting and regeneration?</w:t>
            </w:r>
          </w:p>
        </w:tc>
        <w:tc>
          <w:tcPr>
            <w:tcW w:w="599" w:type="pct"/>
          </w:tcPr>
          <w:p w14:paraId="54CD3D56" w14:textId="77777777" w:rsidR="00D27DDC" w:rsidRDefault="00D27DDC" w:rsidP="00D27DDC">
            <w:pPr>
              <w:pStyle w:val="Tablesmalltext"/>
              <w:jc w:val="center"/>
            </w:pPr>
            <w:r>
              <w:t>100%</w:t>
            </w:r>
          </w:p>
        </w:tc>
        <w:tc>
          <w:tcPr>
            <w:tcW w:w="522" w:type="pct"/>
          </w:tcPr>
          <w:p w14:paraId="60B6DE83" w14:textId="77777777" w:rsidR="00D27DDC" w:rsidRDefault="00D27DDC" w:rsidP="00D27DDC">
            <w:pPr>
              <w:pStyle w:val="Tablesmalltext"/>
              <w:jc w:val="center"/>
            </w:pPr>
            <w:r>
              <w:t>B</w:t>
            </w:r>
          </w:p>
        </w:tc>
      </w:tr>
      <w:tr w:rsidR="00D27DDC" w14:paraId="53E3A093" w14:textId="77777777" w:rsidTr="00523E3C">
        <w:tc>
          <w:tcPr>
            <w:tcW w:w="391" w:type="pct"/>
            <w:shd w:val="clear" w:color="auto" w:fill="FFFFCC"/>
          </w:tcPr>
          <w:p w14:paraId="5E2FED6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FB37D87" w14:textId="77777777" w:rsidR="00D27DDC" w:rsidRDefault="00D27DDC" w:rsidP="00D27DDC">
            <w:pPr>
              <w:pStyle w:val="Tablesmalltext"/>
            </w:pPr>
            <w:r w:rsidRPr="00730D0F">
              <w:rPr>
                <w:color w:val="000000"/>
                <w:lang w:val="en-AU" w:eastAsia="en-AU"/>
              </w:rPr>
              <w:t>MSP4.1.4 Central Highlands</w:t>
            </w:r>
          </w:p>
        </w:tc>
      </w:tr>
      <w:tr w:rsidR="00D27DDC" w14:paraId="60CF22AD" w14:textId="77777777" w:rsidTr="00523E3C">
        <w:tc>
          <w:tcPr>
            <w:tcW w:w="391" w:type="pct"/>
            <w:shd w:val="clear" w:color="auto" w:fill="FFFFCC"/>
          </w:tcPr>
          <w:p w14:paraId="5E93FD0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E5F806F" w14:textId="77777777" w:rsidR="00D27DDC" w:rsidRDefault="00D27DDC" w:rsidP="00D27DDC">
            <w:pPr>
              <w:pStyle w:val="Tablesmalltext"/>
            </w:pPr>
            <w:r w:rsidRPr="00730D0F">
              <w:rPr>
                <w:color w:val="000000"/>
                <w:lang w:val="en-AU" w:eastAsia="en-AU"/>
              </w:rPr>
              <w:t>4.1.4.1 In Central Highlands FMAs, when selecting habitat trees, prioritise hollow</w:t>
            </w:r>
            <w:r w:rsidRPr="00730D0F">
              <w:rPr>
                <w:rFonts w:ascii="Cambria Math" w:hAnsi="Cambria Math" w:cs="Cambria Math"/>
                <w:color w:val="000000"/>
                <w:lang w:val="en-AU" w:eastAsia="en-AU"/>
              </w:rPr>
              <w:t>‐</w:t>
            </w:r>
            <w:r w:rsidRPr="00730D0F">
              <w:rPr>
                <w:color w:val="000000"/>
                <w:lang w:val="en-AU" w:eastAsia="en-AU"/>
              </w:rPr>
              <w:t xml:space="preserve">bearing trees where they are present and trees most likely to develop hollows in the short term. </w:t>
            </w:r>
          </w:p>
        </w:tc>
      </w:tr>
      <w:tr w:rsidR="00D27DDC" w14:paraId="4B566A88" w14:textId="77777777" w:rsidTr="00523E3C">
        <w:tc>
          <w:tcPr>
            <w:tcW w:w="391" w:type="pct"/>
            <w:shd w:val="clear" w:color="auto" w:fill="FFFFCC"/>
          </w:tcPr>
          <w:p w14:paraId="0572268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73D0787" w14:textId="77777777" w:rsidR="00D27DDC" w:rsidRDefault="00D27DDC" w:rsidP="00D27DDC">
            <w:pPr>
              <w:pStyle w:val="Tablesmalltext"/>
            </w:pPr>
            <w:r w:rsidRPr="00730D0F">
              <w:rPr>
                <w:color w:val="000000"/>
                <w:lang w:val="en-AU" w:eastAsia="en-AU"/>
              </w:rPr>
              <w:t>4.1.4.2 Scatter habitat trees across the timber harvesting coupe in mixed</w:t>
            </w:r>
            <w:r w:rsidRPr="00730D0F">
              <w:rPr>
                <w:rFonts w:ascii="Cambria Math" w:hAnsi="Cambria Math" w:cs="Cambria Math"/>
                <w:color w:val="000000"/>
                <w:lang w:val="en-AU" w:eastAsia="en-AU"/>
              </w:rPr>
              <w:t>‐</w:t>
            </w:r>
            <w:r w:rsidRPr="00730D0F">
              <w:rPr>
                <w:color w:val="000000"/>
                <w:lang w:val="en-AU" w:eastAsia="en-AU"/>
              </w:rPr>
              <w:t>species forest.</w:t>
            </w:r>
          </w:p>
        </w:tc>
      </w:tr>
      <w:tr w:rsidR="00D27DDC" w14:paraId="2ECDDAA5" w14:textId="77777777" w:rsidTr="00523E3C">
        <w:tc>
          <w:tcPr>
            <w:tcW w:w="391" w:type="pct"/>
            <w:shd w:val="clear" w:color="auto" w:fill="FFFFCC"/>
          </w:tcPr>
          <w:p w14:paraId="4D41CED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0A96D2A" w14:textId="77777777" w:rsidR="00D27DDC" w:rsidRDefault="00D27DDC" w:rsidP="00D27DDC">
            <w:pPr>
              <w:pStyle w:val="Tablesmalltext"/>
            </w:pPr>
            <w:r w:rsidRPr="00730D0F">
              <w:rPr>
                <w:color w:val="000000"/>
                <w:lang w:val="en-AU" w:eastAsia="en-AU"/>
              </w:rPr>
              <w:t>4.1.4.3 Where possible, retain potential hollow</w:t>
            </w:r>
            <w:r w:rsidRPr="00730D0F">
              <w:rPr>
                <w:rFonts w:ascii="Cambria Math" w:hAnsi="Cambria Math" w:cs="Cambria Math"/>
                <w:color w:val="000000"/>
                <w:lang w:val="en-AU" w:eastAsia="en-AU"/>
              </w:rPr>
              <w:t>‐</w:t>
            </w:r>
            <w:r w:rsidRPr="00730D0F">
              <w:rPr>
                <w:color w:val="000000"/>
                <w:lang w:val="en-AU" w:eastAsia="en-AU"/>
              </w:rPr>
              <w:t>bearing ash eucalypts in clumps to increase their protection from exposure, windthrow and fire.</w:t>
            </w:r>
          </w:p>
        </w:tc>
      </w:tr>
      <w:tr w:rsidR="00D27DDC" w14:paraId="3FE3D758" w14:textId="77777777" w:rsidTr="00523E3C">
        <w:tc>
          <w:tcPr>
            <w:tcW w:w="391" w:type="pct"/>
            <w:shd w:val="clear" w:color="auto" w:fill="FFFFCC"/>
          </w:tcPr>
          <w:p w14:paraId="2A49C57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B29DBD8" w14:textId="77777777" w:rsidR="00D27DDC" w:rsidRDefault="00D27DDC" w:rsidP="00D27DDC">
            <w:pPr>
              <w:pStyle w:val="Tablesmalltext"/>
            </w:pPr>
            <w:r w:rsidRPr="00730D0F">
              <w:rPr>
                <w:color w:val="000000"/>
                <w:lang w:val="en-AU" w:eastAsia="en-AU"/>
              </w:rPr>
              <w:t>4.1.4.4 No gap between retained vegetation is to be greater than 150 m.</w:t>
            </w:r>
          </w:p>
        </w:tc>
      </w:tr>
      <w:tr w:rsidR="00D27DDC" w14:paraId="33844D6D" w14:textId="77777777" w:rsidTr="00523E3C">
        <w:tc>
          <w:tcPr>
            <w:tcW w:w="391" w:type="pct"/>
            <w:shd w:val="clear" w:color="auto" w:fill="FFFFCC"/>
          </w:tcPr>
          <w:p w14:paraId="22C917C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M</w:t>
            </w:r>
          </w:p>
        </w:tc>
        <w:tc>
          <w:tcPr>
            <w:tcW w:w="4609" w:type="pct"/>
            <w:gridSpan w:val="3"/>
            <w:shd w:val="clear" w:color="auto" w:fill="FFFFCC"/>
          </w:tcPr>
          <w:p w14:paraId="17A1C160" w14:textId="77777777" w:rsidR="00D27DDC" w:rsidRDefault="00D27DDC" w:rsidP="00D27DDC">
            <w:pPr>
              <w:pStyle w:val="Tablesmalltext"/>
            </w:pPr>
            <w:r w:rsidRPr="00730D0F">
              <w:rPr>
                <w:color w:val="000000"/>
                <w:lang w:val="en-AU" w:eastAsia="en-AU"/>
              </w:rPr>
              <w:t>4.1.4.5 Retain habitat trees where they can be most easily protected from damage during harvesting and site preparation treatment.</w:t>
            </w:r>
          </w:p>
        </w:tc>
      </w:tr>
      <w:tr w:rsidR="00D27DDC" w14:paraId="3EEAF4A8" w14:textId="77777777" w:rsidTr="00D27DDC">
        <w:tc>
          <w:tcPr>
            <w:tcW w:w="391" w:type="pct"/>
          </w:tcPr>
          <w:p w14:paraId="759B285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12.01</w:t>
            </w:r>
          </w:p>
        </w:tc>
        <w:tc>
          <w:tcPr>
            <w:tcW w:w="3488" w:type="pct"/>
            <w:vAlign w:val="center"/>
          </w:tcPr>
          <w:p w14:paraId="5C68427D" w14:textId="77777777" w:rsidR="00D27DDC" w:rsidRPr="00730D0F" w:rsidRDefault="00D27DDC" w:rsidP="00D27DDC">
            <w:pPr>
              <w:pStyle w:val="Tablesmalltext"/>
              <w:rPr>
                <w:color w:val="000000"/>
                <w:lang w:val="en-AU" w:eastAsia="en-AU"/>
              </w:rPr>
            </w:pPr>
            <w:r w:rsidRPr="00730D0F">
              <w:rPr>
                <w:color w:val="000000"/>
                <w:lang w:val="en-AU" w:eastAsia="en-AU"/>
              </w:rPr>
              <w:t>Based on evidence from the coupe and ITAO, have hollow-bearing or potential hollow-bearing trees, where present, been prioritised for habitat retention</w:t>
            </w:r>
          </w:p>
        </w:tc>
        <w:tc>
          <w:tcPr>
            <w:tcW w:w="599" w:type="pct"/>
          </w:tcPr>
          <w:p w14:paraId="26CB92FF" w14:textId="77777777" w:rsidR="00D27DDC" w:rsidRDefault="00D27DDC" w:rsidP="00D27DDC">
            <w:pPr>
              <w:pStyle w:val="Tablesmalltext"/>
              <w:jc w:val="center"/>
            </w:pPr>
            <w:r>
              <w:t>90%</w:t>
            </w:r>
          </w:p>
        </w:tc>
        <w:tc>
          <w:tcPr>
            <w:tcW w:w="522" w:type="pct"/>
          </w:tcPr>
          <w:p w14:paraId="6AD31574" w14:textId="77777777" w:rsidR="00D27DDC" w:rsidRDefault="00D27DDC" w:rsidP="00D27DDC">
            <w:pPr>
              <w:pStyle w:val="Tablesmalltext"/>
              <w:jc w:val="center"/>
            </w:pPr>
            <w:r>
              <w:t>B</w:t>
            </w:r>
          </w:p>
        </w:tc>
      </w:tr>
      <w:tr w:rsidR="00D27DDC" w14:paraId="69884B2E" w14:textId="77777777" w:rsidTr="00D27DDC">
        <w:tc>
          <w:tcPr>
            <w:tcW w:w="391" w:type="pct"/>
          </w:tcPr>
          <w:p w14:paraId="56B8B21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12.02</w:t>
            </w:r>
          </w:p>
        </w:tc>
        <w:tc>
          <w:tcPr>
            <w:tcW w:w="3488" w:type="pct"/>
            <w:vAlign w:val="center"/>
          </w:tcPr>
          <w:p w14:paraId="0693F246" w14:textId="77777777" w:rsidR="00D27DDC" w:rsidRPr="00730D0F" w:rsidRDefault="00D27DDC" w:rsidP="00D27DDC">
            <w:pPr>
              <w:pStyle w:val="Tablesmalltext"/>
              <w:rPr>
                <w:color w:val="000000"/>
                <w:lang w:val="en-AU" w:eastAsia="en-AU"/>
              </w:rPr>
            </w:pPr>
            <w:r w:rsidRPr="00730D0F">
              <w:rPr>
                <w:color w:val="000000"/>
                <w:lang w:val="en-AU" w:eastAsia="en-AU"/>
              </w:rPr>
              <w:t>In mixed species forests, if there are retained habitat trees, have they been scattered evenly across the coupe?</w:t>
            </w:r>
          </w:p>
        </w:tc>
        <w:tc>
          <w:tcPr>
            <w:tcW w:w="599" w:type="pct"/>
          </w:tcPr>
          <w:p w14:paraId="74C20E77" w14:textId="77777777" w:rsidR="00D27DDC" w:rsidRDefault="00D27DDC" w:rsidP="00D27DDC">
            <w:pPr>
              <w:pStyle w:val="Tablesmalltext"/>
              <w:jc w:val="center"/>
            </w:pPr>
            <w:r>
              <w:t>100%</w:t>
            </w:r>
          </w:p>
        </w:tc>
        <w:tc>
          <w:tcPr>
            <w:tcW w:w="522" w:type="pct"/>
          </w:tcPr>
          <w:p w14:paraId="53B1DD6C" w14:textId="77777777" w:rsidR="00D27DDC" w:rsidRDefault="00D27DDC" w:rsidP="00D27DDC">
            <w:pPr>
              <w:pStyle w:val="Tablesmalltext"/>
              <w:jc w:val="center"/>
            </w:pPr>
            <w:r>
              <w:t>B</w:t>
            </w:r>
          </w:p>
        </w:tc>
      </w:tr>
      <w:tr w:rsidR="00D27DDC" w14:paraId="43FFD934" w14:textId="77777777" w:rsidTr="00D27DDC">
        <w:tc>
          <w:tcPr>
            <w:tcW w:w="391" w:type="pct"/>
          </w:tcPr>
          <w:p w14:paraId="2CB9007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12.03</w:t>
            </w:r>
          </w:p>
        </w:tc>
        <w:tc>
          <w:tcPr>
            <w:tcW w:w="3488" w:type="pct"/>
            <w:vAlign w:val="center"/>
          </w:tcPr>
          <w:p w14:paraId="5053F6DA" w14:textId="77777777" w:rsidR="00D27DDC" w:rsidRPr="00730D0F" w:rsidRDefault="00D27DDC" w:rsidP="00D27DDC">
            <w:pPr>
              <w:pStyle w:val="Tablesmalltext"/>
              <w:rPr>
                <w:color w:val="000000"/>
                <w:lang w:val="en-AU" w:eastAsia="en-AU"/>
              </w:rPr>
            </w:pPr>
            <w:r w:rsidRPr="00730D0F">
              <w:rPr>
                <w:color w:val="000000"/>
                <w:lang w:val="en-AU" w:eastAsia="en-AU"/>
              </w:rPr>
              <w:t>If present, have hollow bearing ash eucalypts been retained in clumps.</w:t>
            </w:r>
          </w:p>
        </w:tc>
        <w:tc>
          <w:tcPr>
            <w:tcW w:w="599" w:type="pct"/>
          </w:tcPr>
          <w:p w14:paraId="4031DB51" w14:textId="77777777" w:rsidR="00D27DDC" w:rsidRDefault="00D27DDC" w:rsidP="00D27DDC">
            <w:pPr>
              <w:pStyle w:val="Tablesmalltext"/>
              <w:jc w:val="center"/>
            </w:pPr>
            <w:r w:rsidRPr="005D7AFF">
              <w:t>100%</w:t>
            </w:r>
          </w:p>
        </w:tc>
        <w:tc>
          <w:tcPr>
            <w:tcW w:w="522" w:type="pct"/>
          </w:tcPr>
          <w:p w14:paraId="53B78F43" w14:textId="77777777" w:rsidR="00D27DDC" w:rsidRDefault="00D27DDC" w:rsidP="00D27DDC">
            <w:pPr>
              <w:pStyle w:val="Tablesmalltext"/>
              <w:jc w:val="center"/>
            </w:pPr>
            <w:r>
              <w:t>B</w:t>
            </w:r>
          </w:p>
        </w:tc>
      </w:tr>
      <w:tr w:rsidR="00D27DDC" w14:paraId="45490111" w14:textId="77777777" w:rsidTr="00D27DDC">
        <w:tc>
          <w:tcPr>
            <w:tcW w:w="391" w:type="pct"/>
          </w:tcPr>
          <w:p w14:paraId="493C6DE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12.04</w:t>
            </w:r>
          </w:p>
        </w:tc>
        <w:tc>
          <w:tcPr>
            <w:tcW w:w="3488" w:type="pct"/>
            <w:vAlign w:val="center"/>
          </w:tcPr>
          <w:p w14:paraId="2E50A10A" w14:textId="77777777" w:rsidR="00D27DDC" w:rsidRPr="00730D0F" w:rsidRDefault="00D27DDC" w:rsidP="00D27DDC">
            <w:pPr>
              <w:pStyle w:val="Tablesmalltext"/>
              <w:rPr>
                <w:color w:val="000000"/>
                <w:lang w:val="en-AU" w:eastAsia="en-AU"/>
              </w:rPr>
            </w:pPr>
            <w:r w:rsidRPr="00730D0F">
              <w:rPr>
                <w:color w:val="000000"/>
                <w:lang w:val="en-AU" w:eastAsia="en-AU"/>
              </w:rPr>
              <w:t>Are gaps between retained vegetation ≤ 150 m?</w:t>
            </w:r>
          </w:p>
        </w:tc>
        <w:tc>
          <w:tcPr>
            <w:tcW w:w="599" w:type="pct"/>
          </w:tcPr>
          <w:p w14:paraId="663ED4F9" w14:textId="77777777" w:rsidR="00D27DDC" w:rsidRDefault="00D27DDC" w:rsidP="00D27DDC">
            <w:pPr>
              <w:pStyle w:val="Tablesmalltext"/>
              <w:jc w:val="center"/>
            </w:pPr>
            <w:r w:rsidRPr="005D7AFF">
              <w:t>100%</w:t>
            </w:r>
          </w:p>
        </w:tc>
        <w:tc>
          <w:tcPr>
            <w:tcW w:w="522" w:type="pct"/>
          </w:tcPr>
          <w:p w14:paraId="137D3438" w14:textId="77777777" w:rsidR="00D27DDC" w:rsidRDefault="00D27DDC" w:rsidP="00D27DDC">
            <w:pPr>
              <w:pStyle w:val="Tablesmalltext"/>
              <w:jc w:val="center"/>
            </w:pPr>
            <w:r>
              <w:t>B</w:t>
            </w:r>
          </w:p>
        </w:tc>
      </w:tr>
      <w:tr w:rsidR="00D27DDC" w14:paraId="618D99DF" w14:textId="77777777" w:rsidTr="00D27DDC">
        <w:tc>
          <w:tcPr>
            <w:tcW w:w="391" w:type="pct"/>
          </w:tcPr>
          <w:p w14:paraId="1CBAAFE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12.05</w:t>
            </w:r>
          </w:p>
        </w:tc>
        <w:tc>
          <w:tcPr>
            <w:tcW w:w="3488" w:type="pct"/>
            <w:vAlign w:val="center"/>
          </w:tcPr>
          <w:p w14:paraId="40FB431A" w14:textId="77777777" w:rsidR="00D27DDC" w:rsidRPr="00730D0F" w:rsidRDefault="00D27DDC" w:rsidP="00D27DDC">
            <w:pPr>
              <w:pStyle w:val="Tablesmalltext"/>
              <w:rPr>
                <w:color w:val="000000"/>
                <w:lang w:val="en-AU" w:eastAsia="en-AU"/>
              </w:rPr>
            </w:pPr>
            <w:r w:rsidRPr="00730D0F">
              <w:rPr>
                <w:color w:val="000000"/>
                <w:lang w:val="en-AU" w:eastAsia="en-AU"/>
              </w:rPr>
              <w:t>ITAO, are any retained habitat trees located where they can most easily be protected from damage during harvesting and site preparation treatment?</w:t>
            </w:r>
          </w:p>
        </w:tc>
        <w:tc>
          <w:tcPr>
            <w:tcW w:w="599" w:type="pct"/>
          </w:tcPr>
          <w:p w14:paraId="024A24E6" w14:textId="77777777" w:rsidR="00D27DDC" w:rsidRDefault="00D27DDC" w:rsidP="00D27DDC">
            <w:pPr>
              <w:pStyle w:val="Tablesmalltext"/>
              <w:jc w:val="center"/>
            </w:pPr>
            <w:r w:rsidRPr="005D7AFF">
              <w:t>100%</w:t>
            </w:r>
          </w:p>
        </w:tc>
        <w:tc>
          <w:tcPr>
            <w:tcW w:w="522" w:type="pct"/>
          </w:tcPr>
          <w:p w14:paraId="717646F8" w14:textId="77777777" w:rsidR="00D27DDC" w:rsidRDefault="00D27DDC" w:rsidP="00D27DDC">
            <w:pPr>
              <w:pStyle w:val="Tablesmalltext"/>
              <w:jc w:val="center"/>
            </w:pPr>
            <w:r>
              <w:t>B</w:t>
            </w:r>
          </w:p>
        </w:tc>
      </w:tr>
      <w:tr w:rsidR="00D27DDC" w14:paraId="62D85E0C" w14:textId="77777777" w:rsidTr="00D27DDC">
        <w:tc>
          <w:tcPr>
            <w:tcW w:w="391" w:type="pct"/>
          </w:tcPr>
          <w:p w14:paraId="1054E1A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12.06</w:t>
            </w:r>
          </w:p>
        </w:tc>
        <w:tc>
          <w:tcPr>
            <w:tcW w:w="3488" w:type="pct"/>
            <w:vAlign w:val="center"/>
          </w:tcPr>
          <w:p w14:paraId="2361446B" w14:textId="77777777" w:rsidR="00D27DDC" w:rsidRPr="00730D0F" w:rsidRDefault="00D27DDC" w:rsidP="00D27DDC">
            <w:pPr>
              <w:pStyle w:val="Tablesmalltext"/>
              <w:rPr>
                <w:color w:val="000000"/>
                <w:lang w:val="en-AU" w:eastAsia="en-AU"/>
              </w:rPr>
            </w:pPr>
            <w:r w:rsidRPr="00730D0F">
              <w:rPr>
                <w:color w:val="000000"/>
                <w:lang w:val="en-AU" w:eastAsia="en-AU"/>
              </w:rPr>
              <w:t>Is there evidence of damage to retained vegetation from harvesting or regeneration?</w:t>
            </w:r>
          </w:p>
        </w:tc>
        <w:tc>
          <w:tcPr>
            <w:tcW w:w="599" w:type="pct"/>
          </w:tcPr>
          <w:p w14:paraId="658A8FAA" w14:textId="77777777" w:rsidR="00D27DDC" w:rsidRDefault="00D27DDC" w:rsidP="00D27DDC">
            <w:pPr>
              <w:pStyle w:val="Tablesmalltext"/>
              <w:jc w:val="center"/>
            </w:pPr>
            <w:r>
              <w:t>90%</w:t>
            </w:r>
          </w:p>
        </w:tc>
        <w:tc>
          <w:tcPr>
            <w:tcW w:w="522" w:type="pct"/>
          </w:tcPr>
          <w:p w14:paraId="0FB661F3" w14:textId="77777777" w:rsidR="00D27DDC" w:rsidRDefault="00D27DDC" w:rsidP="00D27DDC">
            <w:pPr>
              <w:pStyle w:val="Tablesmalltext"/>
              <w:jc w:val="center"/>
            </w:pPr>
            <w:r>
              <w:t>B</w:t>
            </w:r>
          </w:p>
        </w:tc>
      </w:tr>
      <w:tr w:rsidR="00D27DDC" w14:paraId="357E924B" w14:textId="77777777" w:rsidTr="00523E3C">
        <w:tc>
          <w:tcPr>
            <w:tcW w:w="391" w:type="pct"/>
            <w:shd w:val="clear" w:color="auto" w:fill="FFFFCC"/>
          </w:tcPr>
          <w:p w14:paraId="219CEA1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BCD7E9A" w14:textId="77777777" w:rsidR="00D27DDC" w:rsidRDefault="00D27DDC" w:rsidP="00D27DDC">
            <w:pPr>
              <w:pStyle w:val="Tablesmalltext"/>
            </w:pPr>
            <w:r w:rsidRPr="00730D0F">
              <w:rPr>
                <w:color w:val="000000"/>
                <w:lang w:val="en-AU" w:eastAsia="en-AU"/>
              </w:rPr>
              <w:t>MSP4.1.5 East Gippsland FMA and Gippsland FMAs</w:t>
            </w:r>
          </w:p>
        </w:tc>
      </w:tr>
      <w:tr w:rsidR="00D27DDC" w14:paraId="3686BBE4" w14:textId="77777777" w:rsidTr="00523E3C">
        <w:tc>
          <w:tcPr>
            <w:tcW w:w="391" w:type="pct"/>
            <w:shd w:val="clear" w:color="auto" w:fill="FFFFCC"/>
          </w:tcPr>
          <w:p w14:paraId="53BF118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40F3590" w14:textId="77777777" w:rsidR="00D27DDC" w:rsidRDefault="00D27DDC" w:rsidP="00D27DDC">
            <w:pPr>
              <w:pStyle w:val="Tablesmalltext"/>
            </w:pPr>
            <w:r w:rsidRPr="00730D0F">
              <w:rPr>
                <w:color w:val="000000"/>
                <w:lang w:val="en-AU" w:eastAsia="en-AU"/>
              </w:rPr>
              <w:t xml:space="preserve">4.1.5.1 When selecting habitat trees, prioritise old living trees with a range of hollow sizes. Where these are absent or not present in sufficient numbers, prioritise trees that are old enough to develop hollows during the next 50 years. </w:t>
            </w:r>
          </w:p>
        </w:tc>
      </w:tr>
      <w:tr w:rsidR="00D27DDC" w14:paraId="017761D6" w14:textId="77777777" w:rsidTr="00523E3C">
        <w:tc>
          <w:tcPr>
            <w:tcW w:w="391" w:type="pct"/>
            <w:shd w:val="clear" w:color="auto" w:fill="FFFFCC"/>
          </w:tcPr>
          <w:p w14:paraId="69E2E6D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0BF2EE8" w14:textId="77777777" w:rsidR="00D27DDC" w:rsidRDefault="00D27DDC" w:rsidP="00D27DDC">
            <w:pPr>
              <w:pStyle w:val="Tablesmalltext"/>
            </w:pPr>
            <w:r w:rsidRPr="00730D0F">
              <w:rPr>
                <w:color w:val="000000"/>
                <w:lang w:val="en-AU" w:eastAsia="en-AU"/>
              </w:rPr>
              <w:t>4.1.5.2 Stags and younger, smaller trees may be counted as habitat trees if trees of the type described in 4.1.5.1 are absent or not present in sufficient numbers.</w:t>
            </w:r>
          </w:p>
        </w:tc>
      </w:tr>
      <w:tr w:rsidR="00D27DDC" w14:paraId="3C5478C7" w14:textId="77777777" w:rsidTr="00523E3C">
        <w:tc>
          <w:tcPr>
            <w:tcW w:w="391" w:type="pct"/>
            <w:shd w:val="clear" w:color="auto" w:fill="FFFFCC"/>
          </w:tcPr>
          <w:p w14:paraId="5BF1034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8172E35" w14:textId="77777777" w:rsidR="00D27DDC" w:rsidRDefault="00D27DDC" w:rsidP="00D27DDC">
            <w:pPr>
              <w:pStyle w:val="Tablesmalltext"/>
            </w:pPr>
            <w:r w:rsidRPr="00730D0F">
              <w:rPr>
                <w:color w:val="000000"/>
                <w:lang w:val="en-AU" w:eastAsia="en-AU"/>
              </w:rPr>
              <w:t>4.1.5.3 Where possible, retain habitat trees in small clusters which include younger regrowth and understorey.</w:t>
            </w:r>
          </w:p>
        </w:tc>
      </w:tr>
      <w:tr w:rsidR="00D27DDC" w14:paraId="215FBA90" w14:textId="77777777" w:rsidTr="00523E3C">
        <w:tc>
          <w:tcPr>
            <w:tcW w:w="391" w:type="pct"/>
            <w:shd w:val="clear" w:color="auto" w:fill="FFFFCC"/>
          </w:tcPr>
          <w:p w14:paraId="0FAA35C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FDCB6DB" w14:textId="77777777" w:rsidR="00D27DDC" w:rsidRDefault="00D27DDC" w:rsidP="00D27DDC">
            <w:pPr>
              <w:pStyle w:val="Tablesmalltext"/>
            </w:pPr>
            <w:r w:rsidRPr="00730D0F">
              <w:rPr>
                <w:color w:val="000000"/>
                <w:lang w:val="en-AU" w:eastAsia="en-AU"/>
              </w:rPr>
              <w:t>4.1.5.4 Distribute habitat tree clusters across the coupe with consideration of the proximity of other retained vegetation.</w:t>
            </w:r>
          </w:p>
        </w:tc>
      </w:tr>
      <w:tr w:rsidR="00D27DDC" w14:paraId="5372FAD9" w14:textId="77777777" w:rsidTr="00D27DDC">
        <w:tc>
          <w:tcPr>
            <w:tcW w:w="391" w:type="pct"/>
          </w:tcPr>
          <w:p w14:paraId="7084F95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13.01</w:t>
            </w:r>
          </w:p>
        </w:tc>
        <w:tc>
          <w:tcPr>
            <w:tcW w:w="3488" w:type="pct"/>
            <w:vAlign w:val="center"/>
          </w:tcPr>
          <w:p w14:paraId="385E159C" w14:textId="77777777" w:rsidR="00D27DDC" w:rsidRPr="00730D0F" w:rsidRDefault="00D27DDC" w:rsidP="00D27DDC">
            <w:pPr>
              <w:pStyle w:val="Tablesmalltext"/>
              <w:rPr>
                <w:color w:val="000000"/>
                <w:lang w:val="en-AU" w:eastAsia="en-AU"/>
              </w:rPr>
            </w:pPr>
            <w:r w:rsidRPr="00730D0F">
              <w:rPr>
                <w:color w:val="000000"/>
                <w:lang w:val="en-AU" w:eastAsia="en-AU"/>
              </w:rPr>
              <w:t>In East Gippsland or Gippsland FMAs, ITAO, does the selection of any retained habitat trees appear to have prioritised old living trees with hollows of various sizes or trees that are old enough to develop hollows in the next 50 years (where present within the coupe)?</w:t>
            </w:r>
          </w:p>
        </w:tc>
        <w:tc>
          <w:tcPr>
            <w:tcW w:w="599" w:type="pct"/>
          </w:tcPr>
          <w:p w14:paraId="0C6FD286" w14:textId="77777777" w:rsidR="00D27DDC" w:rsidRDefault="00D27DDC" w:rsidP="00D27DDC">
            <w:pPr>
              <w:pStyle w:val="Tablesmalltext"/>
              <w:jc w:val="center"/>
            </w:pPr>
            <w:r>
              <w:t>92%</w:t>
            </w:r>
          </w:p>
        </w:tc>
        <w:tc>
          <w:tcPr>
            <w:tcW w:w="522" w:type="pct"/>
          </w:tcPr>
          <w:p w14:paraId="38EC11C8" w14:textId="77777777" w:rsidR="00D27DDC" w:rsidRDefault="00D27DDC" w:rsidP="00D27DDC">
            <w:pPr>
              <w:pStyle w:val="Tablesmalltext"/>
              <w:jc w:val="center"/>
            </w:pPr>
            <w:r>
              <w:t>B</w:t>
            </w:r>
          </w:p>
        </w:tc>
      </w:tr>
      <w:tr w:rsidR="00D27DDC" w14:paraId="5F47F745" w14:textId="77777777" w:rsidTr="00D27DDC">
        <w:tc>
          <w:tcPr>
            <w:tcW w:w="391" w:type="pct"/>
          </w:tcPr>
          <w:p w14:paraId="7D0E44D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13.02</w:t>
            </w:r>
          </w:p>
        </w:tc>
        <w:tc>
          <w:tcPr>
            <w:tcW w:w="3488" w:type="pct"/>
            <w:vAlign w:val="center"/>
          </w:tcPr>
          <w:p w14:paraId="2773455F" w14:textId="77777777" w:rsidR="00D27DDC" w:rsidRPr="00730D0F" w:rsidRDefault="00D27DDC" w:rsidP="00D27DDC">
            <w:pPr>
              <w:pStyle w:val="Tablesmalltext"/>
              <w:rPr>
                <w:color w:val="000000"/>
                <w:lang w:val="en-AU" w:eastAsia="en-AU"/>
              </w:rPr>
            </w:pPr>
            <w:r w:rsidRPr="00730D0F">
              <w:rPr>
                <w:color w:val="000000"/>
                <w:lang w:val="en-AU" w:eastAsia="en-AU"/>
              </w:rPr>
              <w:t>If older trees (as per MSP4.1.5.1) are not present in the coupe, have stags and younger smaller trees been appropriate counted (ITAO) as habitat trees?</w:t>
            </w:r>
          </w:p>
        </w:tc>
        <w:tc>
          <w:tcPr>
            <w:tcW w:w="599" w:type="pct"/>
          </w:tcPr>
          <w:p w14:paraId="0C390496" w14:textId="77777777" w:rsidR="00D27DDC" w:rsidRDefault="00D27DDC" w:rsidP="00D27DDC">
            <w:pPr>
              <w:pStyle w:val="Tablesmalltext"/>
              <w:jc w:val="center"/>
            </w:pPr>
            <w:r w:rsidRPr="0071612A">
              <w:t>100%</w:t>
            </w:r>
          </w:p>
        </w:tc>
        <w:tc>
          <w:tcPr>
            <w:tcW w:w="522" w:type="pct"/>
          </w:tcPr>
          <w:p w14:paraId="0271B561" w14:textId="77777777" w:rsidR="00D27DDC" w:rsidRDefault="00D27DDC" w:rsidP="00D27DDC">
            <w:pPr>
              <w:pStyle w:val="Tablesmalltext"/>
              <w:jc w:val="center"/>
            </w:pPr>
            <w:r>
              <w:t>B</w:t>
            </w:r>
          </w:p>
        </w:tc>
      </w:tr>
      <w:tr w:rsidR="00D27DDC" w14:paraId="7CDFEFB7" w14:textId="77777777" w:rsidTr="00D27DDC">
        <w:tc>
          <w:tcPr>
            <w:tcW w:w="391" w:type="pct"/>
          </w:tcPr>
          <w:p w14:paraId="66E5F24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13.03</w:t>
            </w:r>
          </w:p>
        </w:tc>
        <w:tc>
          <w:tcPr>
            <w:tcW w:w="3488" w:type="pct"/>
            <w:vAlign w:val="center"/>
          </w:tcPr>
          <w:p w14:paraId="1E8C60F7" w14:textId="77777777" w:rsidR="00D27DDC" w:rsidRPr="00730D0F" w:rsidRDefault="00D27DDC" w:rsidP="00D27DDC">
            <w:pPr>
              <w:pStyle w:val="Tablesmalltext"/>
              <w:rPr>
                <w:color w:val="000000"/>
                <w:lang w:val="en-AU" w:eastAsia="en-AU"/>
              </w:rPr>
            </w:pPr>
            <w:r w:rsidRPr="00730D0F">
              <w:rPr>
                <w:color w:val="000000"/>
                <w:lang w:val="en-AU" w:eastAsia="en-AU"/>
              </w:rPr>
              <w:t>Where reasonably practicable, have habitat trees been retained in small clusters with younger regrowth and understorey?</w:t>
            </w:r>
          </w:p>
        </w:tc>
        <w:tc>
          <w:tcPr>
            <w:tcW w:w="599" w:type="pct"/>
          </w:tcPr>
          <w:p w14:paraId="0A70AF09" w14:textId="77777777" w:rsidR="00D27DDC" w:rsidRDefault="00D27DDC" w:rsidP="00D27DDC">
            <w:pPr>
              <w:pStyle w:val="Tablesmalltext"/>
              <w:jc w:val="center"/>
            </w:pPr>
            <w:r w:rsidRPr="0071612A">
              <w:t>100%</w:t>
            </w:r>
          </w:p>
        </w:tc>
        <w:tc>
          <w:tcPr>
            <w:tcW w:w="522" w:type="pct"/>
          </w:tcPr>
          <w:p w14:paraId="1FF7B4CD" w14:textId="77777777" w:rsidR="00D27DDC" w:rsidRDefault="00D27DDC" w:rsidP="00D27DDC">
            <w:pPr>
              <w:pStyle w:val="Tablesmalltext"/>
              <w:jc w:val="center"/>
            </w:pPr>
            <w:r>
              <w:t>B</w:t>
            </w:r>
          </w:p>
        </w:tc>
      </w:tr>
      <w:tr w:rsidR="00D27DDC" w14:paraId="4F675DB5" w14:textId="77777777" w:rsidTr="00D27DDC">
        <w:tc>
          <w:tcPr>
            <w:tcW w:w="391" w:type="pct"/>
          </w:tcPr>
          <w:p w14:paraId="35FC381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13.04</w:t>
            </w:r>
          </w:p>
        </w:tc>
        <w:tc>
          <w:tcPr>
            <w:tcW w:w="3488" w:type="pct"/>
          </w:tcPr>
          <w:p w14:paraId="28019B76" w14:textId="77777777" w:rsidR="00D27DDC" w:rsidRPr="00730D0F" w:rsidRDefault="00D27DDC" w:rsidP="00D27DDC">
            <w:pPr>
              <w:pStyle w:val="Tablesmalltext"/>
              <w:rPr>
                <w:color w:val="000000"/>
                <w:lang w:val="en-AU" w:eastAsia="en-AU"/>
              </w:rPr>
            </w:pPr>
            <w:r w:rsidRPr="00730D0F">
              <w:rPr>
                <w:color w:val="000000"/>
                <w:lang w:val="en-AU" w:eastAsia="en-AU"/>
              </w:rPr>
              <w:t>ITAO, does the distribution of any habitat tree clusters appropriately consider the proximity of other retained vegetation?</w:t>
            </w:r>
          </w:p>
        </w:tc>
        <w:tc>
          <w:tcPr>
            <w:tcW w:w="599" w:type="pct"/>
          </w:tcPr>
          <w:p w14:paraId="60B5B90F" w14:textId="77777777" w:rsidR="00D27DDC" w:rsidRDefault="00D27DDC" w:rsidP="00D27DDC">
            <w:pPr>
              <w:pStyle w:val="Tablesmalltext"/>
              <w:jc w:val="center"/>
            </w:pPr>
            <w:r w:rsidRPr="0071612A">
              <w:t>100%</w:t>
            </w:r>
          </w:p>
        </w:tc>
        <w:tc>
          <w:tcPr>
            <w:tcW w:w="522" w:type="pct"/>
          </w:tcPr>
          <w:p w14:paraId="36896152" w14:textId="77777777" w:rsidR="00D27DDC" w:rsidRDefault="00D27DDC" w:rsidP="00D27DDC">
            <w:pPr>
              <w:pStyle w:val="Tablesmalltext"/>
              <w:jc w:val="center"/>
            </w:pPr>
            <w:r>
              <w:t>B</w:t>
            </w:r>
          </w:p>
        </w:tc>
      </w:tr>
      <w:tr w:rsidR="00D27DDC" w14:paraId="56C2AED6" w14:textId="77777777" w:rsidTr="00523E3C">
        <w:tc>
          <w:tcPr>
            <w:tcW w:w="391" w:type="pct"/>
            <w:shd w:val="clear" w:color="auto" w:fill="FFFFCC"/>
          </w:tcPr>
          <w:p w14:paraId="4B82B73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0BB268C" w14:textId="77777777" w:rsidR="00D27DDC" w:rsidRDefault="00D27DDC" w:rsidP="00D27DDC">
            <w:pPr>
              <w:pStyle w:val="Tablesmalltext"/>
            </w:pPr>
            <w:r w:rsidRPr="00730D0F">
              <w:rPr>
                <w:color w:val="000000"/>
                <w:lang w:val="en-AU" w:eastAsia="en-AU"/>
              </w:rPr>
              <w:t>MSP 4.2 and 4.3 Fauna and flora</w:t>
            </w:r>
          </w:p>
        </w:tc>
      </w:tr>
      <w:tr w:rsidR="00D27DDC" w14:paraId="19306BD6" w14:textId="77777777" w:rsidTr="00523E3C">
        <w:tc>
          <w:tcPr>
            <w:tcW w:w="391" w:type="pct"/>
            <w:shd w:val="clear" w:color="auto" w:fill="FFFFCC"/>
          </w:tcPr>
          <w:p w14:paraId="05BA29D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1E35493" w14:textId="77777777" w:rsidR="00D27DDC" w:rsidRDefault="00D27DDC" w:rsidP="00D27DDC">
            <w:pPr>
              <w:pStyle w:val="Tablesmalltext"/>
            </w:pPr>
            <w:r w:rsidRPr="00730D0F">
              <w:rPr>
                <w:color w:val="000000"/>
                <w:lang w:val="en-AU" w:eastAsia="en-AU"/>
              </w:rPr>
              <w:t xml:space="preserve">4.2.1.1 Apply management actions for rare and threatened fauna identified within areas affected by timber harvesting operations as outlined in Appendix 3 Table 13 (Rare or threatened fauna prescriptions).   </w:t>
            </w:r>
          </w:p>
        </w:tc>
      </w:tr>
      <w:tr w:rsidR="00D27DDC" w14:paraId="1F8D37BB" w14:textId="77777777" w:rsidTr="00523E3C">
        <w:tc>
          <w:tcPr>
            <w:tcW w:w="391" w:type="pct"/>
            <w:shd w:val="clear" w:color="auto" w:fill="FFFFCC"/>
          </w:tcPr>
          <w:p w14:paraId="71A5C1D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F0936EE" w14:textId="77777777" w:rsidR="00D27DDC" w:rsidRDefault="00D27DDC" w:rsidP="00D27DDC">
            <w:pPr>
              <w:pStyle w:val="Tablesmalltext"/>
            </w:pPr>
            <w:r w:rsidRPr="00730D0F">
              <w:rPr>
                <w:color w:val="000000"/>
                <w:lang w:val="en-AU" w:eastAsia="en-AU"/>
              </w:rPr>
              <w:t xml:space="preserve">4.3.1.1 Apply management actions for rare and threatened fauna identified within areas affected by timber harvesting operations as outlined in Appendix 3 Table 14 (Rare or threatened flora prescriptions).   </w:t>
            </w:r>
          </w:p>
        </w:tc>
      </w:tr>
      <w:tr w:rsidR="00D27DDC" w14:paraId="7E6AD8E6" w14:textId="77777777" w:rsidTr="00D27DDC">
        <w:tc>
          <w:tcPr>
            <w:tcW w:w="391" w:type="pct"/>
          </w:tcPr>
          <w:p w14:paraId="079FD0B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14.01</w:t>
            </w:r>
          </w:p>
        </w:tc>
        <w:tc>
          <w:tcPr>
            <w:tcW w:w="3488" w:type="pct"/>
          </w:tcPr>
          <w:p w14:paraId="191780EF" w14:textId="77777777" w:rsidR="00D27DDC" w:rsidRPr="00730D0F" w:rsidRDefault="00D27DDC" w:rsidP="00D27DDC">
            <w:pPr>
              <w:pStyle w:val="Tablesmalltext"/>
              <w:rPr>
                <w:color w:val="000000"/>
                <w:lang w:val="en-AU" w:eastAsia="en-AU"/>
              </w:rPr>
            </w:pPr>
            <w:r w:rsidRPr="00730D0F">
              <w:rPr>
                <w:color w:val="000000"/>
                <w:lang w:val="en-AU" w:eastAsia="en-AU"/>
              </w:rPr>
              <w:t>Does the FCP correctly note record(s) of rare or threatened fauna–based on the VBA-on the coupe?</w:t>
            </w:r>
          </w:p>
        </w:tc>
        <w:tc>
          <w:tcPr>
            <w:tcW w:w="599" w:type="pct"/>
          </w:tcPr>
          <w:p w14:paraId="35BA12FD" w14:textId="77777777" w:rsidR="00D27DDC" w:rsidRDefault="00D27DDC" w:rsidP="00D27DDC">
            <w:pPr>
              <w:pStyle w:val="Tablesmalltext"/>
              <w:jc w:val="center"/>
            </w:pPr>
            <w:r>
              <w:t>90%</w:t>
            </w:r>
          </w:p>
        </w:tc>
        <w:tc>
          <w:tcPr>
            <w:tcW w:w="522" w:type="pct"/>
          </w:tcPr>
          <w:p w14:paraId="3E77364C" w14:textId="77777777" w:rsidR="00D27DDC" w:rsidRDefault="00D27DDC" w:rsidP="00D27DDC">
            <w:pPr>
              <w:pStyle w:val="Tablesmalltext"/>
              <w:jc w:val="center"/>
            </w:pPr>
            <w:r>
              <w:t>B</w:t>
            </w:r>
          </w:p>
        </w:tc>
      </w:tr>
      <w:tr w:rsidR="00D27DDC" w14:paraId="1D06AFA7" w14:textId="77777777" w:rsidTr="00D27DDC">
        <w:tc>
          <w:tcPr>
            <w:tcW w:w="391" w:type="pct"/>
          </w:tcPr>
          <w:p w14:paraId="640FE0D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14.02</w:t>
            </w:r>
          </w:p>
        </w:tc>
        <w:tc>
          <w:tcPr>
            <w:tcW w:w="3488" w:type="pct"/>
          </w:tcPr>
          <w:p w14:paraId="5031B0E2" w14:textId="77777777" w:rsidR="00D27DDC" w:rsidRPr="00730D0F" w:rsidRDefault="00D27DDC" w:rsidP="00D27DDC">
            <w:pPr>
              <w:pStyle w:val="Tablesmalltext"/>
              <w:rPr>
                <w:color w:val="000000"/>
                <w:lang w:val="en-AU" w:eastAsia="en-AU"/>
              </w:rPr>
            </w:pPr>
            <w:r w:rsidRPr="00730D0F">
              <w:rPr>
                <w:color w:val="000000"/>
                <w:lang w:val="en-AU" w:eastAsia="en-AU"/>
              </w:rPr>
              <w:t>Have the management actions for fauna (as per MSP Appendix 3, Table 13) been carried out?</w:t>
            </w:r>
          </w:p>
        </w:tc>
        <w:tc>
          <w:tcPr>
            <w:tcW w:w="599" w:type="pct"/>
          </w:tcPr>
          <w:p w14:paraId="1D5BB5F4" w14:textId="77777777" w:rsidR="00D27DDC" w:rsidRDefault="00D27DDC" w:rsidP="00D27DDC">
            <w:pPr>
              <w:pStyle w:val="Tablesmalltext"/>
              <w:jc w:val="center"/>
            </w:pPr>
            <w:r>
              <w:t>78%</w:t>
            </w:r>
          </w:p>
        </w:tc>
        <w:tc>
          <w:tcPr>
            <w:tcW w:w="522" w:type="pct"/>
          </w:tcPr>
          <w:p w14:paraId="62602209" w14:textId="77777777" w:rsidR="00D27DDC" w:rsidRDefault="00D27DDC" w:rsidP="00D27DDC">
            <w:pPr>
              <w:pStyle w:val="Tablesmalltext"/>
              <w:jc w:val="center"/>
            </w:pPr>
            <w:r>
              <w:t>B</w:t>
            </w:r>
          </w:p>
        </w:tc>
      </w:tr>
      <w:tr w:rsidR="00D27DDC" w14:paraId="713BA3CB" w14:textId="77777777" w:rsidTr="00D27DDC">
        <w:tc>
          <w:tcPr>
            <w:tcW w:w="391" w:type="pct"/>
          </w:tcPr>
          <w:p w14:paraId="248D613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14.03</w:t>
            </w:r>
          </w:p>
        </w:tc>
        <w:tc>
          <w:tcPr>
            <w:tcW w:w="3488" w:type="pct"/>
          </w:tcPr>
          <w:p w14:paraId="5ED7B374" w14:textId="77777777" w:rsidR="00D27DDC" w:rsidRPr="00730D0F" w:rsidRDefault="00D27DDC" w:rsidP="00D27DDC">
            <w:pPr>
              <w:pStyle w:val="Tablesmalltext"/>
              <w:rPr>
                <w:color w:val="000000"/>
                <w:lang w:val="en-AU" w:eastAsia="en-AU"/>
              </w:rPr>
            </w:pPr>
            <w:r w:rsidRPr="00730D0F">
              <w:rPr>
                <w:color w:val="000000"/>
                <w:lang w:val="en-AU" w:eastAsia="en-AU"/>
              </w:rPr>
              <w:t>Does the FCP correctly note record(s) of rare or threatened flora-based on the VBA-on the coupe?</w:t>
            </w:r>
          </w:p>
        </w:tc>
        <w:tc>
          <w:tcPr>
            <w:tcW w:w="599" w:type="pct"/>
          </w:tcPr>
          <w:p w14:paraId="140C4AA0" w14:textId="77777777" w:rsidR="00D27DDC" w:rsidRDefault="00D27DDC" w:rsidP="00D27DDC">
            <w:pPr>
              <w:pStyle w:val="Tablesmalltext"/>
              <w:jc w:val="center"/>
            </w:pPr>
            <w:r>
              <w:t>94%</w:t>
            </w:r>
          </w:p>
        </w:tc>
        <w:tc>
          <w:tcPr>
            <w:tcW w:w="522" w:type="pct"/>
          </w:tcPr>
          <w:p w14:paraId="36979BAA" w14:textId="77777777" w:rsidR="00D27DDC" w:rsidRDefault="00D27DDC" w:rsidP="00D27DDC">
            <w:pPr>
              <w:pStyle w:val="Tablesmalltext"/>
              <w:jc w:val="center"/>
            </w:pPr>
            <w:r>
              <w:t>B</w:t>
            </w:r>
          </w:p>
        </w:tc>
      </w:tr>
      <w:tr w:rsidR="00D27DDC" w14:paraId="66FA674C" w14:textId="77777777" w:rsidTr="00D27DDC">
        <w:tc>
          <w:tcPr>
            <w:tcW w:w="391" w:type="pct"/>
          </w:tcPr>
          <w:p w14:paraId="1807973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14.04</w:t>
            </w:r>
          </w:p>
        </w:tc>
        <w:tc>
          <w:tcPr>
            <w:tcW w:w="3488" w:type="pct"/>
          </w:tcPr>
          <w:p w14:paraId="763FCA66" w14:textId="77777777" w:rsidR="00D27DDC" w:rsidRPr="00730D0F" w:rsidRDefault="00D27DDC" w:rsidP="00D27DDC">
            <w:pPr>
              <w:pStyle w:val="Tablesmalltext"/>
              <w:rPr>
                <w:color w:val="000000"/>
                <w:lang w:val="en-AU" w:eastAsia="en-AU"/>
              </w:rPr>
            </w:pPr>
            <w:r w:rsidRPr="00730D0F">
              <w:rPr>
                <w:color w:val="000000"/>
                <w:lang w:val="en-AU" w:eastAsia="en-AU"/>
              </w:rPr>
              <w:t>Have the management actions for flora (as per MSP Appendix 3, Table 14) been carried out?</w:t>
            </w:r>
          </w:p>
        </w:tc>
        <w:tc>
          <w:tcPr>
            <w:tcW w:w="599" w:type="pct"/>
          </w:tcPr>
          <w:p w14:paraId="0844B394" w14:textId="77777777" w:rsidR="00D27DDC" w:rsidRDefault="00D27DDC" w:rsidP="00D27DDC">
            <w:pPr>
              <w:pStyle w:val="Tablesmalltext"/>
              <w:jc w:val="center"/>
            </w:pPr>
            <w:r>
              <w:t>No applicable coupes</w:t>
            </w:r>
          </w:p>
        </w:tc>
        <w:tc>
          <w:tcPr>
            <w:tcW w:w="522" w:type="pct"/>
          </w:tcPr>
          <w:p w14:paraId="4EA9E671" w14:textId="77777777" w:rsidR="00D27DDC" w:rsidRDefault="00D27DDC" w:rsidP="00D27DDC">
            <w:pPr>
              <w:pStyle w:val="Tablesmalltext"/>
              <w:jc w:val="center"/>
            </w:pPr>
            <w:r>
              <w:t>B</w:t>
            </w:r>
          </w:p>
        </w:tc>
      </w:tr>
      <w:tr w:rsidR="00D27DDC" w14:paraId="0D27AA76" w14:textId="77777777" w:rsidTr="00523E3C">
        <w:tc>
          <w:tcPr>
            <w:tcW w:w="391" w:type="pct"/>
            <w:shd w:val="clear" w:color="auto" w:fill="FFFFCC"/>
          </w:tcPr>
          <w:p w14:paraId="2F59BE2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0E1AFF2" w14:textId="77777777" w:rsidR="00D27DDC" w:rsidRDefault="00D27DDC" w:rsidP="00D27DDC">
            <w:pPr>
              <w:pStyle w:val="Tablesmalltext"/>
            </w:pPr>
            <w:r w:rsidRPr="00730D0F">
              <w:rPr>
                <w:color w:val="000000"/>
                <w:lang w:val="en-AU" w:eastAsia="en-AU"/>
              </w:rPr>
              <w:t>4.2.1.1 Plan management actions for rate and endangered fauna in accordance with Table 3 (fixed FMZ rules for fauna).</w:t>
            </w:r>
          </w:p>
        </w:tc>
      </w:tr>
      <w:tr w:rsidR="00D27DDC" w14:paraId="13885F8B" w14:textId="77777777" w:rsidTr="00D27DDC">
        <w:tc>
          <w:tcPr>
            <w:tcW w:w="391" w:type="pct"/>
          </w:tcPr>
          <w:p w14:paraId="45C338A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14.05</w:t>
            </w:r>
          </w:p>
        </w:tc>
        <w:tc>
          <w:tcPr>
            <w:tcW w:w="3488" w:type="pct"/>
          </w:tcPr>
          <w:p w14:paraId="6D611297" w14:textId="77777777" w:rsidR="00D27DDC" w:rsidRPr="00730D0F" w:rsidRDefault="00D27DDC" w:rsidP="00D27DDC">
            <w:pPr>
              <w:pStyle w:val="Tablesmalltext"/>
              <w:rPr>
                <w:color w:val="000000"/>
                <w:lang w:val="en-AU" w:eastAsia="en-AU"/>
              </w:rPr>
            </w:pPr>
            <w:r w:rsidRPr="00730D0F">
              <w:rPr>
                <w:color w:val="000000"/>
                <w:lang w:val="en-AU" w:eastAsia="en-AU"/>
              </w:rPr>
              <w:t xml:space="preserve">Have the management actions specified in PS Table 3 for fixed FMZ rules for fauna been implemented? </w:t>
            </w:r>
          </w:p>
        </w:tc>
        <w:tc>
          <w:tcPr>
            <w:tcW w:w="599" w:type="pct"/>
          </w:tcPr>
          <w:p w14:paraId="40132656" w14:textId="77777777" w:rsidR="00D27DDC" w:rsidRDefault="00D27DDC" w:rsidP="00D27DDC">
            <w:pPr>
              <w:pStyle w:val="Tablesmalltext"/>
              <w:jc w:val="center"/>
            </w:pPr>
            <w:r>
              <w:t>100%</w:t>
            </w:r>
          </w:p>
        </w:tc>
        <w:tc>
          <w:tcPr>
            <w:tcW w:w="522" w:type="pct"/>
          </w:tcPr>
          <w:p w14:paraId="39B29845" w14:textId="77777777" w:rsidR="00D27DDC" w:rsidRDefault="00D27DDC" w:rsidP="00D27DDC">
            <w:pPr>
              <w:pStyle w:val="Tablesmalltext"/>
              <w:jc w:val="center"/>
            </w:pPr>
            <w:r>
              <w:t>B</w:t>
            </w:r>
          </w:p>
        </w:tc>
      </w:tr>
      <w:tr w:rsidR="00D27DDC" w14:paraId="04C15ECA" w14:textId="77777777" w:rsidTr="00523E3C">
        <w:tc>
          <w:tcPr>
            <w:tcW w:w="391" w:type="pct"/>
            <w:shd w:val="clear" w:color="auto" w:fill="FFFFCC"/>
          </w:tcPr>
          <w:p w14:paraId="71C60E1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M</w:t>
            </w:r>
          </w:p>
        </w:tc>
        <w:tc>
          <w:tcPr>
            <w:tcW w:w="4609" w:type="pct"/>
            <w:gridSpan w:val="3"/>
            <w:shd w:val="clear" w:color="auto" w:fill="FFFFCC"/>
          </w:tcPr>
          <w:p w14:paraId="56187EB2" w14:textId="77777777" w:rsidR="00D27DDC" w:rsidRDefault="00D27DDC" w:rsidP="00D27DDC">
            <w:pPr>
              <w:pStyle w:val="Tablesmalltext"/>
            </w:pPr>
            <w:r w:rsidRPr="00730D0F">
              <w:rPr>
                <w:color w:val="000000"/>
                <w:lang w:val="en-AU" w:eastAsia="en-AU"/>
              </w:rPr>
              <w:t>4.3.1.1 Apply the management actions outlined in Table 4 (Detection based FMZ rules for fauna) for zoned rare or threatened fauna.</w:t>
            </w:r>
          </w:p>
        </w:tc>
      </w:tr>
      <w:tr w:rsidR="00D27DDC" w14:paraId="7AA44999" w14:textId="77777777" w:rsidTr="00D27DDC">
        <w:tc>
          <w:tcPr>
            <w:tcW w:w="391" w:type="pct"/>
          </w:tcPr>
          <w:p w14:paraId="095E22F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14.06</w:t>
            </w:r>
          </w:p>
        </w:tc>
        <w:tc>
          <w:tcPr>
            <w:tcW w:w="3488" w:type="pct"/>
          </w:tcPr>
          <w:p w14:paraId="7B70C87A" w14:textId="77777777" w:rsidR="00D27DDC" w:rsidRPr="00730D0F" w:rsidRDefault="00D27DDC" w:rsidP="00D27DDC">
            <w:pPr>
              <w:pStyle w:val="Tablesmalltext"/>
              <w:rPr>
                <w:color w:val="000000"/>
                <w:lang w:val="en-AU" w:eastAsia="en-AU"/>
              </w:rPr>
            </w:pPr>
            <w:r w:rsidRPr="00730D0F">
              <w:rPr>
                <w:color w:val="000000"/>
                <w:lang w:val="en-AU" w:eastAsia="en-AU"/>
              </w:rPr>
              <w:t xml:space="preserve">Have the management actions specified in PS Table 4 for detection based FMZ rules for fauna been implemented? </w:t>
            </w:r>
          </w:p>
        </w:tc>
        <w:tc>
          <w:tcPr>
            <w:tcW w:w="599" w:type="pct"/>
          </w:tcPr>
          <w:p w14:paraId="30C7F399" w14:textId="77777777" w:rsidR="00D27DDC" w:rsidRDefault="00D27DDC" w:rsidP="00D27DDC">
            <w:pPr>
              <w:pStyle w:val="Tablesmalltext"/>
              <w:jc w:val="center"/>
            </w:pPr>
            <w:r>
              <w:t>71%</w:t>
            </w:r>
          </w:p>
        </w:tc>
        <w:tc>
          <w:tcPr>
            <w:tcW w:w="522" w:type="pct"/>
          </w:tcPr>
          <w:p w14:paraId="01D8F10E" w14:textId="77777777" w:rsidR="00D27DDC" w:rsidRDefault="00D27DDC" w:rsidP="00D27DDC">
            <w:pPr>
              <w:pStyle w:val="Tablesmalltext"/>
              <w:jc w:val="center"/>
            </w:pPr>
            <w:r>
              <w:t>B</w:t>
            </w:r>
          </w:p>
        </w:tc>
      </w:tr>
      <w:tr w:rsidR="00D27DDC" w14:paraId="77FF3884" w14:textId="77777777" w:rsidTr="00523E3C">
        <w:tc>
          <w:tcPr>
            <w:tcW w:w="391" w:type="pct"/>
            <w:shd w:val="clear" w:color="auto" w:fill="FFFFCC"/>
          </w:tcPr>
          <w:p w14:paraId="0BA8768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8D82B3A" w14:textId="77777777" w:rsidR="00D27DDC" w:rsidRDefault="00D27DDC" w:rsidP="00D27DDC">
            <w:pPr>
              <w:pStyle w:val="Tablesmalltext"/>
            </w:pPr>
            <w:r w:rsidRPr="00730D0F">
              <w:rPr>
                <w:color w:val="000000"/>
                <w:lang w:val="en-AU" w:eastAsia="en-AU"/>
              </w:rPr>
              <w:t>4.5.1.1 Apply the management actions outlined in Table 5 (Detection based FMZ rules for flora) for zoned rare or threatened for a values.</w:t>
            </w:r>
          </w:p>
        </w:tc>
      </w:tr>
      <w:tr w:rsidR="00D27DDC" w14:paraId="25EC24AC" w14:textId="77777777" w:rsidTr="00D27DDC">
        <w:tc>
          <w:tcPr>
            <w:tcW w:w="391" w:type="pct"/>
          </w:tcPr>
          <w:p w14:paraId="1528281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14.07</w:t>
            </w:r>
          </w:p>
        </w:tc>
        <w:tc>
          <w:tcPr>
            <w:tcW w:w="3488" w:type="pct"/>
          </w:tcPr>
          <w:p w14:paraId="40972292" w14:textId="77777777" w:rsidR="00D27DDC" w:rsidRPr="00730D0F" w:rsidRDefault="00D27DDC" w:rsidP="00D27DDC">
            <w:pPr>
              <w:pStyle w:val="Tablesmalltext"/>
              <w:rPr>
                <w:color w:val="000000"/>
                <w:lang w:val="en-AU" w:eastAsia="en-AU"/>
              </w:rPr>
            </w:pPr>
            <w:r w:rsidRPr="00730D0F">
              <w:rPr>
                <w:color w:val="000000"/>
                <w:lang w:val="en-AU" w:eastAsia="en-AU"/>
              </w:rPr>
              <w:t xml:space="preserve">Have the management actions specified in PS Table 5 for detection based FMZ rules for flora been implemented? </w:t>
            </w:r>
          </w:p>
        </w:tc>
        <w:tc>
          <w:tcPr>
            <w:tcW w:w="599" w:type="pct"/>
          </w:tcPr>
          <w:p w14:paraId="01160C91" w14:textId="77777777" w:rsidR="00D27DDC" w:rsidRDefault="00D27DDC" w:rsidP="00D27DDC">
            <w:pPr>
              <w:pStyle w:val="Tablesmalltext"/>
              <w:jc w:val="center"/>
            </w:pPr>
            <w:r>
              <w:t>No applicable coupes</w:t>
            </w:r>
          </w:p>
        </w:tc>
        <w:tc>
          <w:tcPr>
            <w:tcW w:w="522" w:type="pct"/>
          </w:tcPr>
          <w:p w14:paraId="45ECBBC4" w14:textId="77777777" w:rsidR="00D27DDC" w:rsidRDefault="00D27DDC" w:rsidP="00D27DDC">
            <w:pPr>
              <w:pStyle w:val="Tablesmalltext"/>
              <w:jc w:val="center"/>
            </w:pPr>
            <w:r>
              <w:t>B</w:t>
            </w:r>
          </w:p>
        </w:tc>
      </w:tr>
      <w:tr w:rsidR="00D27DDC" w14:paraId="6BCECC09" w14:textId="77777777" w:rsidTr="00523E3C">
        <w:tc>
          <w:tcPr>
            <w:tcW w:w="391" w:type="pct"/>
            <w:shd w:val="clear" w:color="auto" w:fill="FFFFCC"/>
          </w:tcPr>
          <w:p w14:paraId="6F47B0F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C5C4BA5" w14:textId="77777777" w:rsidR="00D27DDC" w:rsidRDefault="00D27DDC" w:rsidP="00D27DDC">
            <w:pPr>
              <w:pStyle w:val="Tablesmalltext"/>
            </w:pPr>
            <w:r w:rsidRPr="00730D0F">
              <w:rPr>
                <w:color w:val="000000"/>
                <w:lang w:val="en-AU" w:eastAsia="en-AU"/>
              </w:rPr>
              <w:t>4.5.2.4 In EG FMA, plan disturbances in SMZ in consultation with DEPI biologists to ensure the species is adequately protected.</w:t>
            </w:r>
          </w:p>
        </w:tc>
      </w:tr>
      <w:tr w:rsidR="00D27DDC" w14:paraId="14E2DCA0" w14:textId="77777777" w:rsidTr="00D27DDC">
        <w:tc>
          <w:tcPr>
            <w:tcW w:w="391" w:type="pct"/>
          </w:tcPr>
          <w:p w14:paraId="77765FF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14.08</w:t>
            </w:r>
          </w:p>
        </w:tc>
        <w:tc>
          <w:tcPr>
            <w:tcW w:w="3488" w:type="pct"/>
            <w:vAlign w:val="center"/>
          </w:tcPr>
          <w:p w14:paraId="134C79C0" w14:textId="77777777" w:rsidR="00D27DDC" w:rsidRPr="00730D0F" w:rsidRDefault="00D27DDC" w:rsidP="00D27DDC">
            <w:pPr>
              <w:pStyle w:val="Tablesmalltext"/>
              <w:rPr>
                <w:color w:val="000000"/>
                <w:lang w:val="en-AU" w:eastAsia="en-AU"/>
              </w:rPr>
            </w:pPr>
            <w:r w:rsidRPr="00730D0F">
              <w:rPr>
                <w:color w:val="000000"/>
                <w:lang w:val="en-AU" w:eastAsia="en-AU"/>
              </w:rPr>
              <w:t>In EG FMA, if disturbance has been planned within an SMZ (for rare or threatened native fauna with detection based zoning), have DELWP biologists been consulted on species protection?</w:t>
            </w:r>
          </w:p>
        </w:tc>
        <w:tc>
          <w:tcPr>
            <w:tcW w:w="599" w:type="pct"/>
          </w:tcPr>
          <w:p w14:paraId="77E76754" w14:textId="77777777" w:rsidR="00D27DDC" w:rsidRDefault="00D27DDC" w:rsidP="00D27DDC">
            <w:pPr>
              <w:pStyle w:val="Tablesmalltext"/>
              <w:jc w:val="center"/>
            </w:pPr>
            <w:r w:rsidRPr="00782AD3">
              <w:t>No applicable coupes</w:t>
            </w:r>
          </w:p>
        </w:tc>
        <w:tc>
          <w:tcPr>
            <w:tcW w:w="522" w:type="pct"/>
          </w:tcPr>
          <w:p w14:paraId="037404A5" w14:textId="77777777" w:rsidR="00D27DDC" w:rsidRDefault="00D27DDC" w:rsidP="00D27DDC">
            <w:pPr>
              <w:pStyle w:val="Tablesmalltext"/>
              <w:jc w:val="center"/>
            </w:pPr>
            <w:r>
              <w:t>B</w:t>
            </w:r>
          </w:p>
        </w:tc>
      </w:tr>
      <w:tr w:rsidR="00D27DDC" w14:paraId="191A7F21" w14:textId="77777777" w:rsidTr="00D27DDC">
        <w:tc>
          <w:tcPr>
            <w:tcW w:w="391" w:type="pct"/>
          </w:tcPr>
          <w:p w14:paraId="5E369FD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14.09</w:t>
            </w:r>
          </w:p>
        </w:tc>
        <w:tc>
          <w:tcPr>
            <w:tcW w:w="3488" w:type="pct"/>
            <w:vAlign w:val="center"/>
          </w:tcPr>
          <w:p w14:paraId="709E0FE1" w14:textId="77777777" w:rsidR="00D27DDC" w:rsidRPr="00730D0F" w:rsidRDefault="00D27DDC" w:rsidP="00D27DDC">
            <w:pPr>
              <w:pStyle w:val="Tablesmalltext"/>
              <w:rPr>
                <w:color w:val="000000"/>
                <w:lang w:val="en-AU" w:eastAsia="en-AU"/>
              </w:rPr>
            </w:pPr>
            <w:r w:rsidRPr="00730D0F">
              <w:rPr>
                <w:color w:val="000000"/>
                <w:lang w:val="en-AU" w:eastAsia="en-AU"/>
              </w:rPr>
              <w:t>ITAO has the disturbance been carried out according to the agreed approach?</w:t>
            </w:r>
          </w:p>
        </w:tc>
        <w:tc>
          <w:tcPr>
            <w:tcW w:w="599" w:type="pct"/>
          </w:tcPr>
          <w:p w14:paraId="7AD42DB6" w14:textId="77777777" w:rsidR="00D27DDC" w:rsidRDefault="00D27DDC" w:rsidP="00D27DDC">
            <w:pPr>
              <w:pStyle w:val="Tablesmalltext"/>
              <w:jc w:val="center"/>
            </w:pPr>
            <w:r w:rsidRPr="00782AD3">
              <w:t>No applicable coupes</w:t>
            </w:r>
          </w:p>
        </w:tc>
        <w:tc>
          <w:tcPr>
            <w:tcW w:w="522" w:type="pct"/>
          </w:tcPr>
          <w:p w14:paraId="38EA8C70" w14:textId="77777777" w:rsidR="00D27DDC" w:rsidRDefault="00D27DDC" w:rsidP="00D27DDC">
            <w:pPr>
              <w:pStyle w:val="Tablesmalltext"/>
              <w:jc w:val="center"/>
            </w:pPr>
            <w:r>
              <w:t>B</w:t>
            </w:r>
          </w:p>
        </w:tc>
      </w:tr>
      <w:tr w:rsidR="00D27DDC" w14:paraId="3E32ADDC" w14:textId="77777777" w:rsidTr="00523E3C">
        <w:tc>
          <w:tcPr>
            <w:tcW w:w="391" w:type="pct"/>
            <w:shd w:val="clear" w:color="auto" w:fill="FFFFCC"/>
          </w:tcPr>
          <w:p w14:paraId="288BD1A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6F7DF00" w14:textId="77777777" w:rsidR="00D27DDC" w:rsidRDefault="00D27DDC" w:rsidP="00D27DDC">
            <w:pPr>
              <w:pStyle w:val="Tablesmalltext"/>
            </w:pPr>
            <w:r w:rsidRPr="00730D0F">
              <w:rPr>
                <w:color w:val="000000"/>
                <w:lang w:val="en-AU" w:eastAsia="en-AU"/>
              </w:rPr>
              <w:t>MSP 4.4 Vegetation communities</w:t>
            </w:r>
          </w:p>
        </w:tc>
      </w:tr>
      <w:tr w:rsidR="00D27DDC" w14:paraId="4F0014AA" w14:textId="77777777" w:rsidTr="00523E3C">
        <w:tc>
          <w:tcPr>
            <w:tcW w:w="391" w:type="pct"/>
            <w:shd w:val="clear" w:color="auto" w:fill="FFFFCC"/>
          </w:tcPr>
          <w:p w14:paraId="3944A6D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9C2533D" w14:textId="77777777" w:rsidR="00D27DDC" w:rsidRDefault="00D27DDC" w:rsidP="00D27DDC">
            <w:pPr>
              <w:pStyle w:val="Tablesmalltext"/>
            </w:pPr>
            <w:r w:rsidRPr="00730D0F">
              <w:rPr>
                <w:i/>
                <w:iCs/>
                <w:color w:val="000000"/>
                <w:lang w:val="en-AU" w:eastAsia="en-AU"/>
              </w:rPr>
              <w:t>MSP 4.4.1 Box ironbark</w:t>
            </w:r>
          </w:p>
        </w:tc>
      </w:tr>
      <w:tr w:rsidR="00D27DDC" w14:paraId="2E19A866" w14:textId="77777777" w:rsidTr="00523E3C">
        <w:tc>
          <w:tcPr>
            <w:tcW w:w="391" w:type="pct"/>
            <w:shd w:val="clear" w:color="auto" w:fill="FFFFCC"/>
          </w:tcPr>
          <w:p w14:paraId="51259ED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B4C6DB6" w14:textId="77777777" w:rsidR="00D27DDC" w:rsidRDefault="00D27DDC" w:rsidP="00D27DDC">
            <w:pPr>
              <w:pStyle w:val="Tablesmalltext"/>
            </w:pPr>
            <w:r w:rsidRPr="00730D0F">
              <w:rPr>
                <w:color w:val="000000"/>
                <w:lang w:val="en-AU" w:eastAsia="en-AU"/>
              </w:rPr>
              <w:t xml:space="preserve">4.4.1.1 In the Gippsland FMAs exclude selective harvesting from Box Ironbark forests typically containing Forest Red Gum (Eucalyptus tereticornis), Yellow Box (Eucalyptus melliodora), Coast Grey Box (Eucalyptus bosistoana) and Red Ironbark (Eucalyptus tricarpa).  Silvicultural practices that promote regeneration of these species is permitted. </w:t>
            </w:r>
          </w:p>
        </w:tc>
      </w:tr>
      <w:tr w:rsidR="00D27DDC" w14:paraId="6A3B0392" w14:textId="77777777" w:rsidTr="00523E3C">
        <w:tc>
          <w:tcPr>
            <w:tcW w:w="391" w:type="pct"/>
            <w:shd w:val="clear" w:color="auto" w:fill="FFFFCC"/>
          </w:tcPr>
          <w:p w14:paraId="295E1D4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A953C67" w14:textId="77777777" w:rsidR="00D27DDC" w:rsidRDefault="00D27DDC" w:rsidP="00D27DDC">
            <w:pPr>
              <w:pStyle w:val="Tablesmalltext"/>
            </w:pPr>
            <w:r w:rsidRPr="00730D0F">
              <w:rPr>
                <w:color w:val="000000"/>
                <w:lang w:val="en-AU" w:eastAsia="en-AU"/>
              </w:rPr>
              <w:t>4.4.1.2 In the East Gippsland FMA  exclude selective harvesting from Box Ironbark forests typically containing  Red Ironbark (Eucalyptus tricarpa), Gippsland Grey Box (Eucalyptus bosistoana), Red Box (Eucalyptus polyanthemos), Blue Box (Eucalyptus baueriana) and Yellow Stringybark (Eucalyptus muelleriana).  The use of seed</w:t>
            </w:r>
            <w:r w:rsidRPr="00730D0F">
              <w:rPr>
                <w:rFonts w:ascii="Cambria Math" w:hAnsi="Cambria Math" w:cs="Cambria Math"/>
                <w:color w:val="000000"/>
                <w:lang w:val="en-AU" w:eastAsia="en-AU"/>
              </w:rPr>
              <w:t>‐</w:t>
            </w:r>
            <w:r w:rsidRPr="00730D0F">
              <w:rPr>
                <w:color w:val="000000"/>
                <w:lang w:val="en-AU" w:eastAsia="en-AU"/>
              </w:rPr>
              <w:t>tree regeneration systems is permitted to restore the original species mix when combined with: a) cutting stumps of desired species to a maximum height of 30 cm, to encourage coppice growth; b) supplementary planting and sowing where necessary; c) removing unproductive trees of the less</w:t>
            </w:r>
            <w:r w:rsidRPr="00730D0F">
              <w:rPr>
                <w:rFonts w:ascii="Cambria Math" w:hAnsi="Cambria Math" w:cs="Cambria Math"/>
                <w:color w:val="000000"/>
                <w:lang w:val="en-AU" w:eastAsia="en-AU"/>
              </w:rPr>
              <w:t>‐</w:t>
            </w:r>
            <w:r w:rsidRPr="00730D0F">
              <w:rPr>
                <w:color w:val="000000"/>
                <w:lang w:val="en-AU" w:eastAsia="en-AU"/>
              </w:rPr>
              <w:t>preferred species to remove overwood competition; and d) thinning of advanced regrowth.</w:t>
            </w:r>
          </w:p>
        </w:tc>
      </w:tr>
      <w:tr w:rsidR="00D27DDC" w14:paraId="7E87D713" w14:textId="77777777" w:rsidTr="00D27DDC">
        <w:tc>
          <w:tcPr>
            <w:tcW w:w="391" w:type="pct"/>
          </w:tcPr>
          <w:p w14:paraId="7504F52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15.01</w:t>
            </w:r>
          </w:p>
        </w:tc>
        <w:tc>
          <w:tcPr>
            <w:tcW w:w="3488" w:type="pct"/>
          </w:tcPr>
          <w:p w14:paraId="5A3E597F" w14:textId="77777777" w:rsidR="00D27DDC" w:rsidRPr="00730D0F" w:rsidRDefault="00D27DDC" w:rsidP="00D27DDC">
            <w:pPr>
              <w:pStyle w:val="Tablesmalltext"/>
              <w:rPr>
                <w:color w:val="000000"/>
                <w:lang w:val="en-AU" w:eastAsia="en-AU"/>
              </w:rPr>
            </w:pPr>
            <w:r w:rsidRPr="00730D0F">
              <w:rPr>
                <w:color w:val="000000"/>
                <w:lang w:val="en-AU" w:eastAsia="en-AU"/>
              </w:rPr>
              <w:t>Has selective harvesting been excluded from the coupe if its composition corresponds with 4.4.1.1 or 4.4.1.2?</w:t>
            </w:r>
          </w:p>
        </w:tc>
        <w:tc>
          <w:tcPr>
            <w:tcW w:w="599" w:type="pct"/>
          </w:tcPr>
          <w:p w14:paraId="24FC461D" w14:textId="77777777" w:rsidR="00D27DDC" w:rsidRDefault="00D27DDC" w:rsidP="00D27DDC">
            <w:pPr>
              <w:pStyle w:val="Tablesmalltext"/>
              <w:jc w:val="center"/>
            </w:pPr>
            <w:r w:rsidRPr="00433D28">
              <w:t>No applicable coupes</w:t>
            </w:r>
          </w:p>
        </w:tc>
        <w:tc>
          <w:tcPr>
            <w:tcW w:w="522" w:type="pct"/>
          </w:tcPr>
          <w:p w14:paraId="7D1A8C5D" w14:textId="77777777" w:rsidR="00D27DDC" w:rsidRDefault="00D27DDC" w:rsidP="00D27DDC">
            <w:pPr>
              <w:pStyle w:val="Tablesmalltext"/>
              <w:jc w:val="center"/>
            </w:pPr>
            <w:r w:rsidRPr="0092116B">
              <w:t>B</w:t>
            </w:r>
          </w:p>
        </w:tc>
      </w:tr>
      <w:tr w:rsidR="00D27DDC" w14:paraId="02E36FF5" w14:textId="77777777" w:rsidTr="00D27DDC">
        <w:tc>
          <w:tcPr>
            <w:tcW w:w="391" w:type="pct"/>
          </w:tcPr>
          <w:p w14:paraId="3C52E78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15.02</w:t>
            </w:r>
          </w:p>
        </w:tc>
        <w:tc>
          <w:tcPr>
            <w:tcW w:w="3488" w:type="pct"/>
          </w:tcPr>
          <w:p w14:paraId="53889748" w14:textId="77777777" w:rsidR="00D27DDC" w:rsidRPr="00730D0F" w:rsidRDefault="00D27DDC" w:rsidP="00D27DDC">
            <w:pPr>
              <w:pStyle w:val="Tablesmalltext"/>
              <w:rPr>
                <w:color w:val="000000"/>
                <w:lang w:val="en-AU" w:eastAsia="en-AU"/>
              </w:rPr>
            </w:pPr>
            <w:r w:rsidRPr="00730D0F">
              <w:rPr>
                <w:color w:val="000000"/>
                <w:lang w:val="en-AU" w:eastAsia="en-AU"/>
              </w:rPr>
              <w:t>If seed tree regeneration is used, does it comply with the specifications in 4.4.1.2?</w:t>
            </w:r>
          </w:p>
        </w:tc>
        <w:tc>
          <w:tcPr>
            <w:tcW w:w="599" w:type="pct"/>
          </w:tcPr>
          <w:p w14:paraId="3A208750" w14:textId="77777777" w:rsidR="00D27DDC" w:rsidRDefault="00D27DDC" w:rsidP="00D27DDC">
            <w:pPr>
              <w:pStyle w:val="Tablesmalltext"/>
              <w:jc w:val="center"/>
            </w:pPr>
            <w:r w:rsidRPr="00433D28">
              <w:t>No applicable coupes</w:t>
            </w:r>
          </w:p>
        </w:tc>
        <w:tc>
          <w:tcPr>
            <w:tcW w:w="522" w:type="pct"/>
          </w:tcPr>
          <w:p w14:paraId="0CF3DFF5" w14:textId="77777777" w:rsidR="00D27DDC" w:rsidRDefault="00D27DDC" w:rsidP="00D27DDC">
            <w:pPr>
              <w:pStyle w:val="Tablesmalltext"/>
              <w:jc w:val="center"/>
            </w:pPr>
            <w:r w:rsidRPr="0092116B">
              <w:t>B</w:t>
            </w:r>
          </w:p>
        </w:tc>
      </w:tr>
      <w:tr w:rsidR="00D27DDC" w14:paraId="7F5DE4B1" w14:textId="77777777" w:rsidTr="00523E3C">
        <w:tc>
          <w:tcPr>
            <w:tcW w:w="391" w:type="pct"/>
            <w:shd w:val="clear" w:color="auto" w:fill="FFFFCC"/>
          </w:tcPr>
          <w:p w14:paraId="6A4AB51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F11F7D7" w14:textId="77777777" w:rsidR="00D27DDC" w:rsidRDefault="00D27DDC" w:rsidP="00D27DDC">
            <w:pPr>
              <w:pStyle w:val="Tablesmalltext"/>
            </w:pPr>
            <w:r w:rsidRPr="00730D0F">
              <w:rPr>
                <w:i/>
                <w:iCs/>
                <w:color w:val="000000"/>
                <w:lang w:val="en-AU" w:eastAsia="en-AU"/>
              </w:rPr>
              <w:t>MSP 4.4.2 Heathland</w:t>
            </w:r>
          </w:p>
        </w:tc>
      </w:tr>
      <w:tr w:rsidR="00D27DDC" w14:paraId="74177C79" w14:textId="77777777" w:rsidTr="00523E3C">
        <w:tc>
          <w:tcPr>
            <w:tcW w:w="391" w:type="pct"/>
            <w:shd w:val="clear" w:color="auto" w:fill="FFFFCC"/>
          </w:tcPr>
          <w:p w14:paraId="501B689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688404C" w14:textId="77777777" w:rsidR="00D27DDC" w:rsidRDefault="00D27DDC" w:rsidP="00D27DDC">
            <w:pPr>
              <w:pStyle w:val="Tablesmalltext"/>
            </w:pPr>
            <w:r w:rsidRPr="00730D0F">
              <w:rPr>
                <w:color w:val="000000"/>
                <w:lang w:val="en-AU" w:eastAsia="en-AU"/>
              </w:rPr>
              <w:t xml:space="preserve">4.4.2.1 Avoid road construction across areas of heathland or within 40 m of heathlands unless no reasonable alternative exists.  </w:t>
            </w:r>
          </w:p>
        </w:tc>
      </w:tr>
      <w:tr w:rsidR="00D27DDC" w14:paraId="13905415" w14:textId="77777777" w:rsidTr="00523E3C">
        <w:tc>
          <w:tcPr>
            <w:tcW w:w="391" w:type="pct"/>
            <w:shd w:val="clear" w:color="auto" w:fill="FFFFCC"/>
          </w:tcPr>
          <w:p w14:paraId="440F182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21D92AB" w14:textId="77777777" w:rsidR="00D27DDC" w:rsidRDefault="00D27DDC" w:rsidP="00D27DDC">
            <w:pPr>
              <w:pStyle w:val="Tablesmalltext"/>
            </w:pPr>
            <w:r w:rsidRPr="00730D0F">
              <w:rPr>
                <w:color w:val="000000"/>
                <w:lang w:val="en-AU" w:eastAsia="en-AU"/>
              </w:rPr>
              <w:t xml:space="preserve">4.4.2.2 In the Gippsland FMAs, exclude Wet Heathland, Clay Heathland and Riparian Scrub Mosaic EVCs from harvesting. Protect these heathland EVCs with a 40 m buffer.  </w:t>
            </w:r>
          </w:p>
        </w:tc>
      </w:tr>
      <w:tr w:rsidR="00D27DDC" w14:paraId="2F5DCDD7" w14:textId="77777777" w:rsidTr="00523E3C">
        <w:tc>
          <w:tcPr>
            <w:tcW w:w="391" w:type="pct"/>
            <w:shd w:val="clear" w:color="auto" w:fill="FFFFCC"/>
          </w:tcPr>
          <w:p w14:paraId="22F678A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48076E3" w14:textId="77777777" w:rsidR="00D27DDC" w:rsidRDefault="00D27DDC" w:rsidP="00D27DDC">
            <w:pPr>
              <w:pStyle w:val="Tablesmalltext"/>
            </w:pPr>
            <w:r w:rsidRPr="00730D0F">
              <w:rPr>
                <w:color w:val="000000"/>
                <w:lang w:val="en-AU" w:eastAsia="en-AU"/>
              </w:rPr>
              <w:t xml:space="preserve">4.4.2.3 In the East Gippsland FMA and Otway FMA where evidence of heathland is found in the field and it isn’t already classified as SPZ, application must be made to the Secretary or delegate prior to commencement of the timber harvesting operation to create an SPZ in accordance with table 7 in Appendix 5 the Planning Standards.    </w:t>
            </w:r>
          </w:p>
        </w:tc>
      </w:tr>
      <w:tr w:rsidR="00D27DDC" w14:paraId="05E9B954" w14:textId="77777777" w:rsidTr="00D27DDC">
        <w:tc>
          <w:tcPr>
            <w:tcW w:w="391" w:type="pct"/>
          </w:tcPr>
          <w:p w14:paraId="3CAE6FB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16.01</w:t>
            </w:r>
          </w:p>
        </w:tc>
        <w:tc>
          <w:tcPr>
            <w:tcW w:w="3488" w:type="pct"/>
          </w:tcPr>
          <w:p w14:paraId="0B01C689" w14:textId="77777777" w:rsidR="00D27DDC" w:rsidRPr="00730D0F" w:rsidRDefault="00D27DDC" w:rsidP="00D27DDC">
            <w:pPr>
              <w:pStyle w:val="Tablesmalltext"/>
              <w:rPr>
                <w:color w:val="000000"/>
                <w:lang w:val="en-AU" w:eastAsia="en-AU"/>
              </w:rPr>
            </w:pPr>
            <w:r w:rsidRPr="00730D0F">
              <w:rPr>
                <w:color w:val="000000"/>
                <w:lang w:val="en-AU" w:eastAsia="en-AU"/>
              </w:rPr>
              <w:t>If a road was constructed through or within 40 m of a heathland EVC, ITAO, was it reasonably practicable to construct the road in another location?</w:t>
            </w:r>
          </w:p>
        </w:tc>
        <w:tc>
          <w:tcPr>
            <w:tcW w:w="599" w:type="pct"/>
          </w:tcPr>
          <w:p w14:paraId="5E2A2892" w14:textId="77777777" w:rsidR="00D27DDC" w:rsidRDefault="00D27DDC" w:rsidP="00D27DDC">
            <w:pPr>
              <w:pStyle w:val="Tablesmalltext"/>
              <w:jc w:val="center"/>
            </w:pPr>
            <w:r w:rsidRPr="00B9153B">
              <w:t>No applicable coupes</w:t>
            </w:r>
          </w:p>
        </w:tc>
        <w:tc>
          <w:tcPr>
            <w:tcW w:w="522" w:type="pct"/>
          </w:tcPr>
          <w:p w14:paraId="126348BA" w14:textId="77777777" w:rsidR="00D27DDC" w:rsidRDefault="00D27DDC" w:rsidP="00D27DDC">
            <w:pPr>
              <w:pStyle w:val="Tablesmalltext"/>
              <w:jc w:val="center"/>
            </w:pPr>
            <w:r w:rsidRPr="005A3624">
              <w:t>B</w:t>
            </w:r>
            <w:r>
              <w:t>,C</w:t>
            </w:r>
          </w:p>
        </w:tc>
      </w:tr>
      <w:tr w:rsidR="00D27DDC" w14:paraId="05A29FFF" w14:textId="77777777" w:rsidTr="00D27DDC">
        <w:tc>
          <w:tcPr>
            <w:tcW w:w="391" w:type="pct"/>
          </w:tcPr>
          <w:p w14:paraId="7277700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16.02</w:t>
            </w:r>
          </w:p>
        </w:tc>
        <w:tc>
          <w:tcPr>
            <w:tcW w:w="3488" w:type="pct"/>
          </w:tcPr>
          <w:p w14:paraId="6B10C1CF" w14:textId="77777777" w:rsidR="00D27DDC" w:rsidRPr="00730D0F" w:rsidRDefault="00D27DDC" w:rsidP="00D27DDC">
            <w:pPr>
              <w:pStyle w:val="Tablesmalltext"/>
              <w:rPr>
                <w:color w:val="000000"/>
                <w:lang w:val="en-AU" w:eastAsia="en-AU"/>
              </w:rPr>
            </w:pPr>
            <w:r w:rsidRPr="00730D0F">
              <w:rPr>
                <w:color w:val="000000"/>
                <w:lang w:val="en-AU" w:eastAsia="en-AU"/>
              </w:rPr>
              <w:t>In the Gippsland FMAs, if present, has harvesting been carried out in or within 40 m of one of the heathland EVCs listed in 4.4.2.2?</w:t>
            </w:r>
          </w:p>
        </w:tc>
        <w:tc>
          <w:tcPr>
            <w:tcW w:w="599" w:type="pct"/>
          </w:tcPr>
          <w:p w14:paraId="7CE80E51" w14:textId="77777777" w:rsidR="00D27DDC" w:rsidRDefault="00D27DDC" w:rsidP="00D27DDC">
            <w:pPr>
              <w:pStyle w:val="Tablesmalltext"/>
              <w:jc w:val="center"/>
            </w:pPr>
            <w:r w:rsidRPr="00B9153B">
              <w:t>No applicable coupes</w:t>
            </w:r>
          </w:p>
        </w:tc>
        <w:tc>
          <w:tcPr>
            <w:tcW w:w="522" w:type="pct"/>
          </w:tcPr>
          <w:p w14:paraId="6D7A3DD2" w14:textId="77777777" w:rsidR="00D27DDC" w:rsidRDefault="00D27DDC" w:rsidP="00D27DDC">
            <w:pPr>
              <w:pStyle w:val="Tablesmalltext"/>
              <w:jc w:val="center"/>
            </w:pPr>
            <w:r w:rsidRPr="005A3624">
              <w:t>B</w:t>
            </w:r>
          </w:p>
        </w:tc>
      </w:tr>
      <w:tr w:rsidR="00D27DDC" w14:paraId="23CB9BE5" w14:textId="77777777" w:rsidTr="00D27DDC">
        <w:tc>
          <w:tcPr>
            <w:tcW w:w="391" w:type="pct"/>
          </w:tcPr>
          <w:p w14:paraId="4AE0B31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16.03</w:t>
            </w:r>
          </w:p>
        </w:tc>
        <w:tc>
          <w:tcPr>
            <w:tcW w:w="3488" w:type="pct"/>
          </w:tcPr>
          <w:p w14:paraId="2943F8DD" w14:textId="77777777" w:rsidR="00D27DDC" w:rsidRPr="00730D0F" w:rsidRDefault="00D27DDC" w:rsidP="00D27DDC">
            <w:pPr>
              <w:pStyle w:val="Tablesmalltext"/>
              <w:rPr>
                <w:color w:val="000000"/>
                <w:lang w:val="en-AU" w:eastAsia="en-AU"/>
              </w:rPr>
            </w:pPr>
            <w:r w:rsidRPr="00730D0F">
              <w:rPr>
                <w:color w:val="000000"/>
                <w:lang w:val="en-AU" w:eastAsia="en-AU"/>
              </w:rPr>
              <w:t>In the EG FMA, if evidence of heathland was found in the coupe and it was not already classified as SPZ, has application been made to the Secretary to create an SPZ in accordance with Table 7 in Appendix 5 the Planning Standards?</w:t>
            </w:r>
          </w:p>
        </w:tc>
        <w:tc>
          <w:tcPr>
            <w:tcW w:w="599" w:type="pct"/>
          </w:tcPr>
          <w:p w14:paraId="2FAEF8E6" w14:textId="77777777" w:rsidR="00D27DDC" w:rsidRDefault="00D27DDC" w:rsidP="00D27DDC">
            <w:pPr>
              <w:pStyle w:val="Tablesmalltext"/>
              <w:jc w:val="center"/>
            </w:pPr>
            <w:r w:rsidRPr="00B9153B">
              <w:t>No applicable coupes</w:t>
            </w:r>
          </w:p>
        </w:tc>
        <w:tc>
          <w:tcPr>
            <w:tcW w:w="522" w:type="pct"/>
          </w:tcPr>
          <w:p w14:paraId="668F5563" w14:textId="77777777" w:rsidR="00D27DDC" w:rsidRDefault="00D27DDC" w:rsidP="00D27DDC">
            <w:pPr>
              <w:pStyle w:val="Tablesmalltext"/>
              <w:jc w:val="center"/>
            </w:pPr>
            <w:r w:rsidRPr="005A3624">
              <w:t>B</w:t>
            </w:r>
          </w:p>
        </w:tc>
      </w:tr>
      <w:tr w:rsidR="00D27DDC" w14:paraId="144AF9F2" w14:textId="77777777" w:rsidTr="00D27DDC">
        <w:tc>
          <w:tcPr>
            <w:tcW w:w="391" w:type="pct"/>
          </w:tcPr>
          <w:p w14:paraId="55286D5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16.04</w:t>
            </w:r>
          </w:p>
        </w:tc>
        <w:tc>
          <w:tcPr>
            <w:tcW w:w="3488" w:type="pct"/>
          </w:tcPr>
          <w:p w14:paraId="0AF88C70" w14:textId="77777777" w:rsidR="00D27DDC" w:rsidRPr="00730D0F" w:rsidRDefault="00D27DDC" w:rsidP="00D27DDC">
            <w:pPr>
              <w:pStyle w:val="Tablesmalltext"/>
              <w:rPr>
                <w:color w:val="000000"/>
                <w:lang w:val="en-AU" w:eastAsia="en-AU"/>
              </w:rPr>
            </w:pPr>
            <w:r w:rsidRPr="00730D0F">
              <w:rPr>
                <w:color w:val="000000"/>
                <w:lang w:val="en-AU" w:eastAsia="en-AU"/>
              </w:rPr>
              <w:t>Have the SPZ conditions been followed in the management of harvesting?</w:t>
            </w:r>
          </w:p>
        </w:tc>
        <w:tc>
          <w:tcPr>
            <w:tcW w:w="599" w:type="pct"/>
          </w:tcPr>
          <w:p w14:paraId="7C305DA1" w14:textId="77777777" w:rsidR="00D27DDC" w:rsidRDefault="00D27DDC" w:rsidP="00D27DDC">
            <w:pPr>
              <w:pStyle w:val="Tablesmalltext"/>
              <w:jc w:val="center"/>
            </w:pPr>
            <w:r w:rsidRPr="00B9153B">
              <w:t>No applicable coupes</w:t>
            </w:r>
          </w:p>
        </w:tc>
        <w:tc>
          <w:tcPr>
            <w:tcW w:w="522" w:type="pct"/>
          </w:tcPr>
          <w:p w14:paraId="6684EB7D" w14:textId="77777777" w:rsidR="00D27DDC" w:rsidRDefault="00D27DDC" w:rsidP="00D27DDC">
            <w:pPr>
              <w:pStyle w:val="Tablesmalltext"/>
              <w:jc w:val="center"/>
            </w:pPr>
            <w:r w:rsidRPr="005A3624">
              <w:t>B</w:t>
            </w:r>
          </w:p>
        </w:tc>
      </w:tr>
      <w:tr w:rsidR="00D27DDC" w14:paraId="15DDD043" w14:textId="77777777" w:rsidTr="00523E3C">
        <w:tc>
          <w:tcPr>
            <w:tcW w:w="391" w:type="pct"/>
            <w:shd w:val="clear" w:color="auto" w:fill="FFFFCC"/>
          </w:tcPr>
          <w:p w14:paraId="1B63831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M</w:t>
            </w:r>
          </w:p>
        </w:tc>
        <w:tc>
          <w:tcPr>
            <w:tcW w:w="4609" w:type="pct"/>
            <w:gridSpan w:val="3"/>
            <w:shd w:val="clear" w:color="auto" w:fill="FFFFCC"/>
          </w:tcPr>
          <w:p w14:paraId="53A902D0" w14:textId="77777777" w:rsidR="00D27DDC" w:rsidRDefault="00D27DDC" w:rsidP="00D27DDC">
            <w:pPr>
              <w:pStyle w:val="Tablesmalltext"/>
            </w:pPr>
            <w:r w:rsidRPr="00730D0F">
              <w:rPr>
                <w:i/>
                <w:iCs/>
                <w:color w:val="000000"/>
                <w:lang w:val="en-AU" w:eastAsia="en-AU"/>
              </w:rPr>
              <w:t>MSP 4.4.3 Montane Riparian Thicket</w:t>
            </w:r>
          </w:p>
        </w:tc>
      </w:tr>
      <w:tr w:rsidR="00D27DDC" w14:paraId="7D01EE61" w14:textId="77777777" w:rsidTr="00523E3C">
        <w:tc>
          <w:tcPr>
            <w:tcW w:w="391" w:type="pct"/>
            <w:shd w:val="clear" w:color="auto" w:fill="FFFFCC"/>
          </w:tcPr>
          <w:p w14:paraId="798B66F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3FAF124" w14:textId="77777777" w:rsidR="00D27DDC" w:rsidRDefault="00D27DDC" w:rsidP="00D27DDC">
            <w:pPr>
              <w:pStyle w:val="Tablesmalltext"/>
            </w:pPr>
            <w:r w:rsidRPr="00730D0F">
              <w:rPr>
                <w:color w:val="000000"/>
                <w:lang w:val="en-AU" w:eastAsia="en-AU"/>
              </w:rPr>
              <w:t xml:space="preserve">4.4.3.1 In the Tambo FMA protect small stands of MRT between 0.01 ha and 0.5 ha and less than 10 m wide with a 10 m filter strip and stands of MRT wider than 10 m with a 20 m wide filter strip. </w:t>
            </w:r>
          </w:p>
        </w:tc>
      </w:tr>
      <w:tr w:rsidR="00D27DDC" w14:paraId="20A0363A" w14:textId="77777777" w:rsidTr="00523E3C">
        <w:tc>
          <w:tcPr>
            <w:tcW w:w="391" w:type="pct"/>
            <w:shd w:val="clear" w:color="auto" w:fill="FFFFCC"/>
          </w:tcPr>
          <w:p w14:paraId="4E230CA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1A84D0A" w14:textId="77777777" w:rsidR="00D27DDC" w:rsidRDefault="00D27DDC" w:rsidP="00D27DDC">
            <w:pPr>
              <w:pStyle w:val="Tablesmalltext"/>
            </w:pPr>
            <w:r w:rsidRPr="00730D0F">
              <w:rPr>
                <w:color w:val="000000"/>
                <w:lang w:val="en-AU" w:eastAsia="en-AU"/>
              </w:rPr>
              <w:t xml:space="preserve">4.4.3.2 In all other FMAs apply the heathland prescriptions listed above in 3.4.2 (sic – actually 4.4.2). </w:t>
            </w:r>
          </w:p>
        </w:tc>
      </w:tr>
      <w:tr w:rsidR="00D27DDC" w14:paraId="76FEA34B" w14:textId="77777777" w:rsidTr="00D27DDC">
        <w:tc>
          <w:tcPr>
            <w:tcW w:w="391" w:type="pct"/>
          </w:tcPr>
          <w:p w14:paraId="3D4D0E6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16.05</w:t>
            </w:r>
          </w:p>
        </w:tc>
        <w:tc>
          <w:tcPr>
            <w:tcW w:w="3488" w:type="pct"/>
            <w:vAlign w:val="center"/>
          </w:tcPr>
          <w:p w14:paraId="502DB219" w14:textId="77777777" w:rsidR="00D27DDC" w:rsidRPr="00730D0F" w:rsidRDefault="00D27DDC" w:rsidP="00D27DDC">
            <w:pPr>
              <w:pStyle w:val="Tablesmalltext"/>
              <w:rPr>
                <w:color w:val="000000"/>
                <w:lang w:val="en-AU" w:eastAsia="en-AU"/>
              </w:rPr>
            </w:pPr>
            <w:r w:rsidRPr="00730D0F">
              <w:rPr>
                <w:color w:val="000000"/>
                <w:lang w:val="en-AU" w:eastAsia="en-AU"/>
              </w:rPr>
              <w:t>In Tambo FMA, were the prescribed protections from harvesting (in MSP4.4.3.1) provided for any small MRT stands (as defined in MSP 4.4.3.3) present within the coupe?</w:t>
            </w:r>
          </w:p>
        </w:tc>
        <w:tc>
          <w:tcPr>
            <w:tcW w:w="599" w:type="pct"/>
          </w:tcPr>
          <w:p w14:paraId="04164386" w14:textId="77777777" w:rsidR="00D27DDC" w:rsidRDefault="00D27DDC" w:rsidP="00D27DDC">
            <w:pPr>
              <w:pStyle w:val="Tablesmalltext"/>
              <w:jc w:val="center"/>
            </w:pPr>
            <w:r>
              <w:t>100%</w:t>
            </w:r>
          </w:p>
        </w:tc>
        <w:tc>
          <w:tcPr>
            <w:tcW w:w="522" w:type="pct"/>
          </w:tcPr>
          <w:p w14:paraId="6529285F" w14:textId="77777777" w:rsidR="00D27DDC" w:rsidRDefault="00D27DDC" w:rsidP="00D27DDC">
            <w:pPr>
              <w:pStyle w:val="Tablesmalltext"/>
              <w:jc w:val="center"/>
            </w:pPr>
            <w:r w:rsidRPr="000D7458">
              <w:t>B</w:t>
            </w:r>
          </w:p>
        </w:tc>
      </w:tr>
      <w:tr w:rsidR="00D27DDC" w14:paraId="28E7E627" w14:textId="77777777" w:rsidTr="00D27DDC">
        <w:tc>
          <w:tcPr>
            <w:tcW w:w="391" w:type="pct"/>
          </w:tcPr>
          <w:p w14:paraId="21CB6BD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16.06</w:t>
            </w:r>
          </w:p>
        </w:tc>
        <w:tc>
          <w:tcPr>
            <w:tcW w:w="3488" w:type="pct"/>
            <w:vAlign w:val="center"/>
          </w:tcPr>
          <w:p w14:paraId="13F4A053" w14:textId="77777777" w:rsidR="00D27DDC" w:rsidRPr="00730D0F" w:rsidRDefault="00D27DDC" w:rsidP="00D27DDC">
            <w:pPr>
              <w:pStyle w:val="Tablesmalltext"/>
              <w:rPr>
                <w:color w:val="000000"/>
                <w:lang w:val="en-AU" w:eastAsia="en-AU"/>
              </w:rPr>
            </w:pPr>
            <w:r w:rsidRPr="00730D0F">
              <w:rPr>
                <w:color w:val="000000"/>
                <w:lang w:val="en-AU" w:eastAsia="en-AU"/>
              </w:rPr>
              <w:t>In FMAs other than Tambo, if stands of MRT are present and a road has been constructed through or within 50 m, was it reasonably practical to have constructed the road in an alternative location?</w:t>
            </w:r>
          </w:p>
        </w:tc>
        <w:tc>
          <w:tcPr>
            <w:tcW w:w="599" w:type="pct"/>
          </w:tcPr>
          <w:p w14:paraId="2AB750BE" w14:textId="77777777" w:rsidR="00D27DDC" w:rsidRDefault="00D27DDC" w:rsidP="00D27DDC">
            <w:pPr>
              <w:pStyle w:val="Tablesmalltext"/>
              <w:jc w:val="center"/>
            </w:pPr>
            <w:r>
              <w:t>100%</w:t>
            </w:r>
          </w:p>
        </w:tc>
        <w:tc>
          <w:tcPr>
            <w:tcW w:w="522" w:type="pct"/>
          </w:tcPr>
          <w:p w14:paraId="55A15287" w14:textId="77777777" w:rsidR="00D27DDC" w:rsidRDefault="00D27DDC" w:rsidP="00D27DDC">
            <w:pPr>
              <w:pStyle w:val="Tablesmalltext"/>
              <w:jc w:val="center"/>
            </w:pPr>
            <w:r w:rsidRPr="000D7458">
              <w:t>B</w:t>
            </w:r>
          </w:p>
        </w:tc>
      </w:tr>
      <w:tr w:rsidR="00D27DDC" w14:paraId="550589AE" w14:textId="77777777" w:rsidTr="00523E3C">
        <w:tc>
          <w:tcPr>
            <w:tcW w:w="391" w:type="pct"/>
            <w:shd w:val="clear" w:color="auto" w:fill="FFFFCC"/>
          </w:tcPr>
          <w:p w14:paraId="6375293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0BB85B7" w14:textId="77777777" w:rsidR="00D27DDC" w:rsidRDefault="00D27DDC" w:rsidP="00D27DDC">
            <w:pPr>
              <w:pStyle w:val="Tablesmalltext"/>
            </w:pPr>
            <w:r w:rsidRPr="00730D0F">
              <w:rPr>
                <w:i/>
                <w:iCs/>
                <w:color w:val="000000"/>
                <w:lang w:val="en-AU" w:eastAsia="en-AU"/>
              </w:rPr>
              <w:t>MSP 4.4.4 Oldgrowth</w:t>
            </w:r>
          </w:p>
        </w:tc>
      </w:tr>
      <w:tr w:rsidR="00D27DDC" w14:paraId="15D63B4D" w14:textId="77777777" w:rsidTr="00523E3C">
        <w:tc>
          <w:tcPr>
            <w:tcW w:w="391" w:type="pct"/>
            <w:shd w:val="clear" w:color="auto" w:fill="FFFFCC"/>
          </w:tcPr>
          <w:p w14:paraId="507FCDF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20E9E28" w14:textId="77777777" w:rsidR="00D27DDC" w:rsidRDefault="00D27DDC" w:rsidP="00D27DDC">
            <w:pPr>
              <w:pStyle w:val="Tablesmalltext"/>
            </w:pPr>
            <w:r w:rsidRPr="00730D0F">
              <w:rPr>
                <w:color w:val="000000"/>
                <w:lang w:val="en-AU" w:eastAsia="en-AU"/>
              </w:rPr>
              <w:t xml:space="preserve">4.4.4.1 Within the Leadbeater’s Possum range apply a 100 m buffer around all stands of modelled Ash old growth forest that are depicted in the DEPI old growth spatial layer (MOG2009.shp) and verified during field assessment by the Managing Authority or DEPI to be Ash type forest. </w:t>
            </w:r>
          </w:p>
        </w:tc>
      </w:tr>
      <w:tr w:rsidR="00D27DDC" w14:paraId="55B2BFF0" w14:textId="77777777" w:rsidTr="00D27DDC">
        <w:tc>
          <w:tcPr>
            <w:tcW w:w="391" w:type="pct"/>
          </w:tcPr>
          <w:p w14:paraId="56ADB97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17.01</w:t>
            </w:r>
          </w:p>
        </w:tc>
        <w:tc>
          <w:tcPr>
            <w:tcW w:w="3488" w:type="pct"/>
          </w:tcPr>
          <w:p w14:paraId="61B1B2F2" w14:textId="77777777" w:rsidR="00D27DDC" w:rsidRPr="00730D0F" w:rsidRDefault="00D27DDC" w:rsidP="00D27DDC">
            <w:pPr>
              <w:pStyle w:val="Tablesmalltext"/>
              <w:rPr>
                <w:color w:val="000000"/>
                <w:lang w:val="en-AU" w:eastAsia="en-AU"/>
              </w:rPr>
            </w:pPr>
            <w:r w:rsidRPr="00730D0F">
              <w:rPr>
                <w:color w:val="000000"/>
                <w:lang w:val="en-AU" w:eastAsia="en-AU"/>
              </w:rPr>
              <w:t>Have 100 m buffers been provided around all stands noted in MSP 4.4.4.1?</w:t>
            </w:r>
          </w:p>
        </w:tc>
        <w:tc>
          <w:tcPr>
            <w:tcW w:w="599" w:type="pct"/>
          </w:tcPr>
          <w:p w14:paraId="792AD324" w14:textId="77777777" w:rsidR="00D27DDC" w:rsidRDefault="00D27DDC" w:rsidP="00D27DDC">
            <w:pPr>
              <w:pStyle w:val="Tablesmalltext"/>
              <w:jc w:val="center"/>
            </w:pPr>
            <w:r>
              <w:t>No applicable coupes</w:t>
            </w:r>
          </w:p>
        </w:tc>
        <w:tc>
          <w:tcPr>
            <w:tcW w:w="522" w:type="pct"/>
          </w:tcPr>
          <w:p w14:paraId="7AF2F520" w14:textId="77777777" w:rsidR="00D27DDC" w:rsidRDefault="00D27DDC" w:rsidP="00D27DDC">
            <w:pPr>
              <w:pStyle w:val="Tablesmalltext"/>
              <w:jc w:val="center"/>
            </w:pPr>
            <w:r>
              <w:t>B</w:t>
            </w:r>
          </w:p>
        </w:tc>
      </w:tr>
      <w:tr w:rsidR="00D27DDC" w14:paraId="2C6D62C2" w14:textId="77777777" w:rsidTr="00523E3C">
        <w:tc>
          <w:tcPr>
            <w:tcW w:w="391" w:type="pct"/>
            <w:shd w:val="clear" w:color="auto" w:fill="FFFFCC"/>
          </w:tcPr>
          <w:p w14:paraId="457A490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F4F9E00" w14:textId="77777777" w:rsidR="00D27DDC" w:rsidRDefault="00D27DDC" w:rsidP="00D27DDC">
            <w:pPr>
              <w:pStyle w:val="Tablesmalltext"/>
            </w:pPr>
            <w:r w:rsidRPr="00730D0F">
              <w:rPr>
                <w:i/>
                <w:iCs/>
                <w:color w:val="000000"/>
                <w:lang w:val="en-AU" w:eastAsia="en-AU"/>
              </w:rPr>
              <w:t>MSP 4.4.9 Rainforest protection measures</w:t>
            </w:r>
          </w:p>
        </w:tc>
      </w:tr>
      <w:tr w:rsidR="00D27DDC" w14:paraId="2F94DB2E" w14:textId="77777777" w:rsidTr="00523E3C">
        <w:tc>
          <w:tcPr>
            <w:tcW w:w="391" w:type="pct"/>
            <w:shd w:val="clear" w:color="auto" w:fill="FFFFCC"/>
          </w:tcPr>
          <w:p w14:paraId="7B72709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0560899" w14:textId="77777777" w:rsidR="00D27DDC" w:rsidRDefault="00D27DDC" w:rsidP="00D27DDC">
            <w:pPr>
              <w:pStyle w:val="Tablesmalltext"/>
            </w:pPr>
            <w:r w:rsidRPr="00730D0F">
              <w:rPr>
                <w:color w:val="000000"/>
                <w:lang w:val="en-AU" w:eastAsia="en-AU"/>
              </w:rPr>
              <w:t>2.2.2.7 Rainforest communities must not be harvested.</w:t>
            </w:r>
          </w:p>
        </w:tc>
      </w:tr>
      <w:tr w:rsidR="00D27DDC" w14:paraId="0782692B" w14:textId="77777777" w:rsidTr="00523E3C">
        <w:tc>
          <w:tcPr>
            <w:tcW w:w="391" w:type="pct"/>
            <w:shd w:val="clear" w:color="auto" w:fill="FFFFCC"/>
          </w:tcPr>
          <w:p w14:paraId="7CA9487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54D74B1" w14:textId="77777777" w:rsidR="00D27DDC" w:rsidRDefault="00D27DDC" w:rsidP="00D27DDC">
            <w:pPr>
              <w:pStyle w:val="Tablesmalltext"/>
            </w:pPr>
            <w:r w:rsidRPr="00730D0F">
              <w:rPr>
                <w:color w:val="000000"/>
                <w:lang w:val="en-AU" w:eastAsia="en-AU"/>
              </w:rPr>
              <w:t xml:space="preserve">4.4.9.1 Protect all rainforest from timber harvesting operations as follows: (a) Exclude non linear stands that are 0.1 ha or more in size but less than 0.4 ha from timber harvesting operations. These stands do not require a buffer. (b) Exclude linear stands that are at least 0.1 ha but are less than 0.2 ha from timber harvesting operations. These stands do not require a buffer. (c) Exclude linear stands that are at least 0.2 ha but are less than 0.4 ha from timber harvesting operations. Protect these stands with a 20 m buffer. (d) Exclude all rainforest stands (including linear stands) equal to or exceeding 0.4 ha from timber harvesting operations. Protect these stands with a 40 m buffer except for rainforest stands in the Central Highlands FMAs and the Gippsland FMAs where 3.4.8.2 (MSP 4.4.9.2)  below must be complied with.  (e) Distribute slash away from retained rainforest stands or buffers. </w:t>
            </w:r>
          </w:p>
        </w:tc>
      </w:tr>
      <w:tr w:rsidR="00D27DDC" w14:paraId="4EE4A403" w14:textId="77777777" w:rsidTr="00D27DDC">
        <w:tc>
          <w:tcPr>
            <w:tcW w:w="391" w:type="pct"/>
          </w:tcPr>
          <w:p w14:paraId="3109594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18.01</w:t>
            </w:r>
          </w:p>
        </w:tc>
        <w:tc>
          <w:tcPr>
            <w:tcW w:w="3488" w:type="pct"/>
            <w:vAlign w:val="center"/>
          </w:tcPr>
          <w:p w14:paraId="4EB3F880" w14:textId="77777777" w:rsidR="00D27DDC" w:rsidRPr="00730D0F" w:rsidRDefault="00D27DDC" w:rsidP="00D27DDC">
            <w:pPr>
              <w:pStyle w:val="Tablesmalltext"/>
              <w:rPr>
                <w:color w:val="000000"/>
                <w:lang w:val="en-AU" w:eastAsia="en-AU"/>
              </w:rPr>
            </w:pPr>
            <w:r w:rsidRPr="00730D0F">
              <w:rPr>
                <w:color w:val="000000"/>
                <w:lang w:val="en-AU" w:eastAsia="en-AU"/>
              </w:rPr>
              <w:t>Has the existence of mapped/modelled rainforest EVC and any status as a RFSOS been noted within the FCP?</w:t>
            </w:r>
          </w:p>
        </w:tc>
        <w:tc>
          <w:tcPr>
            <w:tcW w:w="599" w:type="pct"/>
          </w:tcPr>
          <w:p w14:paraId="6951274E" w14:textId="77777777" w:rsidR="00D27DDC" w:rsidRDefault="00D27DDC" w:rsidP="00D27DDC">
            <w:pPr>
              <w:pStyle w:val="Tablesmalltext"/>
              <w:jc w:val="center"/>
            </w:pPr>
            <w:r>
              <w:t>88%</w:t>
            </w:r>
          </w:p>
        </w:tc>
        <w:tc>
          <w:tcPr>
            <w:tcW w:w="522" w:type="pct"/>
          </w:tcPr>
          <w:p w14:paraId="695DCF3F" w14:textId="77777777" w:rsidR="00D27DDC" w:rsidRDefault="00D27DDC" w:rsidP="00D27DDC">
            <w:pPr>
              <w:pStyle w:val="Tablesmalltext"/>
              <w:jc w:val="center"/>
            </w:pPr>
            <w:r w:rsidRPr="00C971C8">
              <w:t>B</w:t>
            </w:r>
          </w:p>
        </w:tc>
      </w:tr>
      <w:tr w:rsidR="00D27DDC" w14:paraId="65C47F64" w14:textId="77777777" w:rsidTr="00D27DDC">
        <w:tc>
          <w:tcPr>
            <w:tcW w:w="391" w:type="pct"/>
          </w:tcPr>
          <w:p w14:paraId="3474F82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18.09</w:t>
            </w:r>
          </w:p>
        </w:tc>
        <w:tc>
          <w:tcPr>
            <w:tcW w:w="3488" w:type="pct"/>
          </w:tcPr>
          <w:p w14:paraId="0660F40C" w14:textId="77777777" w:rsidR="00D27DDC" w:rsidRPr="00730D0F" w:rsidRDefault="00D27DDC" w:rsidP="00D27DDC">
            <w:pPr>
              <w:pStyle w:val="Tablesmalltext"/>
              <w:rPr>
                <w:color w:val="000000"/>
                <w:lang w:val="en-AU" w:eastAsia="en-AU"/>
              </w:rPr>
            </w:pPr>
            <w:r w:rsidRPr="00730D0F">
              <w:rPr>
                <w:color w:val="000000"/>
                <w:lang w:val="en-AU" w:eastAsia="en-AU"/>
              </w:rPr>
              <w:t>Has harvesting taken place within any rainforest stand (&gt;0.1ha) present in the coupe and/or any mandated buffer?</w:t>
            </w:r>
          </w:p>
        </w:tc>
        <w:tc>
          <w:tcPr>
            <w:tcW w:w="599" w:type="pct"/>
          </w:tcPr>
          <w:p w14:paraId="507F17D9" w14:textId="77777777" w:rsidR="00D27DDC" w:rsidRDefault="00D27DDC" w:rsidP="00D27DDC">
            <w:pPr>
              <w:pStyle w:val="Tablesmalltext"/>
              <w:jc w:val="center"/>
            </w:pPr>
            <w:r>
              <w:t>91%</w:t>
            </w:r>
          </w:p>
        </w:tc>
        <w:tc>
          <w:tcPr>
            <w:tcW w:w="522" w:type="pct"/>
          </w:tcPr>
          <w:p w14:paraId="36C2AF1B" w14:textId="77777777" w:rsidR="00D27DDC" w:rsidRDefault="00D27DDC" w:rsidP="00D27DDC">
            <w:pPr>
              <w:pStyle w:val="Tablesmalltext"/>
              <w:jc w:val="center"/>
            </w:pPr>
            <w:r w:rsidRPr="00C971C8">
              <w:t>B</w:t>
            </w:r>
          </w:p>
        </w:tc>
      </w:tr>
      <w:tr w:rsidR="00D27DDC" w14:paraId="32EB7918" w14:textId="77777777" w:rsidTr="00523E3C">
        <w:tc>
          <w:tcPr>
            <w:tcW w:w="391" w:type="pct"/>
            <w:shd w:val="clear" w:color="auto" w:fill="FFFFCC"/>
          </w:tcPr>
          <w:p w14:paraId="3E57FE5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0C50F5E" w14:textId="77777777" w:rsidR="00D27DDC" w:rsidRDefault="00D27DDC" w:rsidP="00D27DDC">
            <w:pPr>
              <w:pStyle w:val="Tablesmalltext"/>
            </w:pPr>
            <w:r w:rsidRPr="00730D0F">
              <w:rPr>
                <w:color w:val="000000"/>
                <w:lang w:val="en-AU" w:eastAsia="en-AU"/>
              </w:rPr>
              <w:t xml:space="preserve">4.6.1.1 Include in the SPZ all rainforest stands over 0.4 ha in area (whether already mapped or newly detected) that fall within the area categorised as National Priority 1 in the Sites of Significance for Rainforest spatial layer.  The SPZ should extend to the nearest watershed boundary. </w:t>
            </w:r>
          </w:p>
        </w:tc>
      </w:tr>
      <w:tr w:rsidR="00D27DDC" w14:paraId="50C85E92" w14:textId="77777777" w:rsidTr="00D27DDC">
        <w:tc>
          <w:tcPr>
            <w:tcW w:w="391" w:type="pct"/>
          </w:tcPr>
          <w:p w14:paraId="0E914F6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18.02</w:t>
            </w:r>
          </w:p>
        </w:tc>
        <w:tc>
          <w:tcPr>
            <w:tcW w:w="3488" w:type="pct"/>
          </w:tcPr>
          <w:p w14:paraId="77A11443" w14:textId="77777777" w:rsidR="00D27DDC" w:rsidRPr="00730D0F" w:rsidRDefault="00D27DDC" w:rsidP="00D27DDC">
            <w:pPr>
              <w:pStyle w:val="Tablesmalltext"/>
              <w:rPr>
                <w:color w:val="000000"/>
                <w:lang w:val="en-AU" w:eastAsia="en-AU"/>
              </w:rPr>
            </w:pPr>
            <w:r w:rsidRPr="00730D0F">
              <w:rPr>
                <w:color w:val="000000"/>
                <w:lang w:val="en-AU" w:eastAsia="en-AU"/>
              </w:rPr>
              <w:t>If a rainforest stand &gt;0.4 ha in area is present in a National Priority 1 RFSOS, has it been classified as SPZ?</w:t>
            </w:r>
          </w:p>
        </w:tc>
        <w:tc>
          <w:tcPr>
            <w:tcW w:w="599" w:type="pct"/>
          </w:tcPr>
          <w:p w14:paraId="79933E5B" w14:textId="77777777" w:rsidR="00D27DDC" w:rsidRDefault="00D27DDC" w:rsidP="00D27DDC">
            <w:pPr>
              <w:pStyle w:val="Tablesmalltext"/>
              <w:jc w:val="center"/>
            </w:pPr>
            <w:r>
              <w:t>No applicable coupes</w:t>
            </w:r>
          </w:p>
        </w:tc>
        <w:tc>
          <w:tcPr>
            <w:tcW w:w="522" w:type="pct"/>
          </w:tcPr>
          <w:p w14:paraId="20CC182E" w14:textId="77777777" w:rsidR="00D27DDC" w:rsidRDefault="00D27DDC" w:rsidP="00D27DDC">
            <w:pPr>
              <w:pStyle w:val="Tablesmalltext"/>
              <w:jc w:val="center"/>
            </w:pPr>
            <w:r w:rsidRPr="00E233C6">
              <w:t>B</w:t>
            </w:r>
          </w:p>
        </w:tc>
      </w:tr>
      <w:tr w:rsidR="00D27DDC" w14:paraId="3F039F7B" w14:textId="77777777" w:rsidTr="00D27DDC">
        <w:tc>
          <w:tcPr>
            <w:tcW w:w="391" w:type="pct"/>
          </w:tcPr>
          <w:p w14:paraId="31E0FA4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18.03</w:t>
            </w:r>
          </w:p>
        </w:tc>
        <w:tc>
          <w:tcPr>
            <w:tcW w:w="3488" w:type="pct"/>
          </w:tcPr>
          <w:p w14:paraId="1EEE5D92" w14:textId="77777777" w:rsidR="00D27DDC" w:rsidRPr="00730D0F" w:rsidRDefault="00D27DDC" w:rsidP="00D27DDC">
            <w:pPr>
              <w:pStyle w:val="Tablesmalltext"/>
              <w:rPr>
                <w:color w:val="000000"/>
                <w:lang w:val="en-AU" w:eastAsia="en-AU"/>
              </w:rPr>
            </w:pPr>
            <w:r w:rsidRPr="00730D0F">
              <w:rPr>
                <w:color w:val="000000"/>
                <w:lang w:val="en-AU" w:eastAsia="en-AU"/>
              </w:rPr>
              <w:t>For rainforest stands &gt;0.4 ha in area in a National Priority 1 RFSOS, does the SPZ extend to the watershed boundary?</w:t>
            </w:r>
          </w:p>
        </w:tc>
        <w:tc>
          <w:tcPr>
            <w:tcW w:w="599" w:type="pct"/>
          </w:tcPr>
          <w:p w14:paraId="39887378" w14:textId="77777777" w:rsidR="00D27DDC" w:rsidRDefault="00D27DDC" w:rsidP="00D27DDC">
            <w:pPr>
              <w:pStyle w:val="Tablesmalltext"/>
              <w:jc w:val="center"/>
            </w:pPr>
            <w:r>
              <w:t>100%</w:t>
            </w:r>
          </w:p>
        </w:tc>
        <w:tc>
          <w:tcPr>
            <w:tcW w:w="522" w:type="pct"/>
          </w:tcPr>
          <w:p w14:paraId="42C29CBC" w14:textId="77777777" w:rsidR="00D27DDC" w:rsidRDefault="00D27DDC" w:rsidP="00D27DDC">
            <w:pPr>
              <w:pStyle w:val="Tablesmalltext"/>
              <w:jc w:val="center"/>
            </w:pPr>
            <w:r w:rsidRPr="00E233C6">
              <w:t>B</w:t>
            </w:r>
          </w:p>
        </w:tc>
      </w:tr>
      <w:tr w:rsidR="00D27DDC" w14:paraId="360A0BCC" w14:textId="77777777" w:rsidTr="00523E3C">
        <w:tc>
          <w:tcPr>
            <w:tcW w:w="391" w:type="pct"/>
            <w:shd w:val="clear" w:color="auto" w:fill="FFFFCC"/>
          </w:tcPr>
          <w:p w14:paraId="0909FA9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EDF4294" w14:textId="77777777" w:rsidR="00D27DDC" w:rsidRDefault="00D27DDC" w:rsidP="00D27DDC">
            <w:pPr>
              <w:pStyle w:val="Tablesmalltext"/>
            </w:pPr>
            <w:r w:rsidRPr="00730D0F">
              <w:rPr>
                <w:color w:val="000000"/>
                <w:lang w:val="en-AU" w:eastAsia="en-AU"/>
              </w:rPr>
              <w:t xml:space="preserve">4.6.3.1 In CH FMAs, include in the SPZ all rainforest stands over 0.4 hectares in area (whether already mapped or newly detected) that fall within the area categorised as State or Regional in the  Sites of Significance for Rainforest spatial layer.   Also include in the SPZ the relevant buffer as identified  in Table 6 (Buffer widths for Rainforest Sites of Significance by category and priority). </w:t>
            </w:r>
          </w:p>
        </w:tc>
      </w:tr>
      <w:tr w:rsidR="00D27DDC" w14:paraId="267AD0C7" w14:textId="77777777" w:rsidTr="00D27DDC">
        <w:tc>
          <w:tcPr>
            <w:tcW w:w="391" w:type="pct"/>
          </w:tcPr>
          <w:p w14:paraId="3A73576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18.04</w:t>
            </w:r>
          </w:p>
        </w:tc>
        <w:tc>
          <w:tcPr>
            <w:tcW w:w="3488" w:type="pct"/>
          </w:tcPr>
          <w:p w14:paraId="75EC7FB3" w14:textId="77777777" w:rsidR="00D27DDC" w:rsidRPr="00730D0F" w:rsidRDefault="00D27DDC" w:rsidP="00D27DDC">
            <w:pPr>
              <w:pStyle w:val="Tablesmalltext"/>
              <w:rPr>
                <w:color w:val="000000"/>
                <w:lang w:val="en-AU" w:eastAsia="en-AU"/>
              </w:rPr>
            </w:pPr>
            <w:r w:rsidRPr="00730D0F">
              <w:rPr>
                <w:color w:val="000000"/>
                <w:lang w:val="en-AU" w:eastAsia="en-AU"/>
              </w:rPr>
              <w:t>In CH FMAs, have rainforest stands &gt;0.4 ha that are State or Regional RFSOS, with their buffers, been included in a SPZ?</w:t>
            </w:r>
          </w:p>
        </w:tc>
        <w:tc>
          <w:tcPr>
            <w:tcW w:w="599" w:type="pct"/>
          </w:tcPr>
          <w:p w14:paraId="0CEBF735" w14:textId="77777777" w:rsidR="00D27DDC" w:rsidRDefault="00D27DDC" w:rsidP="00D27DDC">
            <w:pPr>
              <w:pStyle w:val="Tablesmalltext"/>
              <w:jc w:val="center"/>
            </w:pPr>
            <w:r>
              <w:t>No applicable coupes</w:t>
            </w:r>
          </w:p>
        </w:tc>
        <w:tc>
          <w:tcPr>
            <w:tcW w:w="522" w:type="pct"/>
          </w:tcPr>
          <w:p w14:paraId="5377656C" w14:textId="77777777" w:rsidR="00D27DDC" w:rsidRDefault="00D27DDC" w:rsidP="00D27DDC">
            <w:pPr>
              <w:pStyle w:val="Tablesmalltext"/>
              <w:jc w:val="center"/>
            </w:pPr>
            <w:r>
              <w:t>B</w:t>
            </w:r>
          </w:p>
        </w:tc>
      </w:tr>
      <w:tr w:rsidR="00D27DDC" w14:paraId="20EDA369" w14:textId="77777777" w:rsidTr="00523E3C">
        <w:tc>
          <w:tcPr>
            <w:tcW w:w="391" w:type="pct"/>
            <w:shd w:val="clear" w:color="auto" w:fill="FFFFCC"/>
          </w:tcPr>
          <w:p w14:paraId="50A8356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01501A9" w14:textId="77777777" w:rsidR="00D27DDC" w:rsidRDefault="00D27DDC" w:rsidP="00D27DDC">
            <w:pPr>
              <w:pStyle w:val="Tablesmalltext"/>
            </w:pPr>
            <w:r w:rsidRPr="00730D0F">
              <w:rPr>
                <w:color w:val="000000"/>
                <w:lang w:val="en-AU" w:eastAsia="en-AU"/>
              </w:rPr>
              <w:t xml:space="preserve">4.6.4.1 In EG FMA, where rainforest stands coincide with linear reserves, include in the SPZ the rainforest stand plus a 100m buffer. Exceptions may apply where an alternative logical boundary exists within the buffer, for example an existing road. Avoid road construction across linear reserves containing rainforest wherever practicable. </w:t>
            </w:r>
          </w:p>
        </w:tc>
      </w:tr>
      <w:tr w:rsidR="00D27DDC" w14:paraId="01C8CF1F" w14:textId="77777777" w:rsidTr="00D27DDC">
        <w:tc>
          <w:tcPr>
            <w:tcW w:w="391" w:type="pct"/>
          </w:tcPr>
          <w:p w14:paraId="57A2C60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lastRenderedPageBreak/>
              <w:t>18.05</w:t>
            </w:r>
          </w:p>
        </w:tc>
        <w:tc>
          <w:tcPr>
            <w:tcW w:w="3488" w:type="pct"/>
          </w:tcPr>
          <w:p w14:paraId="1A935D40" w14:textId="77777777" w:rsidR="00D27DDC" w:rsidRPr="00730D0F" w:rsidRDefault="00D27DDC" w:rsidP="00D27DDC">
            <w:pPr>
              <w:pStyle w:val="Tablesmalltext"/>
              <w:rPr>
                <w:color w:val="000000"/>
                <w:lang w:val="en-AU" w:eastAsia="en-AU"/>
              </w:rPr>
            </w:pPr>
            <w:r w:rsidRPr="00730D0F">
              <w:rPr>
                <w:color w:val="000000"/>
                <w:lang w:val="en-AU" w:eastAsia="en-AU"/>
              </w:rPr>
              <w:t>In EG FMA, have rainforest stands that coincide with linear reserves, with 100 m buffer (or other logical boundary) been included in an SPZ?</w:t>
            </w:r>
          </w:p>
        </w:tc>
        <w:tc>
          <w:tcPr>
            <w:tcW w:w="599" w:type="pct"/>
          </w:tcPr>
          <w:p w14:paraId="226D12E7" w14:textId="77777777" w:rsidR="00D27DDC" w:rsidRDefault="00D27DDC" w:rsidP="00D27DDC">
            <w:pPr>
              <w:pStyle w:val="Tablesmalltext"/>
              <w:jc w:val="center"/>
            </w:pPr>
            <w:r>
              <w:t>80%</w:t>
            </w:r>
          </w:p>
        </w:tc>
        <w:tc>
          <w:tcPr>
            <w:tcW w:w="522" w:type="pct"/>
          </w:tcPr>
          <w:p w14:paraId="4D7AF9AA" w14:textId="77777777" w:rsidR="00D27DDC" w:rsidRDefault="00D27DDC" w:rsidP="00D27DDC">
            <w:pPr>
              <w:pStyle w:val="Tablesmalltext"/>
              <w:jc w:val="center"/>
            </w:pPr>
            <w:r w:rsidRPr="00F4152D">
              <w:t>B</w:t>
            </w:r>
          </w:p>
        </w:tc>
      </w:tr>
      <w:tr w:rsidR="00D27DDC" w14:paraId="01BDBFF2" w14:textId="77777777" w:rsidTr="00D27DDC">
        <w:tc>
          <w:tcPr>
            <w:tcW w:w="391" w:type="pct"/>
          </w:tcPr>
          <w:p w14:paraId="0FBE7C0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18.06</w:t>
            </w:r>
          </w:p>
        </w:tc>
        <w:tc>
          <w:tcPr>
            <w:tcW w:w="3488" w:type="pct"/>
          </w:tcPr>
          <w:p w14:paraId="19A7FE7F" w14:textId="77777777" w:rsidR="00D27DDC" w:rsidRPr="00730D0F" w:rsidRDefault="00D27DDC" w:rsidP="00D27DDC">
            <w:pPr>
              <w:pStyle w:val="Tablesmalltext"/>
              <w:rPr>
                <w:color w:val="000000"/>
                <w:lang w:val="en-AU" w:eastAsia="en-AU"/>
              </w:rPr>
            </w:pPr>
            <w:r w:rsidRPr="00730D0F">
              <w:rPr>
                <w:color w:val="000000"/>
                <w:lang w:val="en-AU" w:eastAsia="en-AU"/>
              </w:rPr>
              <w:t>If a road has been constructed through a rainforest linear reserve, was is reasonably practicable to have avoided this?</w:t>
            </w:r>
          </w:p>
        </w:tc>
        <w:tc>
          <w:tcPr>
            <w:tcW w:w="599" w:type="pct"/>
          </w:tcPr>
          <w:p w14:paraId="5CDB073B" w14:textId="77777777" w:rsidR="00D27DDC" w:rsidRDefault="00D27DDC" w:rsidP="00D27DDC">
            <w:pPr>
              <w:pStyle w:val="Tablesmalltext"/>
              <w:jc w:val="center"/>
            </w:pPr>
            <w:r>
              <w:t>No applicable coupes</w:t>
            </w:r>
          </w:p>
        </w:tc>
        <w:tc>
          <w:tcPr>
            <w:tcW w:w="522" w:type="pct"/>
          </w:tcPr>
          <w:p w14:paraId="59B14C02" w14:textId="77777777" w:rsidR="00D27DDC" w:rsidRDefault="00D27DDC" w:rsidP="00D27DDC">
            <w:pPr>
              <w:pStyle w:val="Tablesmalltext"/>
              <w:jc w:val="center"/>
            </w:pPr>
            <w:r w:rsidRPr="00F4152D">
              <w:t>B</w:t>
            </w:r>
            <w:r>
              <w:t>,C</w:t>
            </w:r>
          </w:p>
        </w:tc>
      </w:tr>
      <w:tr w:rsidR="00D27DDC" w14:paraId="54F77056" w14:textId="77777777" w:rsidTr="00523E3C">
        <w:tc>
          <w:tcPr>
            <w:tcW w:w="391" w:type="pct"/>
            <w:shd w:val="clear" w:color="auto" w:fill="FFFFCC"/>
          </w:tcPr>
          <w:p w14:paraId="67796AD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805E38D" w14:textId="77777777" w:rsidR="00D27DDC" w:rsidRDefault="00D27DDC" w:rsidP="00D27DDC">
            <w:pPr>
              <w:pStyle w:val="Tablesmalltext"/>
            </w:pPr>
            <w:r w:rsidRPr="00730D0F">
              <w:rPr>
                <w:color w:val="000000"/>
                <w:lang w:val="en-AU" w:eastAsia="en-AU"/>
              </w:rPr>
              <w:t>4.6.5.1 In the Gippsland and North East FMAs, include in the SPZ all Cool Temperate Rainforest and Warm Temperate Rainforest stands over 0.4 hectares in area (whether already mapped or newly detected) that fall within the area categorised as State or Regional in the Sites of Significance for Rainforest spatial layer. Also include in the SPZ the relevant buffer as identified below in</w:t>
            </w:r>
            <w:r>
              <w:rPr>
                <w:color w:val="000000"/>
                <w:lang w:val="en-AU" w:eastAsia="en-AU"/>
              </w:rPr>
              <w:t xml:space="preserve"> </w:t>
            </w:r>
            <w:r w:rsidRPr="00730D0F">
              <w:rPr>
                <w:color w:val="000000"/>
                <w:lang w:val="en-AU" w:eastAsia="en-AU"/>
              </w:rPr>
              <w:t xml:space="preserve">Table 6. </w:t>
            </w:r>
          </w:p>
        </w:tc>
      </w:tr>
      <w:tr w:rsidR="00D27DDC" w14:paraId="53E44AF8" w14:textId="77777777" w:rsidTr="00D27DDC">
        <w:tc>
          <w:tcPr>
            <w:tcW w:w="391" w:type="pct"/>
          </w:tcPr>
          <w:p w14:paraId="339D847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18.07</w:t>
            </w:r>
          </w:p>
        </w:tc>
        <w:tc>
          <w:tcPr>
            <w:tcW w:w="3488" w:type="pct"/>
          </w:tcPr>
          <w:p w14:paraId="3CEF67F4" w14:textId="77777777" w:rsidR="00D27DDC" w:rsidRPr="00730D0F" w:rsidRDefault="00D27DDC" w:rsidP="00D27DDC">
            <w:pPr>
              <w:pStyle w:val="Tablesmalltext"/>
              <w:rPr>
                <w:color w:val="000000"/>
                <w:lang w:val="en-AU" w:eastAsia="en-AU"/>
              </w:rPr>
            </w:pPr>
            <w:r w:rsidRPr="00730D0F">
              <w:rPr>
                <w:color w:val="000000"/>
                <w:lang w:val="en-AU" w:eastAsia="en-AU"/>
              </w:rPr>
              <w:t>In Gippsland and NE FMAs, have rainforest stands &gt;0.4 ha that are State or Regional RFSOS, with their buffers, been included in a SPZ?</w:t>
            </w:r>
          </w:p>
        </w:tc>
        <w:tc>
          <w:tcPr>
            <w:tcW w:w="599" w:type="pct"/>
          </w:tcPr>
          <w:p w14:paraId="4773C140" w14:textId="77777777" w:rsidR="00D27DDC" w:rsidRDefault="00D27DDC" w:rsidP="00D27DDC">
            <w:pPr>
              <w:pStyle w:val="Tablesmalltext"/>
              <w:jc w:val="center"/>
            </w:pPr>
            <w:r>
              <w:t>No applicable coupes</w:t>
            </w:r>
          </w:p>
        </w:tc>
        <w:tc>
          <w:tcPr>
            <w:tcW w:w="522" w:type="pct"/>
          </w:tcPr>
          <w:p w14:paraId="3EC98446" w14:textId="77777777" w:rsidR="00D27DDC" w:rsidRDefault="00D27DDC" w:rsidP="00D27DDC">
            <w:pPr>
              <w:pStyle w:val="Tablesmalltext"/>
              <w:jc w:val="center"/>
            </w:pPr>
            <w:r w:rsidRPr="00552357">
              <w:t>B</w:t>
            </w:r>
          </w:p>
        </w:tc>
      </w:tr>
      <w:tr w:rsidR="00D27DDC" w14:paraId="298FAE26" w14:textId="77777777" w:rsidTr="00D27DDC">
        <w:tc>
          <w:tcPr>
            <w:tcW w:w="391" w:type="pct"/>
          </w:tcPr>
          <w:p w14:paraId="781CE84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18.08</w:t>
            </w:r>
          </w:p>
        </w:tc>
        <w:tc>
          <w:tcPr>
            <w:tcW w:w="3488" w:type="pct"/>
          </w:tcPr>
          <w:p w14:paraId="0806EF7E" w14:textId="77777777" w:rsidR="00D27DDC" w:rsidRPr="00730D0F" w:rsidRDefault="00D27DDC" w:rsidP="00D27DDC">
            <w:pPr>
              <w:pStyle w:val="Tablesmalltext"/>
              <w:rPr>
                <w:color w:val="000000"/>
                <w:lang w:val="en-AU" w:eastAsia="en-AU"/>
              </w:rPr>
            </w:pPr>
            <w:r w:rsidRPr="00730D0F">
              <w:rPr>
                <w:color w:val="000000"/>
                <w:lang w:val="en-AU" w:eastAsia="en-AU"/>
              </w:rPr>
              <w:t>Has harvesting been excluded from rainforest SPZs and rainforest stands and their buffer areas?</w:t>
            </w:r>
          </w:p>
        </w:tc>
        <w:tc>
          <w:tcPr>
            <w:tcW w:w="599" w:type="pct"/>
          </w:tcPr>
          <w:p w14:paraId="0D1E5B37" w14:textId="77777777" w:rsidR="00D27DDC" w:rsidRDefault="00D27DDC" w:rsidP="00D27DDC">
            <w:pPr>
              <w:pStyle w:val="Tablesmalltext"/>
              <w:jc w:val="center"/>
            </w:pPr>
            <w:r>
              <w:t>50%</w:t>
            </w:r>
          </w:p>
        </w:tc>
        <w:tc>
          <w:tcPr>
            <w:tcW w:w="522" w:type="pct"/>
          </w:tcPr>
          <w:p w14:paraId="609E076C" w14:textId="77777777" w:rsidR="00D27DDC" w:rsidRDefault="00D27DDC" w:rsidP="00D27DDC">
            <w:pPr>
              <w:pStyle w:val="Tablesmalltext"/>
              <w:jc w:val="center"/>
            </w:pPr>
            <w:r w:rsidRPr="00552357">
              <w:t>B</w:t>
            </w:r>
          </w:p>
        </w:tc>
      </w:tr>
      <w:tr w:rsidR="00D27DDC" w14:paraId="3D0FFE89" w14:textId="77777777" w:rsidTr="00523E3C">
        <w:tc>
          <w:tcPr>
            <w:tcW w:w="391" w:type="pct"/>
            <w:shd w:val="clear" w:color="auto" w:fill="FFFFCC"/>
          </w:tcPr>
          <w:p w14:paraId="0818C19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8C6C8BE" w14:textId="77777777" w:rsidR="00D27DDC" w:rsidRDefault="00D27DDC" w:rsidP="00D27DDC">
            <w:pPr>
              <w:pStyle w:val="Tablesmalltext"/>
            </w:pPr>
            <w:r w:rsidRPr="00730D0F">
              <w:rPr>
                <w:color w:val="000000"/>
                <w:lang w:val="en-AU" w:eastAsia="en-AU"/>
              </w:rPr>
              <w:t>2.2.2.5 Protect areas excluded from harvesting from the impacts of timber harvesting operations.</w:t>
            </w:r>
          </w:p>
        </w:tc>
      </w:tr>
      <w:tr w:rsidR="00D27DDC" w14:paraId="1C2A4E05" w14:textId="77777777" w:rsidTr="00D27DDC">
        <w:tc>
          <w:tcPr>
            <w:tcW w:w="391" w:type="pct"/>
          </w:tcPr>
          <w:p w14:paraId="29A49B9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19.01</w:t>
            </w:r>
          </w:p>
        </w:tc>
        <w:tc>
          <w:tcPr>
            <w:tcW w:w="3488" w:type="pct"/>
          </w:tcPr>
          <w:p w14:paraId="2AF2F20A" w14:textId="77777777" w:rsidR="00D27DDC" w:rsidRPr="00730D0F" w:rsidRDefault="00D27DDC" w:rsidP="00D27DDC">
            <w:pPr>
              <w:pStyle w:val="Tablesmalltext"/>
              <w:rPr>
                <w:color w:val="000000"/>
                <w:lang w:val="en-AU" w:eastAsia="en-AU"/>
              </w:rPr>
            </w:pPr>
            <w:r w:rsidRPr="00730D0F">
              <w:rPr>
                <w:color w:val="000000"/>
                <w:lang w:val="en-AU" w:eastAsia="en-AU"/>
              </w:rPr>
              <w:t>Have areas that were intended to be excluded from harvesting been affected by impacts from timber harvesting operations, including roading and regeneration burning?</w:t>
            </w:r>
          </w:p>
        </w:tc>
        <w:tc>
          <w:tcPr>
            <w:tcW w:w="599" w:type="pct"/>
          </w:tcPr>
          <w:p w14:paraId="453C23DA" w14:textId="77777777" w:rsidR="00D27DDC" w:rsidRDefault="00D27DDC" w:rsidP="00D27DDC">
            <w:pPr>
              <w:pStyle w:val="Tablesmalltext"/>
              <w:jc w:val="center"/>
            </w:pPr>
            <w:r>
              <w:t>72%</w:t>
            </w:r>
          </w:p>
        </w:tc>
        <w:tc>
          <w:tcPr>
            <w:tcW w:w="522" w:type="pct"/>
          </w:tcPr>
          <w:p w14:paraId="2F384135" w14:textId="77777777" w:rsidR="00D27DDC" w:rsidRDefault="00D27DDC" w:rsidP="00D27DDC">
            <w:pPr>
              <w:pStyle w:val="Tablesmalltext"/>
              <w:jc w:val="center"/>
            </w:pPr>
            <w:r>
              <w:t>W,B,C</w:t>
            </w:r>
          </w:p>
        </w:tc>
      </w:tr>
      <w:tr w:rsidR="00D27DDC" w14:paraId="745EFD81" w14:textId="77777777" w:rsidTr="00523E3C">
        <w:tc>
          <w:tcPr>
            <w:tcW w:w="391" w:type="pct"/>
            <w:shd w:val="clear" w:color="auto" w:fill="FFFFCC"/>
          </w:tcPr>
          <w:p w14:paraId="1DFFDF6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C2A0DC3" w14:textId="77777777" w:rsidR="00D27DDC" w:rsidRDefault="00D27DDC" w:rsidP="00D27DDC">
            <w:pPr>
              <w:pStyle w:val="Tablesmalltext"/>
            </w:pPr>
            <w:r w:rsidRPr="00730D0F">
              <w:rPr>
                <w:color w:val="000000"/>
                <w:lang w:val="en-AU" w:eastAsia="en-AU"/>
              </w:rPr>
              <w:t>MSP4.5 Pests, weeds and diseases</w:t>
            </w:r>
          </w:p>
        </w:tc>
      </w:tr>
      <w:tr w:rsidR="00D27DDC" w14:paraId="44D05CC9" w14:textId="77777777" w:rsidTr="00523E3C">
        <w:tc>
          <w:tcPr>
            <w:tcW w:w="391" w:type="pct"/>
            <w:shd w:val="clear" w:color="auto" w:fill="FFFFCC"/>
          </w:tcPr>
          <w:p w14:paraId="7B302DE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25CFFDC" w14:textId="77777777" w:rsidR="00D27DDC" w:rsidRDefault="00D27DDC" w:rsidP="00D27DDC">
            <w:pPr>
              <w:pStyle w:val="Tablesmalltext"/>
            </w:pPr>
            <w:r w:rsidRPr="00730D0F">
              <w:rPr>
                <w:color w:val="000000"/>
                <w:lang w:val="en-AU" w:eastAsia="en-AU"/>
              </w:rPr>
              <w:t>2.2.2.13 Implement appropriate vehicle and equipment hygiene precautions when moving from areas of known pest plant, pest animal and pathogen infestations.</w:t>
            </w:r>
          </w:p>
        </w:tc>
      </w:tr>
      <w:tr w:rsidR="00D27DDC" w14:paraId="4E3F12D2" w14:textId="77777777" w:rsidTr="00523E3C">
        <w:tc>
          <w:tcPr>
            <w:tcW w:w="391" w:type="pct"/>
            <w:shd w:val="clear" w:color="auto" w:fill="FFFFCC"/>
          </w:tcPr>
          <w:p w14:paraId="088457E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82CEAF8" w14:textId="77777777" w:rsidR="00D27DDC" w:rsidRDefault="00D27DDC" w:rsidP="00D27DDC">
            <w:pPr>
              <w:pStyle w:val="Tablesmalltext"/>
            </w:pPr>
            <w:r w:rsidRPr="00730D0F">
              <w:rPr>
                <w:color w:val="000000"/>
                <w:lang w:val="en-AU" w:eastAsia="en-AU"/>
              </w:rPr>
              <w:t>4.5.1.1 Minimise the risk of introduction or movement of Cinnamon Fungus (</w:t>
            </w:r>
            <w:r w:rsidRPr="00523E3C">
              <w:rPr>
                <w:i/>
                <w:color w:val="000000"/>
                <w:lang w:val="en-AU" w:eastAsia="en-AU"/>
              </w:rPr>
              <w:t>Phytophthora cinnamomi</w:t>
            </w:r>
            <w:r w:rsidRPr="00730D0F">
              <w:rPr>
                <w:color w:val="000000"/>
                <w:lang w:val="en-AU" w:eastAsia="en-AU"/>
              </w:rPr>
              <w:t>) and Root Rot (Armillaria) from known infected areas, into uninfected areas by: (a) washing machinery before moving into uninfected areas; (b) restricting activities where the movement of soil or gravel is likely to cross from infected sites into healthy vegetation; (c) minimising the relocation or movement of infected gravel or soil during road and track construction or maintenance works, or logging operations; (d) restricting or controlling drainage water run</w:t>
            </w:r>
            <w:r w:rsidRPr="00730D0F">
              <w:rPr>
                <w:rFonts w:ascii="Cambria Math" w:hAnsi="Cambria Math" w:cs="Cambria Math"/>
                <w:color w:val="000000"/>
                <w:lang w:val="en-AU" w:eastAsia="en-AU"/>
              </w:rPr>
              <w:t>‐</w:t>
            </w:r>
            <w:r w:rsidRPr="00730D0F">
              <w:rPr>
                <w:color w:val="000000"/>
                <w:lang w:val="en-AU" w:eastAsia="en-AU"/>
              </w:rPr>
              <w:t xml:space="preserve">off from roads and tracks away from healthy vegetation; (e) testing gravel from infected areas and using only uncontaminated gravel in uninfected areas; and (f) cleaning and disinfecting vehicles, machinery, tools and equipment used in infected areas. </w:t>
            </w:r>
          </w:p>
        </w:tc>
      </w:tr>
      <w:tr w:rsidR="00D27DDC" w14:paraId="7236EB2C" w14:textId="77777777" w:rsidTr="00D27DDC">
        <w:tc>
          <w:tcPr>
            <w:tcW w:w="391" w:type="pct"/>
          </w:tcPr>
          <w:p w14:paraId="64C1DD4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20.01</w:t>
            </w:r>
          </w:p>
        </w:tc>
        <w:tc>
          <w:tcPr>
            <w:tcW w:w="3488" w:type="pct"/>
          </w:tcPr>
          <w:p w14:paraId="7C51CDB8" w14:textId="77777777" w:rsidR="00D27DDC" w:rsidRPr="00730D0F" w:rsidRDefault="00D27DDC" w:rsidP="00D27DDC">
            <w:pPr>
              <w:pStyle w:val="Tablesmalltext"/>
              <w:rPr>
                <w:color w:val="000000"/>
                <w:lang w:val="en-AU" w:eastAsia="en-AU"/>
              </w:rPr>
            </w:pPr>
            <w:r w:rsidRPr="00730D0F">
              <w:rPr>
                <w:color w:val="000000"/>
                <w:lang w:val="en-AU" w:eastAsia="en-AU"/>
              </w:rPr>
              <w:t>Does the FCP include record of the PC or Amillaria status of a coupe?</w:t>
            </w:r>
          </w:p>
        </w:tc>
        <w:tc>
          <w:tcPr>
            <w:tcW w:w="599" w:type="pct"/>
          </w:tcPr>
          <w:p w14:paraId="694DF424" w14:textId="1E0BECFC" w:rsidR="00D27DDC" w:rsidRDefault="00770074" w:rsidP="00D27DDC">
            <w:pPr>
              <w:pStyle w:val="Tablesmalltext"/>
              <w:jc w:val="center"/>
            </w:pPr>
            <w:r>
              <w:t>7</w:t>
            </w:r>
            <w:r w:rsidR="00D27DDC">
              <w:t>%</w:t>
            </w:r>
          </w:p>
        </w:tc>
        <w:tc>
          <w:tcPr>
            <w:tcW w:w="522" w:type="pct"/>
          </w:tcPr>
          <w:p w14:paraId="6E9C0349" w14:textId="77777777" w:rsidR="00D27DDC" w:rsidRDefault="00D27DDC" w:rsidP="00D27DDC">
            <w:pPr>
              <w:pStyle w:val="Tablesmalltext"/>
              <w:jc w:val="center"/>
            </w:pPr>
            <w:r w:rsidRPr="002D4FB0">
              <w:t>B</w:t>
            </w:r>
          </w:p>
        </w:tc>
      </w:tr>
      <w:tr w:rsidR="00D27DDC" w14:paraId="0D1462DD" w14:textId="77777777" w:rsidTr="00D27DDC">
        <w:tc>
          <w:tcPr>
            <w:tcW w:w="391" w:type="pct"/>
          </w:tcPr>
          <w:p w14:paraId="3FE8E74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20.02</w:t>
            </w:r>
          </w:p>
        </w:tc>
        <w:tc>
          <w:tcPr>
            <w:tcW w:w="3488" w:type="pct"/>
          </w:tcPr>
          <w:p w14:paraId="64FE5999" w14:textId="77777777" w:rsidR="00D27DDC" w:rsidRPr="00730D0F" w:rsidRDefault="00D27DDC" w:rsidP="00D27DDC">
            <w:pPr>
              <w:pStyle w:val="Tablesmalltext"/>
              <w:rPr>
                <w:color w:val="000000"/>
                <w:lang w:val="en-AU" w:eastAsia="en-AU"/>
              </w:rPr>
            </w:pPr>
            <w:r w:rsidRPr="00730D0F">
              <w:rPr>
                <w:color w:val="000000"/>
                <w:lang w:val="en-AU" w:eastAsia="en-AU"/>
              </w:rPr>
              <w:t>If a coupe is not known to be infected by PC or Armilllaria, does the coupe file have evidence that machinery moving to the coupe has been washed down prior to entry?</w:t>
            </w:r>
          </w:p>
        </w:tc>
        <w:tc>
          <w:tcPr>
            <w:tcW w:w="599" w:type="pct"/>
          </w:tcPr>
          <w:p w14:paraId="0CC0409D" w14:textId="5DC9C1B8" w:rsidR="00D27DDC" w:rsidRDefault="00770074" w:rsidP="00D27DDC">
            <w:pPr>
              <w:pStyle w:val="Tablesmalltext"/>
              <w:jc w:val="center"/>
            </w:pPr>
            <w:r>
              <w:t>57</w:t>
            </w:r>
            <w:r w:rsidR="00D27DDC">
              <w:t>%</w:t>
            </w:r>
          </w:p>
        </w:tc>
        <w:tc>
          <w:tcPr>
            <w:tcW w:w="522" w:type="pct"/>
          </w:tcPr>
          <w:p w14:paraId="467B8E71" w14:textId="77777777" w:rsidR="00D27DDC" w:rsidRDefault="00D27DDC" w:rsidP="00D27DDC">
            <w:pPr>
              <w:pStyle w:val="Tablesmalltext"/>
              <w:jc w:val="center"/>
            </w:pPr>
            <w:r w:rsidRPr="002D4FB0">
              <w:t>B</w:t>
            </w:r>
          </w:p>
        </w:tc>
      </w:tr>
      <w:tr w:rsidR="00D27DDC" w14:paraId="4F0B1820" w14:textId="77777777" w:rsidTr="00D27DDC">
        <w:tc>
          <w:tcPr>
            <w:tcW w:w="391" w:type="pct"/>
          </w:tcPr>
          <w:p w14:paraId="62217BA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20.03</w:t>
            </w:r>
          </w:p>
        </w:tc>
        <w:tc>
          <w:tcPr>
            <w:tcW w:w="3488" w:type="pct"/>
          </w:tcPr>
          <w:p w14:paraId="39914E18" w14:textId="77777777" w:rsidR="00D27DDC" w:rsidRPr="00730D0F" w:rsidRDefault="00D27DDC" w:rsidP="00D27DDC">
            <w:pPr>
              <w:pStyle w:val="Tablesmalltext"/>
              <w:rPr>
                <w:color w:val="000000"/>
                <w:lang w:val="en-AU" w:eastAsia="en-AU"/>
              </w:rPr>
            </w:pPr>
            <w:r w:rsidRPr="00730D0F">
              <w:rPr>
                <w:color w:val="000000"/>
                <w:lang w:val="en-AU" w:eastAsia="en-AU"/>
              </w:rPr>
              <w:t>If a new ICR has been constructed, is there evidence in the FCP that any gravel or other road-making materials imported to the site are from a quarry or another coupe that is known to be free of PC or Armillaria?</w:t>
            </w:r>
          </w:p>
        </w:tc>
        <w:tc>
          <w:tcPr>
            <w:tcW w:w="599" w:type="pct"/>
          </w:tcPr>
          <w:p w14:paraId="166DD0CE" w14:textId="77777777" w:rsidR="00D27DDC" w:rsidRDefault="00D27DDC" w:rsidP="00D27DDC">
            <w:pPr>
              <w:pStyle w:val="Tablesmalltext"/>
              <w:jc w:val="center"/>
            </w:pPr>
            <w:r>
              <w:t>0%</w:t>
            </w:r>
          </w:p>
        </w:tc>
        <w:tc>
          <w:tcPr>
            <w:tcW w:w="522" w:type="pct"/>
          </w:tcPr>
          <w:p w14:paraId="0DF01966" w14:textId="77777777" w:rsidR="00D27DDC" w:rsidRDefault="00D27DDC" w:rsidP="00D27DDC">
            <w:pPr>
              <w:pStyle w:val="Tablesmalltext"/>
              <w:jc w:val="center"/>
            </w:pPr>
            <w:r w:rsidRPr="002D4FB0">
              <w:t>B</w:t>
            </w:r>
            <w:r>
              <w:t>,C</w:t>
            </w:r>
          </w:p>
        </w:tc>
      </w:tr>
      <w:tr w:rsidR="00D27DDC" w14:paraId="6F587991" w14:textId="77777777" w:rsidTr="00D27DDC">
        <w:tc>
          <w:tcPr>
            <w:tcW w:w="391" w:type="pct"/>
          </w:tcPr>
          <w:p w14:paraId="77A954B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20.04</w:t>
            </w:r>
          </w:p>
        </w:tc>
        <w:tc>
          <w:tcPr>
            <w:tcW w:w="3488" w:type="pct"/>
          </w:tcPr>
          <w:p w14:paraId="36231F09" w14:textId="77777777" w:rsidR="00D27DDC" w:rsidRPr="00730D0F" w:rsidRDefault="00D27DDC" w:rsidP="00D27DDC">
            <w:pPr>
              <w:pStyle w:val="Tablesmalltext"/>
              <w:rPr>
                <w:color w:val="000000"/>
                <w:lang w:val="en-AU" w:eastAsia="en-AU"/>
              </w:rPr>
            </w:pPr>
            <w:r w:rsidRPr="00730D0F">
              <w:rPr>
                <w:color w:val="000000"/>
                <w:lang w:val="en-AU" w:eastAsia="en-AU"/>
              </w:rPr>
              <w:t>If the coupe is located in an area known to be affected by PC or Armillaria, is road drainage from infected areas diverted away from healthy vegetation?</w:t>
            </w:r>
          </w:p>
        </w:tc>
        <w:tc>
          <w:tcPr>
            <w:tcW w:w="599" w:type="pct"/>
          </w:tcPr>
          <w:p w14:paraId="7C6A652C" w14:textId="77777777" w:rsidR="00D27DDC" w:rsidRDefault="00D27DDC" w:rsidP="00D27DDC">
            <w:pPr>
              <w:pStyle w:val="Tablesmalltext"/>
              <w:jc w:val="center"/>
            </w:pPr>
            <w:r>
              <w:t>No applicable coupes</w:t>
            </w:r>
          </w:p>
        </w:tc>
        <w:tc>
          <w:tcPr>
            <w:tcW w:w="522" w:type="pct"/>
          </w:tcPr>
          <w:p w14:paraId="18B83F13" w14:textId="77777777" w:rsidR="00D27DDC" w:rsidRDefault="00D27DDC" w:rsidP="00D27DDC">
            <w:pPr>
              <w:pStyle w:val="Tablesmalltext"/>
              <w:jc w:val="center"/>
            </w:pPr>
            <w:r w:rsidRPr="002D4FB0">
              <w:t>B</w:t>
            </w:r>
            <w:r>
              <w:t>,C</w:t>
            </w:r>
          </w:p>
        </w:tc>
      </w:tr>
      <w:tr w:rsidR="00D27DDC" w14:paraId="35E0797D" w14:textId="77777777" w:rsidTr="00D27DDC">
        <w:tc>
          <w:tcPr>
            <w:tcW w:w="391" w:type="pct"/>
          </w:tcPr>
          <w:p w14:paraId="303C9C5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20.05</w:t>
            </w:r>
          </w:p>
        </w:tc>
        <w:tc>
          <w:tcPr>
            <w:tcW w:w="3488" w:type="pct"/>
          </w:tcPr>
          <w:p w14:paraId="2045DE51" w14:textId="77777777" w:rsidR="00D27DDC" w:rsidRPr="00730D0F" w:rsidRDefault="00D27DDC" w:rsidP="00D27DDC">
            <w:pPr>
              <w:pStyle w:val="Tablesmalltext"/>
              <w:rPr>
                <w:color w:val="000000"/>
                <w:lang w:val="en-AU" w:eastAsia="en-AU"/>
              </w:rPr>
            </w:pPr>
            <w:r w:rsidRPr="00730D0F">
              <w:rPr>
                <w:color w:val="000000"/>
                <w:lang w:val="en-AU" w:eastAsia="en-AU"/>
              </w:rPr>
              <w:t>If the coupe is located in an area known to be affected by PC or Armillaria, does the FCP have evidence that vehicles, machinery, tools and equipment was cleaned and disinfected prior to being removed from the coupe?</w:t>
            </w:r>
          </w:p>
        </w:tc>
        <w:tc>
          <w:tcPr>
            <w:tcW w:w="599" w:type="pct"/>
          </w:tcPr>
          <w:p w14:paraId="336E8BD0" w14:textId="77777777" w:rsidR="00D27DDC" w:rsidRDefault="00D27DDC" w:rsidP="00D27DDC">
            <w:pPr>
              <w:pStyle w:val="Tablesmalltext"/>
              <w:jc w:val="center"/>
            </w:pPr>
            <w:r>
              <w:t>No applicable coupes</w:t>
            </w:r>
          </w:p>
        </w:tc>
        <w:tc>
          <w:tcPr>
            <w:tcW w:w="522" w:type="pct"/>
          </w:tcPr>
          <w:p w14:paraId="32F681DB" w14:textId="77777777" w:rsidR="00D27DDC" w:rsidRDefault="00D27DDC" w:rsidP="00D27DDC">
            <w:pPr>
              <w:pStyle w:val="Tablesmalltext"/>
              <w:jc w:val="center"/>
            </w:pPr>
            <w:r w:rsidRPr="002D4FB0">
              <w:t>B</w:t>
            </w:r>
            <w:r>
              <w:t>,C</w:t>
            </w:r>
          </w:p>
        </w:tc>
      </w:tr>
      <w:tr w:rsidR="00D27DDC" w14:paraId="71DF3D64" w14:textId="77777777" w:rsidTr="00523E3C">
        <w:tc>
          <w:tcPr>
            <w:tcW w:w="391" w:type="pct"/>
            <w:shd w:val="clear" w:color="auto" w:fill="FFFFCC"/>
          </w:tcPr>
          <w:p w14:paraId="7FA17C7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130A2B7" w14:textId="77777777" w:rsidR="00D27DDC" w:rsidRDefault="00D27DDC" w:rsidP="00D27DDC">
            <w:pPr>
              <w:pStyle w:val="Tablesmalltext"/>
            </w:pPr>
            <w:r w:rsidRPr="00730D0F">
              <w:rPr>
                <w:color w:val="000000"/>
                <w:lang w:val="en-AU" w:eastAsia="en-AU"/>
              </w:rPr>
              <w:t>4.5.1.2 Minimise the spread of Myrtle Wilt (</w:t>
            </w:r>
            <w:r w:rsidRPr="00523E3C">
              <w:rPr>
                <w:i/>
                <w:color w:val="000000"/>
                <w:lang w:val="en-AU" w:eastAsia="en-AU"/>
              </w:rPr>
              <w:t>Chalara australis</w:t>
            </w:r>
            <w:r w:rsidRPr="00730D0F">
              <w:rPr>
                <w:color w:val="000000"/>
                <w:lang w:val="en-AU" w:eastAsia="en-AU"/>
              </w:rPr>
              <w:t>) when operating in areas where it is known to exist by:  (a) protecting individual Myrtle Beech (</w:t>
            </w:r>
            <w:r w:rsidRPr="00523E3C">
              <w:rPr>
                <w:i/>
                <w:color w:val="000000"/>
                <w:lang w:val="en-AU" w:eastAsia="en-AU"/>
              </w:rPr>
              <w:t>Nothofagus cunninghamii</w:t>
            </w:r>
            <w:r w:rsidRPr="00730D0F">
              <w:rPr>
                <w:color w:val="000000"/>
                <w:lang w:val="en-AU" w:eastAsia="en-AU"/>
              </w:rPr>
              <w:t>) trees; (b) sterilising equipment with anti</w:t>
            </w:r>
            <w:r w:rsidRPr="00730D0F">
              <w:rPr>
                <w:rFonts w:ascii="Cambria Math" w:hAnsi="Cambria Math" w:cs="Cambria Math"/>
                <w:color w:val="000000"/>
                <w:lang w:val="en-AU" w:eastAsia="en-AU"/>
              </w:rPr>
              <w:t>‐</w:t>
            </w:r>
            <w:r w:rsidRPr="00730D0F">
              <w:rPr>
                <w:color w:val="000000"/>
                <w:lang w:val="en-AU" w:eastAsia="en-AU"/>
              </w:rPr>
              <w:t>fungal agent or warm water and soap prior to moving into a new area; (c) pruning Myrtle Beech (</w:t>
            </w:r>
            <w:r w:rsidRPr="00523E3C">
              <w:rPr>
                <w:i/>
                <w:color w:val="000000"/>
                <w:lang w:val="en-AU" w:eastAsia="en-AU"/>
              </w:rPr>
              <w:t>Nothofagus cunninghamii</w:t>
            </w:r>
            <w:r w:rsidRPr="00730D0F">
              <w:rPr>
                <w:color w:val="000000"/>
                <w:lang w:val="en-AU" w:eastAsia="en-AU"/>
              </w:rPr>
              <w:t>) that are subject to ongoing damage by vehicles; and (d) immediately treating wounds on Myrtle Beech (</w:t>
            </w:r>
            <w:r w:rsidRPr="00523E3C">
              <w:rPr>
                <w:i/>
                <w:color w:val="000000"/>
                <w:lang w:val="en-AU" w:eastAsia="en-AU"/>
              </w:rPr>
              <w:t>Nothofagus cunninghamii</w:t>
            </w:r>
            <w:r w:rsidRPr="00730D0F">
              <w:rPr>
                <w:color w:val="000000"/>
                <w:lang w:val="en-AU" w:eastAsia="en-AU"/>
              </w:rPr>
              <w:t xml:space="preserve">) (including those left by pruning) with a commercial, waterproof wound sealant. </w:t>
            </w:r>
          </w:p>
        </w:tc>
      </w:tr>
      <w:tr w:rsidR="00D27DDC" w14:paraId="334FA831" w14:textId="77777777" w:rsidTr="00D27DDC">
        <w:tc>
          <w:tcPr>
            <w:tcW w:w="391" w:type="pct"/>
          </w:tcPr>
          <w:p w14:paraId="1C43095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21.01</w:t>
            </w:r>
          </w:p>
        </w:tc>
        <w:tc>
          <w:tcPr>
            <w:tcW w:w="3488" w:type="pct"/>
          </w:tcPr>
          <w:p w14:paraId="52CAD4C7" w14:textId="77777777" w:rsidR="00D27DDC" w:rsidRPr="00730D0F" w:rsidRDefault="00D27DDC" w:rsidP="00D27DDC">
            <w:pPr>
              <w:pStyle w:val="Tablesmalltext"/>
              <w:rPr>
                <w:color w:val="000000"/>
                <w:lang w:val="en-AU" w:eastAsia="en-AU"/>
              </w:rPr>
            </w:pPr>
            <w:r w:rsidRPr="00730D0F">
              <w:rPr>
                <w:color w:val="000000"/>
                <w:lang w:val="en-AU" w:eastAsia="en-AU"/>
              </w:rPr>
              <w:t>Does the FCP include record of the Myrtle Wilt status of a coupe, if there is cool temperate rainforest in the immediate vicinity?</w:t>
            </w:r>
          </w:p>
        </w:tc>
        <w:tc>
          <w:tcPr>
            <w:tcW w:w="599" w:type="pct"/>
          </w:tcPr>
          <w:p w14:paraId="4A51C5A3" w14:textId="17CE02D3" w:rsidR="00D27DDC" w:rsidRDefault="00A67C59" w:rsidP="00D27DDC">
            <w:pPr>
              <w:pStyle w:val="Tablesmalltext"/>
              <w:jc w:val="center"/>
            </w:pPr>
            <w:r>
              <w:t>0</w:t>
            </w:r>
            <w:r w:rsidR="00D27DDC">
              <w:t>%</w:t>
            </w:r>
          </w:p>
        </w:tc>
        <w:tc>
          <w:tcPr>
            <w:tcW w:w="522" w:type="pct"/>
          </w:tcPr>
          <w:p w14:paraId="3E17D4E8" w14:textId="77777777" w:rsidR="00D27DDC" w:rsidRDefault="00D27DDC" w:rsidP="00D27DDC">
            <w:pPr>
              <w:pStyle w:val="Tablesmalltext"/>
              <w:jc w:val="center"/>
            </w:pPr>
            <w:r w:rsidRPr="00BA46F4">
              <w:t>B</w:t>
            </w:r>
          </w:p>
        </w:tc>
      </w:tr>
      <w:tr w:rsidR="00D27DDC" w14:paraId="5190FB20" w14:textId="77777777" w:rsidTr="00D27DDC">
        <w:tc>
          <w:tcPr>
            <w:tcW w:w="391" w:type="pct"/>
          </w:tcPr>
          <w:p w14:paraId="11F4267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21.02</w:t>
            </w:r>
          </w:p>
        </w:tc>
        <w:tc>
          <w:tcPr>
            <w:tcW w:w="3488" w:type="pct"/>
          </w:tcPr>
          <w:p w14:paraId="5E743B5B" w14:textId="77777777" w:rsidR="00D27DDC" w:rsidRPr="00730D0F" w:rsidRDefault="00D27DDC" w:rsidP="00D27DDC">
            <w:pPr>
              <w:pStyle w:val="Tablesmalltext"/>
              <w:rPr>
                <w:color w:val="000000"/>
                <w:lang w:val="en-AU" w:eastAsia="en-AU"/>
              </w:rPr>
            </w:pPr>
            <w:r w:rsidRPr="00730D0F">
              <w:rPr>
                <w:color w:val="000000"/>
                <w:lang w:val="en-AU" w:eastAsia="en-AU"/>
              </w:rPr>
              <w:t>If the coupe is located in a Myrtle Wilt risk area, have appropriate protection measures been used to minimise the spread of the disease, as per MSP4.5.1.2?</w:t>
            </w:r>
          </w:p>
        </w:tc>
        <w:tc>
          <w:tcPr>
            <w:tcW w:w="599" w:type="pct"/>
          </w:tcPr>
          <w:p w14:paraId="2C15FEA2" w14:textId="77777777" w:rsidR="00D27DDC" w:rsidRDefault="00D27DDC" w:rsidP="00D27DDC">
            <w:pPr>
              <w:pStyle w:val="Tablesmalltext"/>
              <w:jc w:val="center"/>
            </w:pPr>
            <w:r>
              <w:t>100%</w:t>
            </w:r>
          </w:p>
        </w:tc>
        <w:tc>
          <w:tcPr>
            <w:tcW w:w="522" w:type="pct"/>
          </w:tcPr>
          <w:p w14:paraId="62D647E5" w14:textId="77777777" w:rsidR="00D27DDC" w:rsidRDefault="00D27DDC" w:rsidP="00D27DDC">
            <w:pPr>
              <w:pStyle w:val="Tablesmalltext"/>
              <w:jc w:val="center"/>
            </w:pPr>
            <w:r w:rsidRPr="00BA46F4">
              <w:t>B</w:t>
            </w:r>
          </w:p>
        </w:tc>
      </w:tr>
      <w:tr w:rsidR="00D27DDC" w14:paraId="3715978C" w14:textId="77777777" w:rsidTr="00523E3C">
        <w:tc>
          <w:tcPr>
            <w:tcW w:w="391" w:type="pct"/>
            <w:shd w:val="clear" w:color="auto" w:fill="FFFFCC"/>
          </w:tcPr>
          <w:p w14:paraId="41FED9C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M</w:t>
            </w:r>
          </w:p>
        </w:tc>
        <w:tc>
          <w:tcPr>
            <w:tcW w:w="4609" w:type="pct"/>
            <w:gridSpan w:val="3"/>
            <w:shd w:val="clear" w:color="auto" w:fill="FFFFCC"/>
          </w:tcPr>
          <w:p w14:paraId="68F5C1B8" w14:textId="77777777" w:rsidR="00D27DDC" w:rsidRDefault="00D27DDC" w:rsidP="00D27DDC">
            <w:pPr>
              <w:pStyle w:val="Tablesmalltext"/>
            </w:pPr>
            <w:r w:rsidRPr="00730D0F">
              <w:rPr>
                <w:color w:val="000000"/>
                <w:lang w:val="en-AU" w:eastAsia="en-AU"/>
              </w:rPr>
              <w:t>2.2.2.14 Implement appropriate control actions where timber harvesting operations have introduced or exacerbated a pathogen or weed.</w:t>
            </w:r>
          </w:p>
        </w:tc>
      </w:tr>
      <w:tr w:rsidR="00D27DDC" w14:paraId="4E8C9988" w14:textId="77777777" w:rsidTr="00523E3C">
        <w:tc>
          <w:tcPr>
            <w:tcW w:w="391" w:type="pct"/>
            <w:shd w:val="clear" w:color="auto" w:fill="FFFFCC"/>
          </w:tcPr>
          <w:p w14:paraId="5263985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1D7600C" w14:textId="77777777" w:rsidR="00D27DDC" w:rsidRDefault="00D27DDC" w:rsidP="00D27DDC">
            <w:pPr>
              <w:pStyle w:val="Tablesmalltext"/>
            </w:pPr>
            <w:r w:rsidRPr="00730D0F">
              <w:rPr>
                <w:color w:val="000000"/>
                <w:lang w:val="en-AU" w:eastAsia="en-AU"/>
              </w:rPr>
              <w:t>4.5.2.1 Conduct a pre</w:t>
            </w:r>
            <w:r w:rsidRPr="00730D0F">
              <w:rPr>
                <w:rFonts w:ascii="Cambria Math" w:hAnsi="Cambria Math" w:cs="Cambria Math"/>
                <w:color w:val="000000"/>
                <w:lang w:val="en-AU" w:eastAsia="en-AU"/>
              </w:rPr>
              <w:t>‐</w:t>
            </w:r>
            <w:r w:rsidRPr="00730D0F">
              <w:rPr>
                <w:color w:val="000000"/>
                <w:lang w:val="en-AU" w:eastAsia="en-AU"/>
              </w:rPr>
              <w:t xml:space="preserve">harvest assessment to determine the type and extent of weeds on the coupe and on associated access roads. </w:t>
            </w:r>
          </w:p>
        </w:tc>
      </w:tr>
      <w:tr w:rsidR="00D27DDC" w14:paraId="7AB586E9" w14:textId="77777777" w:rsidTr="00523E3C">
        <w:tc>
          <w:tcPr>
            <w:tcW w:w="391" w:type="pct"/>
            <w:shd w:val="clear" w:color="auto" w:fill="FFFFCC"/>
          </w:tcPr>
          <w:p w14:paraId="02EAC2D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34149B6" w14:textId="77777777" w:rsidR="00D27DDC" w:rsidRDefault="00D27DDC" w:rsidP="00D27DDC">
            <w:pPr>
              <w:pStyle w:val="Tablesmalltext"/>
            </w:pPr>
            <w:r w:rsidRPr="00730D0F">
              <w:rPr>
                <w:color w:val="000000"/>
                <w:lang w:val="en-AU" w:eastAsia="en-AU"/>
              </w:rPr>
              <w:t>4.5.2.2 Conduct a post-harvest assessment to determine the type and extent of weeds on the coupe and associated access roads in the first spring after completion of site preparation and establishment and during the stocking survey.</w:t>
            </w:r>
          </w:p>
        </w:tc>
      </w:tr>
      <w:tr w:rsidR="00D27DDC" w14:paraId="239006A9" w14:textId="77777777" w:rsidTr="00523E3C">
        <w:tc>
          <w:tcPr>
            <w:tcW w:w="391" w:type="pct"/>
            <w:shd w:val="clear" w:color="auto" w:fill="FFFFCC"/>
          </w:tcPr>
          <w:p w14:paraId="2105878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C2D5E85" w14:textId="77777777" w:rsidR="00D27DDC" w:rsidRDefault="00D27DDC" w:rsidP="00D27DDC">
            <w:pPr>
              <w:pStyle w:val="Tablesmalltext"/>
            </w:pPr>
            <w:r w:rsidRPr="00730D0F">
              <w:rPr>
                <w:color w:val="000000"/>
                <w:lang w:val="en-AU" w:eastAsia="en-AU"/>
              </w:rPr>
              <w:t>4.5.2.3 Where</w:t>
            </w:r>
            <w:r>
              <w:rPr>
                <w:color w:val="000000"/>
                <w:lang w:val="en-AU" w:eastAsia="en-AU"/>
              </w:rPr>
              <w:t xml:space="preserve"> </w:t>
            </w:r>
            <w:r w:rsidRPr="00730D0F">
              <w:rPr>
                <w:color w:val="000000"/>
                <w:lang w:val="en-AU" w:eastAsia="en-AU"/>
              </w:rPr>
              <w:t>the</w:t>
            </w:r>
            <w:r>
              <w:rPr>
                <w:color w:val="000000"/>
                <w:lang w:val="en-AU" w:eastAsia="en-AU"/>
              </w:rPr>
              <w:t xml:space="preserve"> </w:t>
            </w:r>
            <w:r w:rsidRPr="00730D0F">
              <w:rPr>
                <w:color w:val="000000"/>
                <w:lang w:val="en-AU" w:eastAsia="en-AU"/>
              </w:rPr>
              <w:t>assessments</w:t>
            </w:r>
            <w:r>
              <w:rPr>
                <w:color w:val="000000"/>
                <w:lang w:val="en-AU" w:eastAsia="en-AU"/>
              </w:rPr>
              <w:t xml:space="preserve"> </w:t>
            </w:r>
            <w:r w:rsidRPr="00730D0F">
              <w:rPr>
                <w:color w:val="000000"/>
                <w:lang w:val="en-AU" w:eastAsia="en-AU"/>
              </w:rPr>
              <w:t>identify</w:t>
            </w:r>
            <w:r>
              <w:rPr>
                <w:color w:val="000000"/>
                <w:lang w:val="en-AU" w:eastAsia="en-AU"/>
              </w:rPr>
              <w:t xml:space="preserve"> </w:t>
            </w:r>
            <w:r w:rsidRPr="00730D0F">
              <w:rPr>
                <w:color w:val="000000"/>
                <w:lang w:val="en-AU" w:eastAsia="en-AU"/>
              </w:rPr>
              <w:t>the</w:t>
            </w:r>
            <w:r>
              <w:rPr>
                <w:color w:val="000000"/>
                <w:lang w:val="en-AU" w:eastAsia="en-AU"/>
              </w:rPr>
              <w:t xml:space="preserve"> </w:t>
            </w:r>
            <w:r w:rsidRPr="00730D0F">
              <w:rPr>
                <w:color w:val="000000"/>
                <w:lang w:val="en-AU" w:eastAsia="en-AU"/>
              </w:rPr>
              <w:t>timber</w:t>
            </w:r>
            <w:r>
              <w:rPr>
                <w:color w:val="000000"/>
                <w:lang w:val="en-AU" w:eastAsia="en-AU"/>
              </w:rPr>
              <w:t xml:space="preserve"> </w:t>
            </w:r>
            <w:r w:rsidRPr="00730D0F">
              <w:rPr>
                <w:color w:val="000000"/>
                <w:lang w:val="en-AU" w:eastAsia="en-AU"/>
              </w:rPr>
              <w:t>harvesting</w:t>
            </w:r>
            <w:r>
              <w:rPr>
                <w:color w:val="000000"/>
                <w:lang w:val="en-AU" w:eastAsia="en-AU"/>
              </w:rPr>
              <w:t xml:space="preserve"> </w:t>
            </w:r>
            <w:r w:rsidRPr="00730D0F">
              <w:rPr>
                <w:color w:val="000000"/>
                <w:lang w:val="en-AU" w:eastAsia="en-AU"/>
              </w:rPr>
              <w:t>operation has introduced weeds, prepare a weed management</w:t>
            </w:r>
            <w:r>
              <w:rPr>
                <w:color w:val="000000"/>
                <w:lang w:val="en-AU" w:eastAsia="en-AU"/>
              </w:rPr>
              <w:t xml:space="preserve"> </w:t>
            </w:r>
            <w:r w:rsidRPr="00730D0F">
              <w:rPr>
                <w:color w:val="000000"/>
                <w:lang w:val="en-AU" w:eastAsia="en-AU"/>
              </w:rPr>
              <w:t>plan</w:t>
            </w:r>
            <w:r>
              <w:rPr>
                <w:color w:val="000000"/>
                <w:lang w:val="en-AU" w:eastAsia="en-AU"/>
              </w:rPr>
              <w:t xml:space="preserve"> </w:t>
            </w:r>
            <w:r w:rsidRPr="00730D0F">
              <w:rPr>
                <w:color w:val="000000"/>
                <w:lang w:val="en-AU" w:eastAsia="en-AU"/>
              </w:rPr>
              <w:t>and</w:t>
            </w:r>
            <w:r>
              <w:rPr>
                <w:color w:val="000000"/>
                <w:lang w:val="en-AU" w:eastAsia="en-AU"/>
              </w:rPr>
              <w:t xml:space="preserve"> </w:t>
            </w:r>
            <w:r w:rsidRPr="00730D0F">
              <w:rPr>
                <w:color w:val="000000"/>
                <w:lang w:val="en-AU" w:eastAsia="en-AU"/>
              </w:rPr>
              <w:t>implement</w:t>
            </w:r>
            <w:r>
              <w:rPr>
                <w:color w:val="000000"/>
                <w:lang w:val="en-AU" w:eastAsia="en-AU"/>
              </w:rPr>
              <w:t xml:space="preserve"> </w:t>
            </w:r>
            <w:r w:rsidRPr="00730D0F">
              <w:rPr>
                <w:color w:val="000000"/>
                <w:lang w:val="en-AU" w:eastAsia="en-AU"/>
              </w:rPr>
              <w:t>a</w:t>
            </w:r>
            <w:r>
              <w:rPr>
                <w:color w:val="000000"/>
                <w:lang w:val="en-AU" w:eastAsia="en-AU"/>
              </w:rPr>
              <w:t xml:space="preserve"> </w:t>
            </w:r>
            <w:r w:rsidRPr="00730D0F">
              <w:rPr>
                <w:color w:val="000000"/>
                <w:lang w:val="en-AU" w:eastAsia="en-AU"/>
              </w:rPr>
              <w:t>weed</w:t>
            </w:r>
            <w:r>
              <w:rPr>
                <w:color w:val="000000"/>
                <w:lang w:val="en-AU" w:eastAsia="en-AU"/>
              </w:rPr>
              <w:t xml:space="preserve"> </w:t>
            </w:r>
            <w:r w:rsidRPr="00730D0F">
              <w:rPr>
                <w:color w:val="000000"/>
                <w:lang w:val="en-AU" w:eastAsia="en-AU"/>
              </w:rPr>
              <w:t>control</w:t>
            </w:r>
            <w:r>
              <w:rPr>
                <w:color w:val="000000"/>
                <w:lang w:val="en-AU" w:eastAsia="en-AU"/>
              </w:rPr>
              <w:t xml:space="preserve"> </w:t>
            </w:r>
            <w:r w:rsidRPr="00730D0F">
              <w:rPr>
                <w:color w:val="000000"/>
                <w:lang w:val="en-AU" w:eastAsia="en-AU"/>
              </w:rPr>
              <w:t>program.</w:t>
            </w:r>
          </w:p>
        </w:tc>
      </w:tr>
      <w:tr w:rsidR="00D27DDC" w14:paraId="380B6878" w14:textId="77777777" w:rsidTr="00523E3C">
        <w:tc>
          <w:tcPr>
            <w:tcW w:w="391" w:type="pct"/>
            <w:shd w:val="clear" w:color="auto" w:fill="FFFFCC"/>
          </w:tcPr>
          <w:p w14:paraId="675C3C1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8791444" w14:textId="77777777" w:rsidR="00D27DDC" w:rsidRDefault="00D27DDC" w:rsidP="00D27DDC">
            <w:pPr>
              <w:pStyle w:val="Tablesmalltext"/>
            </w:pPr>
            <w:r w:rsidRPr="00730D0F">
              <w:rPr>
                <w:color w:val="000000"/>
                <w:lang w:val="en-AU" w:eastAsia="en-AU"/>
              </w:rPr>
              <w:t>4.5.2.4 Record any areas to be treated on a map in the FCP and mark in the field as necessary prior to treatment.</w:t>
            </w:r>
          </w:p>
        </w:tc>
      </w:tr>
      <w:tr w:rsidR="00D27DDC" w14:paraId="15322D65" w14:textId="77777777" w:rsidTr="00D27DDC">
        <w:tc>
          <w:tcPr>
            <w:tcW w:w="391" w:type="pct"/>
          </w:tcPr>
          <w:p w14:paraId="28B38F6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22.01</w:t>
            </w:r>
          </w:p>
        </w:tc>
        <w:tc>
          <w:tcPr>
            <w:tcW w:w="3488" w:type="pct"/>
          </w:tcPr>
          <w:p w14:paraId="0B91F52F" w14:textId="77777777" w:rsidR="00D27DDC" w:rsidRPr="00730D0F" w:rsidRDefault="00D27DDC" w:rsidP="00D27DDC">
            <w:pPr>
              <w:pStyle w:val="Tablesmalltext"/>
              <w:rPr>
                <w:color w:val="000000"/>
                <w:lang w:val="en-AU" w:eastAsia="en-AU"/>
              </w:rPr>
            </w:pPr>
            <w:r w:rsidRPr="00730D0F">
              <w:rPr>
                <w:color w:val="000000"/>
                <w:lang w:val="en-AU" w:eastAsia="en-AU"/>
              </w:rPr>
              <w:t xml:space="preserve">Does the FCP provide evidence that a pre-harvest assessment for weeds of the coupe and roads was undertaken? </w:t>
            </w:r>
          </w:p>
        </w:tc>
        <w:tc>
          <w:tcPr>
            <w:tcW w:w="599" w:type="pct"/>
          </w:tcPr>
          <w:p w14:paraId="7977C278" w14:textId="4B2B25FF" w:rsidR="00D27DDC" w:rsidRDefault="00770074" w:rsidP="00D27DDC">
            <w:pPr>
              <w:pStyle w:val="Tablesmalltext"/>
              <w:jc w:val="center"/>
            </w:pPr>
            <w:r>
              <w:t>100</w:t>
            </w:r>
            <w:r w:rsidR="00D27DDC">
              <w:t>%</w:t>
            </w:r>
          </w:p>
        </w:tc>
        <w:tc>
          <w:tcPr>
            <w:tcW w:w="522" w:type="pct"/>
          </w:tcPr>
          <w:p w14:paraId="026C70DB" w14:textId="77777777" w:rsidR="00D27DDC" w:rsidRDefault="00D27DDC" w:rsidP="00D27DDC">
            <w:pPr>
              <w:pStyle w:val="Tablesmalltext"/>
              <w:jc w:val="center"/>
            </w:pPr>
            <w:r>
              <w:t>B</w:t>
            </w:r>
          </w:p>
        </w:tc>
      </w:tr>
      <w:tr w:rsidR="00D27DDC" w14:paraId="754FA443" w14:textId="77777777" w:rsidTr="00D27DDC">
        <w:tc>
          <w:tcPr>
            <w:tcW w:w="391" w:type="pct"/>
          </w:tcPr>
          <w:p w14:paraId="4104392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22.02</w:t>
            </w:r>
          </w:p>
        </w:tc>
        <w:tc>
          <w:tcPr>
            <w:tcW w:w="3488" w:type="pct"/>
          </w:tcPr>
          <w:p w14:paraId="5A10BC18" w14:textId="77777777" w:rsidR="00D27DDC" w:rsidRPr="00730D0F" w:rsidRDefault="00D27DDC" w:rsidP="00D27DDC">
            <w:pPr>
              <w:pStyle w:val="Tablesmalltext"/>
              <w:rPr>
                <w:color w:val="000000"/>
                <w:lang w:val="en-AU" w:eastAsia="en-AU"/>
              </w:rPr>
            </w:pPr>
            <w:r w:rsidRPr="00730D0F">
              <w:rPr>
                <w:color w:val="000000"/>
                <w:lang w:val="en-AU" w:eastAsia="en-AU"/>
              </w:rPr>
              <w:t xml:space="preserve">If appropriate to the life cycle of the coupe (following spring after completion of site preparation and establishment) does the FCP provide evidence that a post-harvest assessment for weeds of the coupe and roads was undertaken? </w:t>
            </w:r>
          </w:p>
        </w:tc>
        <w:tc>
          <w:tcPr>
            <w:tcW w:w="599" w:type="pct"/>
          </w:tcPr>
          <w:p w14:paraId="4F0CD064" w14:textId="2D1F05DC" w:rsidR="00D27DDC" w:rsidRDefault="00770074" w:rsidP="00D27DDC">
            <w:pPr>
              <w:pStyle w:val="Tablesmalltext"/>
              <w:jc w:val="center"/>
            </w:pPr>
            <w:r>
              <w:t>100</w:t>
            </w:r>
            <w:r w:rsidR="00D27DDC">
              <w:t>% H</w:t>
            </w:r>
          </w:p>
          <w:p w14:paraId="39A366D8" w14:textId="290BCAC4" w:rsidR="00D27DDC" w:rsidRDefault="00770074" w:rsidP="00D27DDC">
            <w:pPr>
              <w:pStyle w:val="Tablesmalltext"/>
              <w:jc w:val="center"/>
            </w:pPr>
            <w:r>
              <w:t>10</w:t>
            </w:r>
            <w:r w:rsidR="00D27DDC">
              <w:t>0% R</w:t>
            </w:r>
          </w:p>
        </w:tc>
        <w:tc>
          <w:tcPr>
            <w:tcW w:w="522" w:type="pct"/>
          </w:tcPr>
          <w:p w14:paraId="4CAD3021" w14:textId="77777777" w:rsidR="00D27DDC" w:rsidRDefault="00D27DDC" w:rsidP="00D27DDC">
            <w:pPr>
              <w:pStyle w:val="Tablesmalltext"/>
              <w:jc w:val="center"/>
            </w:pPr>
            <w:r>
              <w:t>B</w:t>
            </w:r>
          </w:p>
          <w:p w14:paraId="2B1C3CA7" w14:textId="77777777" w:rsidR="00D27DDC" w:rsidRDefault="00D27DDC" w:rsidP="00D27DDC">
            <w:pPr>
              <w:pStyle w:val="Tablesmalltext"/>
              <w:jc w:val="center"/>
            </w:pPr>
            <w:r>
              <w:t>R</w:t>
            </w:r>
          </w:p>
        </w:tc>
      </w:tr>
      <w:tr w:rsidR="00D27DDC" w14:paraId="61F92487" w14:textId="77777777" w:rsidTr="00D27DDC">
        <w:tc>
          <w:tcPr>
            <w:tcW w:w="391" w:type="pct"/>
          </w:tcPr>
          <w:p w14:paraId="0B5D972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22.03</w:t>
            </w:r>
          </w:p>
        </w:tc>
        <w:tc>
          <w:tcPr>
            <w:tcW w:w="3488" w:type="pct"/>
          </w:tcPr>
          <w:p w14:paraId="207B78F9" w14:textId="77777777" w:rsidR="00D27DDC" w:rsidRPr="00730D0F" w:rsidRDefault="00D27DDC" w:rsidP="00D27DDC">
            <w:pPr>
              <w:pStyle w:val="Tablesmalltext"/>
              <w:rPr>
                <w:color w:val="000000"/>
                <w:lang w:val="en-AU" w:eastAsia="en-AU"/>
              </w:rPr>
            </w:pPr>
            <w:r w:rsidRPr="00730D0F">
              <w:rPr>
                <w:color w:val="000000"/>
                <w:lang w:val="en-AU" w:eastAsia="en-AU"/>
              </w:rPr>
              <w:t>If weed surveys suggest that timber harvesting has introduced weeds to the coupe, has a weed control plan been developed?</w:t>
            </w:r>
          </w:p>
        </w:tc>
        <w:tc>
          <w:tcPr>
            <w:tcW w:w="599" w:type="pct"/>
          </w:tcPr>
          <w:p w14:paraId="3BDCB3D6" w14:textId="77777777" w:rsidR="00D27DDC" w:rsidRDefault="00D27DDC" w:rsidP="00D27DDC">
            <w:pPr>
              <w:pStyle w:val="Tablesmalltext"/>
              <w:jc w:val="center"/>
            </w:pPr>
            <w:r w:rsidRPr="00BB5F32">
              <w:t>No applicable coupes</w:t>
            </w:r>
            <w:r>
              <w:t xml:space="preserve"> H</w:t>
            </w:r>
          </w:p>
          <w:p w14:paraId="1CEBE83E" w14:textId="2950381D" w:rsidR="00D27DDC" w:rsidRDefault="00770074" w:rsidP="00D27DDC">
            <w:pPr>
              <w:pStyle w:val="Tablesmalltext"/>
              <w:jc w:val="center"/>
            </w:pPr>
            <w:r w:rsidRPr="00BB5F32">
              <w:t>No applicable coupes</w:t>
            </w:r>
            <w:r w:rsidR="00D27DDC">
              <w:t xml:space="preserve"> R</w:t>
            </w:r>
          </w:p>
        </w:tc>
        <w:tc>
          <w:tcPr>
            <w:tcW w:w="522" w:type="pct"/>
          </w:tcPr>
          <w:p w14:paraId="213961A6" w14:textId="77777777" w:rsidR="00D27DDC" w:rsidRDefault="00D27DDC" w:rsidP="00D27DDC">
            <w:pPr>
              <w:pStyle w:val="Tablesmalltext"/>
              <w:jc w:val="center"/>
            </w:pPr>
            <w:r>
              <w:t>B</w:t>
            </w:r>
          </w:p>
          <w:p w14:paraId="3163EFF4" w14:textId="77777777" w:rsidR="00D27DDC" w:rsidRDefault="00D27DDC" w:rsidP="00D27DDC">
            <w:pPr>
              <w:pStyle w:val="Tablesmalltext"/>
              <w:jc w:val="center"/>
            </w:pPr>
            <w:r>
              <w:t>R</w:t>
            </w:r>
          </w:p>
        </w:tc>
      </w:tr>
      <w:tr w:rsidR="00D27DDC" w14:paraId="1A0705D3" w14:textId="77777777" w:rsidTr="00D27DDC">
        <w:tc>
          <w:tcPr>
            <w:tcW w:w="391" w:type="pct"/>
          </w:tcPr>
          <w:p w14:paraId="2DFB346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22.04</w:t>
            </w:r>
          </w:p>
        </w:tc>
        <w:tc>
          <w:tcPr>
            <w:tcW w:w="3488" w:type="pct"/>
          </w:tcPr>
          <w:p w14:paraId="1916E3DC" w14:textId="77777777" w:rsidR="00D27DDC" w:rsidRPr="00730D0F" w:rsidRDefault="00D27DDC" w:rsidP="00D27DDC">
            <w:pPr>
              <w:pStyle w:val="Tablesmalltext"/>
              <w:rPr>
                <w:color w:val="000000"/>
                <w:lang w:val="en-AU" w:eastAsia="en-AU"/>
              </w:rPr>
            </w:pPr>
            <w:r w:rsidRPr="00730D0F">
              <w:rPr>
                <w:color w:val="000000"/>
                <w:lang w:val="en-AU" w:eastAsia="en-AU"/>
              </w:rPr>
              <w:t>Is there evidence in the FCP of any weed control plan being implemented?</w:t>
            </w:r>
          </w:p>
        </w:tc>
        <w:tc>
          <w:tcPr>
            <w:tcW w:w="599" w:type="pct"/>
          </w:tcPr>
          <w:p w14:paraId="1E30337C" w14:textId="77777777" w:rsidR="00D27DDC" w:rsidRDefault="00D27DDC" w:rsidP="00D27DDC">
            <w:pPr>
              <w:pStyle w:val="Tablesmalltext"/>
              <w:jc w:val="center"/>
            </w:pPr>
            <w:r w:rsidRPr="00BB5F32">
              <w:t>No applicable coupes</w:t>
            </w:r>
          </w:p>
        </w:tc>
        <w:tc>
          <w:tcPr>
            <w:tcW w:w="522" w:type="pct"/>
          </w:tcPr>
          <w:p w14:paraId="3A33D73E" w14:textId="77777777" w:rsidR="00D27DDC" w:rsidRDefault="00D27DDC" w:rsidP="00D27DDC">
            <w:pPr>
              <w:pStyle w:val="Tablesmalltext"/>
              <w:jc w:val="center"/>
            </w:pPr>
            <w:r>
              <w:t>B</w:t>
            </w:r>
          </w:p>
          <w:p w14:paraId="71D52C07" w14:textId="77777777" w:rsidR="00D27DDC" w:rsidRDefault="00D27DDC" w:rsidP="00D27DDC">
            <w:pPr>
              <w:pStyle w:val="Tablesmalltext"/>
              <w:jc w:val="center"/>
            </w:pPr>
            <w:r>
              <w:t>R</w:t>
            </w:r>
          </w:p>
        </w:tc>
      </w:tr>
      <w:tr w:rsidR="00D27DDC" w:rsidRPr="00831739" w14:paraId="7FF2676B" w14:textId="77777777" w:rsidTr="00D27DDC">
        <w:tc>
          <w:tcPr>
            <w:tcW w:w="391" w:type="pct"/>
            <w:shd w:val="clear" w:color="auto" w:fill="FFEBD0" w:themeFill="accent4" w:themeFillTint="33"/>
          </w:tcPr>
          <w:p w14:paraId="1A773E1B" w14:textId="77777777" w:rsidR="00D27DDC" w:rsidRPr="00831739" w:rsidRDefault="00D27DDC" w:rsidP="00D27DDC">
            <w:pPr>
              <w:pStyle w:val="Tablesmalltext"/>
              <w:jc w:val="center"/>
              <w:rPr>
                <w:rFonts w:ascii="Calibri" w:hAnsi="Calibri" w:cs="Times New Roman"/>
                <w:b/>
                <w:color w:val="000000"/>
                <w:sz w:val="18"/>
                <w:szCs w:val="18"/>
                <w:lang w:val="en-AU" w:eastAsia="en-AU"/>
              </w:rPr>
            </w:pPr>
            <w:r w:rsidRPr="00831739">
              <w:rPr>
                <w:rFonts w:ascii="Calibri" w:hAnsi="Calibri" w:cs="Times New Roman"/>
                <w:b/>
                <w:color w:val="000000"/>
                <w:sz w:val="18"/>
                <w:szCs w:val="18"/>
                <w:lang w:val="en-AU" w:eastAsia="en-AU"/>
              </w:rPr>
              <w:t>C</w:t>
            </w:r>
          </w:p>
        </w:tc>
        <w:tc>
          <w:tcPr>
            <w:tcW w:w="4609" w:type="pct"/>
            <w:gridSpan w:val="3"/>
            <w:shd w:val="clear" w:color="auto" w:fill="FFEBD0" w:themeFill="accent4" w:themeFillTint="33"/>
          </w:tcPr>
          <w:p w14:paraId="6B964C1A" w14:textId="77777777" w:rsidR="00D27DDC" w:rsidRPr="00831739" w:rsidRDefault="00D27DDC" w:rsidP="00D27DDC">
            <w:pPr>
              <w:pStyle w:val="Tablesmalltext"/>
              <w:rPr>
                <w:b/>
              </w:rPr>
            </w:pPr>
            <w:r w:rsidRPr="00831739">
              <w:rPr>
                <w:b/>
                <w:color w:val="000000"/>
                <w:lang w:val="en-AU" w:eastAsia="en-AU"/>
              </w:rPr>
              <w:t>2.4 Roading For Timber Harvesting Operations</w:t>
            </w:r>
          </w:p>
        </w:tc>
      </w:tr>
      <w:tr w:rsidR="00D27DDC" w:rsidRPr="00831739" w14:paraId="5AF916A2" w14:textId="77777777" w:rsidTr="00D27DDC">
        <w:tc>
          <w:tcPr>
            <w:tcW w:w="391" w:type="pct"/>
            <w:shd w:val="clear" w:color="auto" w:fill="FFEBD0" w:themeFill="accent4" w:themeFillTint="33"/>
          </w:tcPr>
          <w:p w14:paraId="11767C52" w14:textId="77777777" w:rsidR="00D27DDC" w:rsidRPr="00831739" w:rsidRDefault="00D27DDC" w:rsidP="00D27DDC">
            <w:pPr>
              <w:pStyle w:val="Tablesmalltext"/>
              <w:jc w:val="center"/>
              <w:rPr>
                <w:rFonts w:ascii="Calibri" w:hAnsi="Calibri" w:cs="Times New Roman"/>
                <w:b/>
                <w:color w:val="000000"/>
                <w:sz w:val="18"/>
                <w:szCs w:val="18"/>
                <w:lang w:val="en-AU" w:eastAsia="en-AU"/>
              </w:rPr>
            </w:pPr>
            <w:r w:rsidRPr="00831739">
              <w:rPr>
                <w:rFonts w:ascii="Calibri" w:hAnsi="Calibri" w:cs="Times New Roman"/>
                <w:b/>
                <w:color w:val="000000"/>
                <w:sz w:val="18"/>
                <w:szCs w:val="18"/>
                <w:lang w:val="en-AU" w:eastAsia="en-AU"/>
              </w:rPr>
              <w:t>C</w:t>
            </w:r>
          </w:p>
        </w:tc>
        <w:tc>
          <w:tcPr>
            <w:tcW w:w="4609" w:type="pct"/>
            <w:gridSpan w:val="3"/>
            <w:shd w:val="clear" w:color="auto" w:fill="FFEBD0" w:themeFill="accent4" w:themeFillTint="33"/>
          </w:tcPr>
          <w:p w14:paraId="098C006D" w14:textId="77777777" w:rsidR="00D27DDC" w:rsidRPr="00831739" w:rsidRDefault="00D27DDC" w:rsidP="00D27DDC">
            <w:pPr>
              <w:pStyle w:val="Tablesmalltext"/>
              <w:rPr>
                <w:b/>
              </w:rPr>
            </w:pPr>
            <w:r w:rsidRPr="00831739">
              <w:rPr>
                <w:b/>
                <w:color w:val="000000"/>
                <w:lang w:val="en-AU" w:eastAsia="en-AU"/>
              </w:rPr>
              <w:t>2.4.2 Road Design</w:t>
            </w:r>
          </w:p>
        </w:tc>
      </w:tr>
      <w:tr w:rsidR="00D27DDC" w14:paraId="5FBEF5AC" w14:textId="77777777" w:rsidTr="00D27DDC">
        <w:tc>
          <w:tcPr>
            <w:tcW w:w="391" w:type="pct"/>
            <w:shd w:val="clear" w:color="auto" w:fill="FFEBD0" w:themeFill="accent4" w:themeFillTint="33"/>
          </w:tcPr>
          <w:p w14:paraId="20E6382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3B059201" w14:textId="77777777" w:rsidR="00D27DDC" w:rsidRDefault="00D27DDC" w:rsidP="00D27DDC">
            <w:pPr>
              <w:pStyle w:val="Tablesmalltext"/>
            </w:pPr>
            <w:r w:rsidRPr="00730D0F">
              <w:rPr>
                <w:color w:val="000000"/>
                <w:lang w:val="en-AU" w:eastAsia="en-AU"/>
              </w:rPr>
              <w:t>2.4.2.1 Planning and management of timber harvesting operations must comply with this Code and relevant road design measures specified within the Management Standards and Procedures unless the road is covered by a formal roading agreement with DEPI that would supersede this requirement.</w:t>
            </w:r>
          </w:p>
        </w:tc>
      </w:tr>
      <w:tr w:rsidR="00D27DDC" w14:paraId="460F370F" w14:textId="77777777" w:rsidTr="00523E3C">
        <w:tc>
          <w:tcPr>
            <w:tcW w:w="391" w:type="pct"/>
            <w:shd w:val="clear" w:color="auto" w:fill="FFFFCC"/>
          </w:tcPr>
          <w:p w14:paraId="3BE3A20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6CA9DAA" w14:textId="77777777" w:rsidR="00D27DDC" w:rsidRDefault="00D27DDC" w:rsidP="00D27DDC">
            <w:pPr>
              <w:pStyle w:val="Tablesmalltext"/>
            </w:pPr>
            <w:r w:rsidRPr="00730D0F">
              <w:rPr>
                <w:color w:val="000000"/>
                <w:lang w:val="en-AU" w:eastAsia="en-AU"/>
              </w:rPr>
              <w:t xml:space="preserve">6.1.1.3 Seek engineering advice for road alignments traversing cross slopes of </w:t>
            </w:r>
            <w:r w:rsidRPr="00730D0F">
              <w:rPr>
                <w:rFonts w:ascii="Calibri" w:hAnsi="Calibri"/>
                <w:color w:val="000000"/>
                <w:sz w:val="18"/>
                <w:szCs w:val="18"/>
                <w:lang w:val="en-AU" w:eastAsia="en-AU"/>
              </w:rPr>
              <w:t xml:space="preserve">≥30° or ≥25° </w:t>
            </w:r>
            <w:r w:rsidRPr="00730D0F">
              <w:rPr>
                <w:color w:val="000000"/>
                <w:lang w:val="en-AU" w:eastAsia="en-AU"/>
              </w:rPr>
              <w:t>in areas of high soil erodibility</w:t>
            </w:r>
          </w:p>
        </w:tc>
      </w:tr>
      <w:tr w:rsidR="00D27DDC" w14:paraId="1A74FA65" w14:textId="77777777" w:rsidTr="00D27DDC">
        <w:tc>
          <w:tcPr>
            <w:tcW w:w="391" w:type="pct"/>
          </w:tcPr>
          <w:p w14:paraId="50C00C0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23.01</w:t>
            </w:r>
          </w:p>
        </w:tc>
        <w:tc>
          <w:tcPr>
            <w:tcW w:w="3488" w:type="pct"/>
          </w:tcPr>
          <w:p w14:paraId="729AFAC7" w14:textId="77777777" w:rsidR="00D27DDC" w:rsidRPr="00730D0F" w:rsidRDefault="00D27DDC" w:rsidP="00D27DDC">
            <w:pPr>
              <w:pStyle w:val="Tablesmalltext"/>
              <w:rPr>
                <w:color w:val="000000"/>
                <w:lang w:val="en-AU" w:eastAsia="en-AU"/>
              </w:rPr>
            </w:pPr>
            <w:r w:rsidRPr="00730D0F">
              <w:rPr>
                <w:color w:val="000000"/>
                <w:lang w:val="en-AU" w:eastAsia="en-AU"/>
              </w:rPr>
              <w:t>For coupes with ICRs traversing these slopes, is there evidence in the FCP of engineering advice contributing to the design of the road?</w:t>
            </w:r>
          </w:p>
        </w:tc>
        <w:tc>
          <w:tcPr>
            <w:tcW w:w="599" w:type="pct"/>
          </w:tcPr>
          <w:p w14:paraId="3E939D01" w14:textId="77777777" w:rsidR="00D27DDC" w:rsidRDefault="00D27DDC" w:rsidP="00D27DDC">
            <w:pPr>
              <w:pStyle w:val="Tablesmalltext"/>
              <w:jc w:val="center"/>
            </w:pPr>
            <w:r>
              <w:t>No applicable coupes</w:t>
            </w:r>
          </w:p>
        </w:tc>
        <w:tc>
          <w:tcPr>
            <w:tcW w:w="522" w:type="pct"/>
          </w:tcPr>
          <w:p w14:paraId="3FFAFAD1" w14:textId="77777777" w:rsidR="00D27DDC" w:rsidRDefault="00D27DDC" w:rsidP="00D27DDC">
            <w:pPr>
              <w:pStyle w:val="Tablesmalltext"/>
              <w:jc w:val="center"/>
            </w:pPr>
            <w:r>
              <w:t>S,D</w:t>
            </w:r>
          </w:p>
        </w:tc>
      </w:tr>
      <w:tr w:rsidR="00D27DDC" w14:paraId="04D9374F" w14:textId="77777777" w:rsidTr="00523E3C">
        <w:tc>
          <w:tcPr>
            <w:tcW w:w="391" w:type="pct"/>
            <w:shd w:val="clear" w:color="auto" w:fill="FFFFCC"/>
          </w:tcPr>
          <w:p w14:paraId="14B6BFB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1E4E2AF" w14:textId="77777777" w:rsidR="00D27DDC" w:rsidRDefault="00D27DDC" w:rsidP="00D27DDC">
            <w:pPr>
              <w:pStyle w:val="Tablesmalltext"/>
            </w:pPr>
            <w:r w:rsidRPr="00730D0F">
              <w:rPr>
                <w:color w:val="000000"/>
                <w:lang w:val="en-AU" w:eastAsia="en-AU"/>
              </w:rPr>
              <w:t xml:space="preserve">6.1.1.4 Identify the intended class of a new road or road upgrade in accordance with the appropriate service function description in Appendix 4 Table 18 (Road classification system). </w:t>
            </w:r>
          </w:p>
        </w:tc>
      </w:tr>
      <w:tr w:rsidR="00D27DDC" w14:paraId="748B57C9" w14:textId="77777777" w:rsidTr="00D27DDC">
        <w:tc>
          <w:tcPr>
            <w:tcW w:w="391" w:type="pct"/>
          </w:tcPr>
          <w:p w14:paraId="1C2B7C1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23.02</w:t>
            </w:r>
          </w:p>
        </w:tc>
        <w:tc>
          <w:tcPr>
            <w:tcW w:w="3488" w:type="pct"/>
          </w:tcPr>
          <w:p w14:paraId="4B4510AB" w14:textId="77777777" w:rsidR="00D27DDC" w:rsidRPr="00730D0F" w:rsidRDefault="00D27DDC" w:rsidP="00D27DDC">
            <w:pPr>
              <w:pStyle w:val="Tablesmalltext"/>
              <w:rPr>
                <w:color w:val="000000"/>
                <w:lang w:val="en-AU" w:eastAsia="en-AU"/>
              </w:rPr>
            </w:pPr>
            <w:r w:rsidRPr="00730D0F">
              <w:rPr>
                <w:color w:val="000000"/>
                <w:lang w:val="en-AU" w:eastAsia="en-AU"/>
              </w:rPr>
              <w:t>Does the FCP specify the intended class of a new in coupe road or road upgrade in accordance with MSP Appendix 4 Table 18?</w:t>
            </w:r>
          </w:p>
        </w:tc>
        <w:tc>
          <w:tcPr>
            <w:tcW w:w="599" w:type="pct"/>
          </w:tcPr>
          <w:p w14:paraId="339D4970" w14:textId="0B55EBC4" w:rsidR="00D27DDC" w:rsidRDefault="00D27DDC" w:rsidP="00D27DDC">
            <w:pPr>
              <w:pStyle w:val="Tablesmalltext"/>
              <w:jc w:val="center"/>
            </w:pPr>
            <w:r>
              <w:t>100%</w:t>
            </w:r>
          </w:p>
        </w:tc>
        <w:tc>
          <w:tcPr>
            <w:tcW w:w="522" w:type="pct"/>
          </w:tcPr>
          <w:p w14:paraId="341714F2" w14:textId="77777777" w:rsidR="00D27DDC" w:rsidRDefault="00D27DDC" w:rsidP="00D27DDC">
            <w:pPr>
              <w:pStyle w:val="Tablesmalltext"/>
              <w:jc w:val="center"/>
            </w:pPr>
            <w:r>
              <w:t>D</w:t>
            </w:r>
          </w:p>
        </w:tc>
      </w:tr>
      <w:tr w:rsidR="00D27DDC" w14:paraId="68B52145" w14:textId="77777777" w:rsidTr="00523E3C">
        <w:tc>
          <w:tcPr>
            <w:tcW w:w="391" w:type="pct"/>
            <w:shd w:val="clear" w:color="auto" w:fill="FFFFCC"/>
          </w:tcPr>
          <w:p w14:paraId="20B3ABF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7D9C707" w14:textId="77777777" w:rsidR="00D27DDC" w:rsidRDefault="00D27DDC" w:rsidP="00D27DDC">
            <w:pPr>
              <w:pStyle w:val="Tablesmalltext"/>
            </w:pPr>
            <w:r w:rsidRPr="00730D0F">
              <w:rPr>
                <w:color w:val="000000"/>
                <w:lang w:val="en-AU" w:eastAsia="en-AU"/>
              </w:rPr>
              <w:t>6.1.2.4</w:t>
            </w:r>
            <w:r>
              <w:rPr>
                <w:color w:val="000000"/>
                <w:lang w:val="en-AU" w:eastAsia="en-AU"/>
              </w:rPr>
              <w:t xml:space="preserve"> </w:t>
            </w:r>
            <w:r w:rsidRPr="00730D0F">
              <w:rPr>
                <w:color w:val="000000"/>
                <w:lang w:val="en-AU" w:eastAsia="en-AU"/>
              </w:rPr>
              <w:t>Limit</w:t>
            </w:r>
            <w:r>
              <w:rPr>
                <w:color w:val="000000"/>
                <w:lang w:val="en-AU" w:eastAsia="en-AU"/>
              </w:rPr>
              <w:t xml:space="preserve"> </w:t>
            </w:r>
            <w:r w:rsidRPr="00730D0F">
              <w:rPr>
                <w:color w:val="000000"/>
                <w:lang w:val="en-AU" w:eastAsia="en-AU"/>
              </w:rPr>
              <w:t>clearing</w:t>
            </w:r>
            <w:r>
              <w:rPr>
                <w:color w:val="000000"/>
                <w:lang w:val="en-AU" w:eastAsia="en-AU"/>
              </w:rPr>
              <w:t xml:space="preserve"> </w:t>
            </w:r>
            <w:r w:rsidRPr="00730D0F">
              <w:rPr>
                <w:color w:val="000000"/>
                <w:lang w:val="en-AU" w:eastAsia="en-AU"/>
              </w:rPr>
              <w:t>widths</w:t>
            </w:r>
            <w:r>
              <w:rPr>
                <w:color w:val="000000"/>
                <w:lang w:val="en-AU" w:eastAsia="en-AU"/>
              </w:rPr>
              <w:t xml:space="preserve"> </w:t>
            </w:r>
            <w:r w:rsidRPr="00730D0F">
              <w:rPr>
                <w:color w:val="000000"/>
                <w:lang w:val="en-AU" w:eastAsia="en-AU"/>
              </w:rPr>
              <w:t>to</w:t>
            </w:r>
            <w:r>
              <w:rPr>
                <w:color w:val="000000"/>
                <w:lang w:val="en-AU" w:eastAsia="en-AU"/>
              </w:rPr>
              <w:t xml:space="preserve"> </w:t>
            </w:r>
            <w:r w:rsidRPr="00730D0F">
              <w:rPr>
                <w:color w:val="000000"/>
                <w:lang w:val="en-AU" w:eastAsia="en-AU"/>
              </w:rPr>
              <w:t>those</w:t>
            </w:r>
            <w:r>
              <w:rPr>
                <w:color w:val="000000"/>
                <w:lang w:val="en-AU" w:eastAsia="en-AU"/>
              </w:rPr>
              <w:t xml:space="preserve"> </w:t>
            </w:r>
            <w:r w:rsidRPr="00730D0F">
              <w:rPr>
                <w:color w:val="000000"/>
                <w:lang w:val="en-AU" w:eastAsia="en-AU"/>
              </w:rPr>
              <w:t>specified</w:t>
            </w:r>
            <w:r>
              <w:rPr>
                <w:color w:val="000000"/>
                <w:lang w:val="en-AU" w:eastAsia="en-AU"/>
              </w:rPr>
              <w:t xml:space="preserve"> </w:t>
            </w:r>
            <w:r w:rsidRPr="00730D0F">
              <w:rPr>
                <w:color w:val="000000"/>
                <w:lang w:val="en-AU" w:eastAsia="en-AU"/>
              </w:rPr>
              <w:t>in</w:t>
            </w:r>
            <w:r>
              <w:rPr>
                <w:color w:val="000000"/>
                <w:lang w:val="en-AU" w:eastAsia="en-AU"/>
              </w:rPr>
              <w:t xml:space="preserve"> </w:t>
            </w:r>
            <w:r w:rsidRPr="00730D0F">
              <w:rPr>
                <w:color w:val="000000"/>
                <w:lang w:val="en-AU" w:eastAsia="en-AU"/>
              </w:rPr>
              <w:t>MSP</w:t>
            </w:r>
            <w:r>
              <w:rPr>
                <w:color w:val="000000"/>
                <w:lang w:val="en-AU" w:eastAsia="en-AU"/>
              </w:rPr>
              <w:t xml:space="preserve"> </w:t>
            </w:r>
            <w:r w:rsidRPr="00730D0F">
              <w:rPr>
                <w:color w:val="000000"/>
                <w:lang w:val="en-AU" w:eastAsia="en-AU"/>
              </w:rPr>
              <w:t>Appendix</w:t>
            </w:r>
            <w:r>
              <w:rPr>
                <w:color w:val="000000"/>
                <w:lang w:val="en-AU" w:eastAsia="en-AU"/>
              </w:rPr>
              <w:t xml:space="preserve"> </w:t>
            </w:r>
            <w:r w:rsidRPr="00730D0F">
              <w:rPr>
                <w:color w:val="000000"/>
                <w:lang w:val="en-AU" w:eastAsia="en-AU"/>
              </w:rPr>
              <w:t>4</w:t>
            </w:r>
            <w:r>
              <w:rPr>
                <w:color w:val="000000"/>
                <w:lang w:val="en-AU" w:eastAsia="en-AU"/>
              </w:rPr>
              <w:t xml:space="preserve"> </w:t>
            </w:r>
            <w:r w:rsidRPr="00730D0F">
              <w:rPr>
                <w:color w:val="000000"/>
                <w:lang w:val="en-AU" w:eastAsia="en-AU"/>
              </w:rPr>
              <w:t>Table</w:t>
            </w:r>
            <w:r>
              <w:rPr>
                <w:color w:val="000000"/>
                <w:lang w:val="en-AU" w:eastAsia="en-AU"/>
              </w:rPr>
              <w:t xml:space="preserve"> </w:t>
            </w:r>
            <w:r w:rsidRPr="00730D0F">
              <w:rPr>
                <w:color w:val="000000"/>
                <w:lang w:val="en-AU" w:eastAsia="en-AU"/>
              </w:rPr>
              <w:t>20</w:t>
            </w:r>
            <w:r>
              <w:rPr>
                <w:color w:val="000000"/>
                <w:lang w:val="en-AU" w:eastAsia="en-AU"/>
              </w:rPr>
              <w:t xml:space="preserve"> </w:t>
            </w:r>
            <w:r w:rsidRPr="00730D0F">
              <w:rPr>
                <w:color w:val="000000"/>
                <w:lang w:val="en-AU" w:eastAsia="en-AU"/>
              </w:rPr>
              <w:t>(Minimum</w:t>
            </w:r>
            <w:r>
              <w:rPr>
                <w:color w:val="000000"/>
                <w:lang w:val="en-AU" w:eastAsia="en-AU"/>
              </w:rPr>
              <w:t xml:space="preserve"> </w:t>
            </w:r>
            <w:r w:rsidRPr="00730D0F">
              <w:rPr>
                <w:color w:val="000000"/>
                <w:lang w:val="en-AU" w:eastAsia="en-AU"/>
              </w:rPr>
              <w:t>clearing</w:t>
            </w:r>
            <w:r>
              <w:rPr>
                <w:color w:val="000000"/>
                <w:lang w:val="en-AU" w:eastAsia="en-AU"/>
              </w:rPr>
              <w:t xml:space="preserve"> </w:t>
            </w:r>
            <w:r w:rsidRPr="00730D0F">
              <w:rPr>
                <w:color w:val="000000"/>
                <w:lang w:val="en-AU" w:eastAsia="en-AU"/>
              </w:rPr>
              <w:t>widths</w:t>
            </w:r>
            <w:r>
              <w:rPr>
                <w:color w:val="000000"/>
                <w:lang w:val="en-AU" w:eastAsia="en-AU"/>
              </w:rPr>
              <w:t xml:space="preserve"> </w:t>
            </w:r>
            <w:r w:rsidRPr="00730D0F">
              <w:rPr>
                <w:color w:val="000000"/>
                <w:lang w:val="en-AU" w:eastAsia="en-AU"/>
              </w:rPr>
              <w:t>(m)</w:t>
            </w:r>
            <w:r>
              <w:rPr>
                <w:color w:val="000000"/>
                <w:lang w:val="en-AU" w:eastAsia="en-AU"/>
              </w:rPr>
              <w:t xml:space="preserve"> </w:t>
            </w:r>
            <w:r w:rsidRPr="00730D0F">
              <w:rPr>
                <w:color w:val="000000"/>
                <w:lang w:val="en-AU" w:eastAsia="en-AU"/>
              </w:rPr>
              <w:t>required</w:t>
            </w:r>
            <w:r>
              <w:rPr>
                <w:color w:val="000000"/>
                <w:lang w:val="en-AU" w:eastAsia="en-AU"/>
              </w:rPr>
              <w:t xml:space="preserve"> </w:t>
            </w:r>
            <w:r w:rsidRPr="00730D0F">
              <w:rPr>
                <w:color w:val="000000"/>
                <w:lang w:val="en-AU" w:eastAsia="en-AU"/>
              </w:rPr>
              <w:t>for</w:t>
            </w:r>
            <w:r>
              <w:rPr>
                <w:color w:val="000000"/>
                <w:lang w:val="en-AU" w:eastAsia="en-AU"/>
              </w:rPr>
              <w:t xml:space="preserve"> </w:t>
            </w:r>
            <w:r w:rsidRPr="00730D0F">
              <w:rPr>
                <w:color w:val="000000"/>
                <w:lang w:val="en-AU" w:eastAsia="en-AU"/>
              </w:rPr>
              <w:t>typical</w:t>
            </w:r>
            <w:r>
              <w:rPr>
                <w:color w:val="000000"/>
                <w:lang w:val="en-AU" w:eastAsia="en-AU"/>
              </w:rPr>
              <w:t xml:space="preserve"> </w:t>
            </w:r>
            <w:r w:rsidRPr="00730D0F">
              <w:rPr>
                <w:color w:val="000000"/>
                <w:lang w:val="en-AU" w:eastAsia="en-AU"/>
              </w:rPr>
              <w:t>road</w:t>
            </w:r>
            <w:r>
              <w:rPr>
                <w:color w:val="000000"/>
                <w:lang w:val="en-AU" w:eastAsia="en-AU"/>
              </w:rPr>
              <w:t xml:space="preserve"> </w:t>
            </w:r>
            <w:r w:rsidRPr="00730D0F">
              <w:rPr>
                <w:color w:val="000000"/>
                <w:lang w:val="en-AU" w:eastAsia="en-AU"/>
              </w:rPr>
              <w:t>construction)</w:t>
            </w:r>
            <w:r>
              <w:rPr>
                <w:color w:val="000000"/>
                <w:lang w:val="en-AU" w:eastAsia="en-AU"/>
              </w:rPr>
              <w:t xml:space="preserve"> </w:t>
            </w:r>
            <w:r w:rsidRPr="00730D0F">
              <w:rPr>
                <w:color w:val="000000"/>
                <w:lang w:val="en-AU" w:eastAsia="en-AU"/>
              </w:rPr>
              <w:t>plus</w:t>
            </w:r>
            <w:r>
              <w:rPr>
                <w:color w:val="000000"/>
                <w:lang w:val="en-AU" w:eastAsia="en-AU"/>
              </w:rPr>
              <w:t xml:space="preserve"> </w:t>
            </w:r>
            <w:r w:rsidRPr="00730D0F">
              <w:rPr>
                <w:color w:val="000000"/>
                <w:lang w:val="en-AU" w:eastAsia="en-AU"/>
              </w:rPr>
              <w:t>any</w:t>
            </w:r>
            <w:r>
              <w:rPr>
                <w:color w:val="000000"/>
                <w:lang w:val="en-AU" w:eastAsia="en-AU"/>
              </w:rPr>
              <w:t xml:space="preserve"> </w:t>
            </w:r>
            <w:r w:rsidRPr="00730D0F">
              <w:rPr>
                <w:color w:val="000000"/>
                <w:lang w:val="en-AU" w:eastAsia="en-AU"/>
              </w:rPr>
              <w:t>additional</w:t>
            </w:r>
            <w:r>
              <w:rPr>
                <w:color w:val="000000"/>
                <w:lang w:val="en-AU" w:eastAsia="en-AU"/>
              </w:rPr>
              <w:t xml:space="preserve"> </w:t>
            </w:r>
            <w:r w:rsidRPr="00730D0F">
              <w:rPr>
                <w:color w:val="000000"/>
                <w:lang w:val="en-AU" w:eastAsia="en-AU"/>
              </w:rPr>
              <w:t>width</w:t>
            </w:r>
            <w:r>
              <w:rPr>
                <w:color w:val="000000"/>
                <w:lang w:val="en-AU" w:eastAsia="en-AU"/>
              </w:rPr>
              <w:t xml:space="preserve"> </w:t>
            </w:r>
            <w:r w:rsidRPr="00730D0F">
              <w:rPr>
                <w:color w:val="000000"/>
                <w:lang w:val="en-AU" w:eastAsia="en-AU"/>
              </w:rPr>
              <w:t>required</w:t>
            </w:r>
            <w:r>
              <w:rPr>
                <w:color w:val="000000"/>
                <w:lang w:val="en-AU" w:eastAsia="en-AU"/>
              </w:rPr>
              <w:t xml:space="preserve"> </w:t>
            </w:r>
            <w:r w:rsidRPr="00730D0F">
              <w:rPr>
                <w:color w:val="000000"/>
                <w:lang w:val="en-AU" w:eastAsia="en-AU"/>
              </w:rPr>
              <w:t>to</w:t>
            </w:r>
            <w:r>
              <w:rPr>
                <w:color w:val="000000"/>
                <w:lang w:val="en-AU" w:eastAsia="en-AU"/>
              </w:rPr>
              <w:t xml:space="preserve"> </w:t>
            </w:r>
            <w:r w:rsidRPr="00730D0F">
              <w:rPr>
                <w:color w:val="000000"/>
                <w:lang w:val="en-AU" w:eastAsia="en-AU"/>
              </w:rPr>
              <w:t>construct</w:t>
            </w:r>
            <w:r>
              <w:rPr>
                <w:color w:val="000000"/>
                <w:lang w:val="en-AU" w:eastAsia="en-AU"/>
              </w:rPr>
              <w:t xml:space="preserve"> </w:t>
            </w:r>
            <w:r w:rsidRPr="00730D0F">
              <w:rPr>
                <w:color w:val="000000"/>
                <w:lang w:val="en-AU" w:eastAsia="en-AU"/>
              </w:rPr>
              <w:t>batters.</w:t>
            </w:r>
          </w:p>
        </w:tc>
      </w:tr>
      <w:tr w:rsidR="00D27DDC" w14:paraId="021B53CC" w14:textId="77777777" w:rsidTr="00D27DDC">
        <w:tc>
          <w:tcPr>
            <w:tcW w:w="391" w:type="pct"/>
          </w:tcPr>
          <w:p w14:paraId="07CA4A1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23.03</w:t>
            </w:r>
          </w:p>
        </w:tc>
        <w:tc>
          <w:tcPr>
            <w:tcW w:w="3488" w:type="pct"/>
          </w:tcPr>
          <w:p w14:paraId="7688BE53" w14:textId="77777777" w:rsidR="00D27DDC" w:rsidRPr="00730D0F" w:rsidRDefault="00D27DDC" w:rsidP="00D27DDC">
            <w:pPr>
              <w:pStyle w:val="Tablesmalltext"/>
              <w:rPr>
                <w:color w:val="000000"/>
                <w:lang w:val="en-AU" w:eastAsia="en-AU"/>
              </w:rPr>
            </w:pPr>
            <w:r w:rsidRPr="00730D0F">
              <w:rPr>
                <w:color w:val="000000"/>
                <w:lang w:val="en-AU" w:eastAsia="en-AU"/>
              </w:rPr>
              <w:t>Does the minimum clearing width for an in-coupe road not located within the harvest area conform to the specifications in MSP Appendix 4 Table 20?</w:t>
            </w:r>
          </w:p>
        </w:tc>
        <w:tc>
          <w:tcPr>
            <w:tcW w:w="599" w:type="pct"/>
          </w:tcPr>
          <w:p w14:paraId="76FA66EB" w14:textId="77777777" w:rsidR="00D27DDC" w:rsidRDefault="00D27DDC" w:rsidP="00D27DDC">
            <w:pPr>
              <w:pStyle w:val="Tablesmalltext"/>
              <w:jc w:val="center"/>
            </w:pPr>
            <w:r>
              <w:t>100%</w:t>
            </w:r>
          </w:p>
        </w:tc>
        <w:tc>
          <w:tcPr>
            <w:tcW w:w="522" w:type="pct"/>
          </w:tcPr>
          <w:p w14:paraId="7F4B2D71" w14:textId="77777777" w:rsidR="00D27DDC" w:rsidRDefault="00D27DDC" w:rsidP="00D27DDC">
            <w:pPr>
              <w:pStyle w:val="Tablesmalltext"/>
              <w:jc w:val="center"/>
            </w:pPr>
            <w:r>
              <w:t>C</w:t>
            </w:r>
          </w:p>
        </w:tc>
      </w:tr>
      <w:tr w:rsidR="00D27DDC" w14:paraId="34EA2D11" w14:textId="77777777" w:rsidTr="00D27DDC">
        <w:tc>
          <w:tcPr>
            <w:tcW w:w="391" w:type="pct"/>
            <w:shd w:val="clear" w:color="auto" w:fill="FFEBD0" w:themeFill="accent4" w:themeFillTint="33"/>
          </w:tcPr>
          <w:p w14:paraId="6D6A637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2575D7F2" w14:textId="77777777" w:rsidR="00D27DDC" w:rsidRDefault="00D27DDC" w:rsidP="00D27DDC">
            <w:pPr>
              <w:pStyle w:val="Tablesmalltext"/>
            </w:pPr>
            <w:r w:rsidRPr="00730D0F">
              <w:rPr>
                <w:color w:val="000000"/>
                <w:lang w:val="en-AU" w:eastAsia="en-AU"/>
              </w:rPr>
              <w:t>2.4.2.4 Stream crossings must be designed according to traffic requirements and the nature, size and period of flow (both pre and anticipated post-harvest) and characteristics of the bed and banks of the stream.</w:t>
            </w:r>
          </w:p>
        </w:tc>
      </w:tr>
      <w:tr w:rsidR="00D27DDC" w14:paraId="51BD7646" w14:textId="77777777" w:rsidTr="00D27DDC">
        <w:tc>
          <w:tcPr>
            <w:tcW w:w="391" w:type="pct"/>
          </w:tcPr>
          <w:p w14:paraId="16CFA9F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23.04</w:t>
            </w:r>
          </w:p>
        </w:tc>
        <w:tc>
          <w:tcPr>
            <w:tcW w:w="3488" w:type="pct"/>
          </w:tcPr>
          <w:p w14:paraId="37B81277" w14:textId="77777777" w:rsidR="00D27DDC" w:rsidRPr="00730D0F" w:rsidRDefault="00D27DDC" w:rsidP="00D27DDC">
            <w:pPr>
              <w:pStyle w:val="Tablesmalltext"/>
              <w:rPr>
                <w:color w:val="000000"/>
                <w:lang w:val="en-AU" w:eastAsia="en-AU"/>
              </w:rPr>
            </w:pPr>
            <w:r w:rsidRPr="00730D0F">
              <w:rPr>
                <w:color w:val="000000"/>
                <w:lang w:val="en-AU" w:eastAsia="en-AU"/>
              </w:rPr>
              <w:t>24.1 Does the FCP include evidence of design for the stream crossing, considering the elements specified in Code 2.4.2.4?</w:t>
            </w:r>
          </w:p>
        </w:tc>
        <w:tc>
          <w:tcPr>
            <w:tcW w:w="599" w:type="pct"/>
          </w:tcPr>
          <w:p w14:paraId="2BA93FBD" w14:textId="77777777" w:rsidR="00D27DDC" w:rsidRDefault="00D27DDC" w:rsidP="00D27DDC">
            <w:pPr>
              <w:pStyle w:val="Tablesmalltext"/>
              <w:jc w:val="center"/>
            </w:pPr>
            <w:r>
              <w:t>0%</w:t>
            </w:r>
          </w:p>
        </w:tc>
        <w:tc>
          <w:tcPr>
            <w:tcW w:w="522" w:type="pct"/>
          </w:tcPr>
          <w:p w14:paraId="16FF0DB4" w14:textId="77777777" w:rsidR="00D27DDC" w:rsidRDefault="00D27DDC" w:rsidP="00D27DDC">
            <w:pPr>
              <w:pStyle w:val="Tablesmalltext"/>
              <w:jc w:val="center"/>
            </w:pPr>
            <w:r>
              <w:t>D</w:t>
            </w:r>
          </w:p>
        </w:tc>
      </w:tr>
      <w:tr w:rsidR="00D27DDC" w:rsidRPr="00831739" w14:paraId="16B84558" w14:textId="77777777" w:rsidTr="00D27DDC">
        <w:tc>
          <w:tcPr>
            <w:tcW w:w="391" w:type="pct"/>
            <w:shd w:val="clear" w:color="auto" w:fill="FFEBD0" w:themeFill="accent4" w:themeFillTint="33"/>
          </w:tcPr>
          <w:p w14:paraId="6C6F4AFF" w14:textId="77777777" w:rsidR="00D27DDC" w:rsidRPr="00831739" w:rsidRDefault="00D27DDC" w:rsidP="00D27DDC">
            <w:pPr>
              <w:pStyle w:val="Tablesmalltext"/>
              <w:jc w:val="center"/>
              <w:rPr>
                <w:rFonts w:ascii="Calibri" w:hAnsi="Calibri" w:cs="Times New Roman"/>
                <w:b/>
                <w:color w:val="000000"/>
                <w:sz w:val="18"/>
                <w:szCs w:val="18"/>
                <w:lang w:val="en-AU" w:eastAsia="en-AU"/>
              </w:rPr>
            </w:pPr>
            <w:r w:rsidRPr="00831739">
              <w:rPr>
                <w:rFonts w:ascii="Calibri" w:hAnsi="Calibri" w:cs="Times New Roman"/>
                <w:b/>
                <w:color w:val="000000"/>
                <w:sz w:val="18"/>
                <w:szCs w:val="18"/>
                <w:lang w:val="en-AU" w:eastAsia="en-AU"/>
              </w:rPr>
              <w:t>C</w:t>
            </w:r>
          </w:p>
        </w:tc>
        <w:tc>
          <w:tcPr>
            <w:tcW w:w="4609" w:type="pct"/>
            <w:gridSpan w:val="3"/>
            <w:shd w:val="clear" w:color="auto" w:fill="FFEBD0" w:themeFill="accent4" w:themeFillTint="33"/>
          </w:tcPr>
          <w:p w14:paraId="049D043D" w14:textId="77777777" w:rsidR="00D27DDC" w:rsidRPr="00831739" w:rsidRDefault="00D27DDC" w:rsidP="00D27DDC">
            <w:pPr>
              <w:pStyle w:val="Tablesmalltext"/>
              <w:rPr>
                <w:b/>
              </w:rPr>
            </w:pPr>
            <w:r w:rsidRPr="00831739">
              <w:rPr>
                <w:b/>
                <w:color w:val="000000"/>
                <w:lang w:val="en-AU" w:eastAsia="en-AU"/>
              </w:rPr>
              <w:t>2.4.3 Road Construction</w:t>
            </w:r>
          </w:p>
        </w:tc>
      </w:tr>
      <w:tr w:rsidR="00D27DDC" w14:paraId="292CBCC1" w14:textId="77777777" w:rsidTr="00D27DDC">
        <w:tc>
          <w:tcPr>
            <w:tcW w:w="391" w:type="pct"/>
            <w:shd w:val="clear" w:color="auto" w:fill="FFEBD0" w:themeFill="accent4" w:themeFillTint="33"/>
          </w:tcPr>
          <w:p w14:paraId="364908C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C</w:t>
            </w:r>
          </w:p>
        </w:tc>
        <w:tc>
          <w:tcPr>
            <w:tcW w:w="4609" w:type="pct"/>
            <w:gridSpan w:val="3"/>
            <w:shd w:val="clear" w:color="auto" w:fill="FFEBD0" w:themeFill="accent4" w:themeFillTint="33"/>
          </w:tcPr>
          <w:p w14:paraId="2AE1880A" w14:textId="77777777" w:rsidR="00D27DDC" w:rsidRDefault="00D27DDC" w:rsidP="00D27DDC">
            <w:pPr>
              <w:pStyle w:val="Tablesmalltext"/>
            </w:pPr>
            <w:r w:rsidRPr="00730D0F">
              <w:rPr>
                <w:color w:val="000000"/>
                <w:lang w:val="en-AU" w:eastAsia="en-AU"/>
              </w:rPr>
              <w:t>2.4.3.1 Planning and management of timber harvesting operations must comply with this Code and relevant road construction measures specified within the Management Standards and Procedures unless the road is covered by a formal roading agreement with DEPI that would supersede this requirement</w:t>
            </w:r>
          </w:p>
        </w:tc>
      </w:tr>
      <w:tr w:rsidR="00D27DDC" w14:paraId="6E26CE30" w14:textId="77777777" w:rsidTr="00D27DDC">
        <w:tc>
          <w:tcPr>
            <w:tcW w:w="391" w:type="pct"/>
            <w:shd w:val="clear" w:color="auto" w:fill="FFEBD0" w:themeFill="accent4" w:themeFillTint="33"/>
          </w:tcPr>
          <w:p w14:paraId="3451F8C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47C1BAC4" w14:textId="77777777" w:rsidR="00D27DDC" w:rsidRDefault="00D27DDC" w:rsidP="00D27DDC">
            <w:pPr>
              <w:pStyle w:val="Tablesmalltext"/>
            </w:pPr>
            <w:r w:rsidRPr="00730D0F">
              <w:rPr>
                <w:color w:val="000000"/>
                <w:lang w:val="en-AU" w:eastAsia="en-AU"/>
              </w:rPr>
              <w:t>2.4.3.2 Road construction must be conducted in a manner consistent with plans and designs.</w:t>
            </w:r>
          </w:p>
        </w:tc>
      </w:tr>
      <w:tr w:rsidR="00D27DDC" w14:paraId="01A2FC43" w14:textId="77777777" w:rsidTr="00D27DDC">
        <w:tc>
          <w:tcPr>
            <w:tcW w:w="391" w:type="pct"/>
          </w:tcPr>
          <w:p w14:paraId="61C0F13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24.01</w:t>
            </w:r>
          </w:p>
        </w:tc>
        <w:tc>
          <w:tcPr>
            <w:tcW w:w="3488" w:type="pct"/>
          </w:tcPr>
          <w:p w14:paraId="41F376EB" w14:textId="77777777" w:rsidR="00D27DDC" w:rsidRPr="00730D0F" w:rsidRDefault="00D27DDC" w:rsidP="00D27DDC">
            <w:pPr>
              <w:pStyle w:val="Tablesmalltext"/>
              <w:rPr>
                <w:color w:val="000000"/>
                <w:lang w:val="en-AU" w:eastAsia="en-AU"/>
              </w:rPr>
            </w:pPr>
            <w:r w:rsidRPr="00730D0F">
              <w:rPr>
                <w:color w:val="000000"/>
                <w:lang w:val="en-AU" w:eastAsia="en-AU"/>
              </w:rPr>
              <w:t>Does the FCP provide evidence of planning and design prior to construction of the ICR?</w:t>
            </w:r>
          </w:p>
        </w:tc>
        <w:tc>
          <w:tcPr>
            <w:tcW w:w="599" w:type="pct"/>
          </w:tcPr>
          <w:p w14:paraId="3425F355" w14:textId="77777777" w:rsidR="00D27DDC" w:rsidRDefault="00D27DDC" w:rsidP="00D27DDC">
            <w:pPr>
              <w:pStyle w:val="Tablesmalltext"/>
              <w:jc w:val="center"/>
            </w:pPr>
            <w:r>
              <w:t>5%</w:t>
            </w:r>
          </w:p>
        </w:tc>
        <w:tc>
          <w:tcPr>
            <w:tcW w:w="522" w:type="pct"/>
          </w:tcPr>
          <w:p w14:paraId="2EF4D52D" w14:textId="77777777" w:rsidR="00D27DDC" w:rsidRDefault="00D27DDC" w:rsidP="00D27DDC">
            <w:pPr>
              <w:pStyle w:val="Tablesmalltext"/>
              <w:jc w:val="center"/>
            </w:pPr>
            <w:r>
              <w:t>D</w:t>
            </w:r>
          </w:p>
        </w:tc>
      </w:tr>
      <w:tr w:rsidR="00D27DDC" w14:paraId="1F57A69F" w14:textId="77777777" w:rsidTr="00D27DDC">
        <w:tc>
          <w:tcPr>
            <w:tcW w:w="391" w:type="pct"/>
          </w:tcPr>
          <w:p w14:paraId="64B452C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24.02</w:t>
            </w:r>
          </w:p>
        </w:tc>
        <w:tc>
          <w:tcPr>
            <w:tcW w:w="3488" w:type="pct"/>
          </w:tcPr>
          <w:p w14:paraId="74D99914" w14:textId="77777777" w:rsidR="00D27DDC" w:rsidRPr="00730D0F" w:rsidRDefault="00D27DDC" w:rsidP="00D27DDC">
            <w:pPr>
              <w:pStyle w:val="Tablesmalltext"/>
              <w:rPr>
                <w:color w:val="000000"/>
                <w:lang w:val="en-AU" w:eastAsia="en-AU"/>
              </w:rPr>
            </w:pPr>
            <w:r w:rsidRPr="00730D0F">
              <w:rPr>
                <w:color w:val="000000"/>
                <w:lang w:val="en-AU" w:eastAsia="en-AU"/>
              </w:rPr>
              <w:t>ITAO, has construction of the ICR appropriately followed any documented plan and/or design?</w:t>
            </w:r>
          </w:p>
        </w:tc>
        <w:tc>
          <w:tcPr>
            <w:tcW w:w="599" w:type="pct"/>
          </w:tcPr>
          <w:p w14:paraId="5AD27D50" w14:textId="77777777" w:rsidR="00D27DDC" w:rsidRDefault="00D27DDC" w:rsidP="00D27DDC">
            <w:pPr>
              <w:pStyle w:val="Tablesmalltext"/>
              <w:jc w:val="center"/>
            </w:pPr>
            <w:r>
              <w:t>0%</w:t>
            </w:r>
          </w:p>
        </w:tc>
        <w:tc>
          <w:tcPr>
            <w:tcW w:w="522" w:type="pct"/>
          </w:tcPr>
          <w:p w14:paraId="581E5960" w14:textId="77777777" w:rsidR="00D27DDC" w:rsidRDefault="00D27DDC" w:rsidP="00D27DDC">
            <w:pPr>
              <w:pStyle w:val="Tablesmalltext"/>
              <w:jc w:val="center"/>
            </w:pPr>
            <w:r>
              <w:t>C</w:t>
            </w:r>
          </w:p>
        </w:tc>
      </w:tr>
      <w:tr w:rsidR="00D27DDC" w14:paraId="22BA74C0" w14:textId="77777777" w:rsidTr="00523E3C">
        <w:tc>
          <w:tcPr>
            <w:tcW w:w="391" w:type="pct"/>
            <w:shd w:val="clear" w:color="auto" w:fill="FFFFCC"/>
          </w:tcPr>
          <w:p w14:paraId="009FE71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170780E" w14:textId="77777777" w:rsidR="00D27DDC" w:rsidRDefault="00D27DDC" w:rsidP="00D27DDC">
            <w:pPr>
              <w:pStyle w:val="Tablesmalltext"/>
            </w:pPr>
            <w:r w:rsidRPr="00730D0F">
              <w:rPr>
                <w:color w:val="000000"/>
                <w:lang w:val="en-AU" w:eastAsia="en-AU"/>
              </w:rPr>
              <w:t>MSP 6.2.1.1 Undertake road construction when rainfall and soil conditions minimise the risk of erosion and impact on water quality, and when soil moisture is adequate to achieve compaction and stabilisation of the sub</w:t>
            </w:r>
            <w:r w:rsidRPr="00730D0F">
              <w:rPr>
                <w:rFonts w:ascii="Cambria Math" w:hAnsi="Cambria Math" w:cs="Cambria Math"/>
                <w:color w:val="000000"/>
                <w:lang w:val="en-AU" w:eastAsia="en-AU"/>
              </w:rPr>
              <w:t>‐</w:t>
            </w:r>
            <w:r w:rsidRPr="00730D0F">
              <w:rPr>
                <w:color w:val="000000"/>
                <w:lang w:val="en-AU" w:eastAsia="en-AU"/>
              </w:rPr>
              <w:t xml:space="preserve">grade. </w:t>
            </w:r>
          </w:p>
        </w:tc>
      </w:tr>
      <w:tr w:rsidR="00D27DDC" w14:paraId="16819A33" w14:textId="77777777" w:rsidTr="00D27DDC">
        <w:tc>
          <w:tcPr>
            <w:tcW w:w="391" w:type="pct"/>
          </w:tcPr>
          <w:p w14:paraId="661DA98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24.03</w:t>
            </w:r>
          </w:p>
        </w:tc>
        <w:tc>
          <w:tcPr>
            <w:tcW w:w="3488" w:type="pct"/>
          </w:tcPr>
          <w:p w14:paraId="1AFE6678" w14:textId="77777777" w:rsidR="00D27DDC" w:rsidRPr="00730D0F" w:rsidRDefault="00D27DDC" w:rsidP="00D27DDC">
            <w:pPr>
              <w:pStyle w:val="Tablesmalltext"/>
              <w:rPr>
                <w:color w:val="000000"/>
                <w:lang w:val="en-AU" w:eastAsia="en-AU"/>
              </w:rPr>
            </w:pPr>
            <w:r w:rsidRPr="00730D0F">
              <w:rPr>
                <w:color w:val="000000"/>
                <w:lang w:val="en-AU" w:eastAsia="en-AU"/>
              </w:rPr>
              <w:t>ITAO, is there evidence that the timing of road construction was inconsistent with the requirement to minimise the risk of erosion and impact on water quality?</w:t>
            </w:r>
          </w:p>
        </w:tc>
        <w:tc>
          <w:tcPr>
            <w:tcW w:w="599" w:type="pct"/>
          </w:tcPr>
          <w:p w14:paraId="2CADDC77" w14:textId="77777777" w:rsidR="00D27DDC" w:rsidRDefault="00D27DDC" w:rsidP="00D27DDC">
            <w:pPr>
              <w:pStyle w:val="Tablesmalltext"/>
              <w:jc w:val="center"/>
            </w:pPr>
            <w:r>
              <w:t>100%</w:t>
            </w:r>
          </w:p>
        </w:tc>
        <w:tc>
          <w:tcPr>
            <w:tcW w:w="522" w:type="pct"/>
          </w:tcPr>
          <w:p w14:paraId="24EF9706" w14:textId="77777777" w:rsidR="00D27DDC" w:rsidRDefault="00D27DDC" w:rsidP="00D27DDC">
            <w:pPr>
              <w:pStyle w:val="Tablesmalltext"/>
              <w:jc w:val="center"/>
            </w:pPr>
            <w:r>
              <w:t>S,C</w:t>
            </w:r>
          </w:p>
        </w:tc>
      </w:tr>
      <w:tr w:rsidR="00D27DDC" w14:paraId="64A8B877" w14:textId="77777777" w:rsidTr="00523E3C">
        <w:tc>
          <w:tcPr>
            <w:tcW w:w="391" w:type="pct"/>
            <w:shd w:val="clear" w:color="auto" w:fill="FFFFCC"/>
          </w:tcPr>
          <w:p w14:paraId="050541E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5BE6801" w14:textId="77777777" w:rsidR="00D27DDC" w:rsidRDefault="00D27DDC" w:rsidP="00D27DDC">
            <w:pPr>
              <w:pStyle w:val="Tablesmalltext"/>
            </w:pPr>
            <w:r w:rsidRPr="00730D0F">
              <w:rPr>
                <w:color w:val="000000"/>
                <w:lang w:val="en-AU" w:eastAsia="en-AU"/>
              </w:rPr>
              <w:t>6.2.1.5 Create table drains by extending the road when it is formed, and not by subsequent excavation.</w:t>
            </w:r>
          </w:p>
        </w:tc>
      </w:tr>
      <w:tr w:rsidR="00D27DDC" w14:paraId="64189ACA" w14:textId="77777777" w:rsidTr="00D27DDC">
        <w:tc>
          <w:tcPr>
            <w:tcW w:w="391" w:type="pct"/>
          </w:tcPr>
          <w:p w14:paraId="37B99FB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24.04</w:t>
            </w:r>
          </w:p>
        </w:tc>
        <w:tc>
          <w:tcPr>
            <w:tcW w:w="3488" w:type="pct"/>
          </w:tcPr>
          <w:p w14:paraId="673144A9" w14:textId="77777777" w:rsidR="00D27DDC" w:rsidRPr="00730D0F" w:rsidRDefault="00D27DDC" w:rsidP="00D27DDC">
            <w:pPr>
              <w:pStyle w:val="Tablesmalltext"/>
              <w:rPr>
                <w:color w:val="000000"/>
                <w:lang w:val="en-AU" w:eastAsia="en-AU"/>
              </w:rPr>
            </w:pPr>
            <w:r w:rsidRPr="00730D0F">
              <w:rPr>
                <w:color w:val="000000"/>
                <w:lang w:val="en-AU" w:eastAsia="en-AU"/>
              </w:rPr>
              <w:t>Is there evidence that table drains have been formed by subsequent excavation?</w:t>
            </w:r>
          </w:p>
        </w:tc>
        <w:tc>
          <w:tcPr>
            <w:tcW w:w="599" w:type="pct"/>
          </w:tcPr>
          <w:p w14:paraId="6823FA08" w14:textId="77777777" w:rsidR="00D27DDC" w:rsidRDefault="00D27DDC" w:rsidP="00D27DDC">
            <w:pPr>
              <w:pStyle w:val="Tablesmalltext"/>
              <w:jc w:val="center"/>
            </w:pPr>
            <w:r>
              <w:t>100%</w:t>
            </w:r>
          </w:p>
        </w:tc>
        <w:tc>
          <w:tcPr>
            <w:tcW w:w="522" w:type="pct"/>
          </w:tcPr>
          <w:p w14:paraId="473C01A9" w14:textId="77777777" w:rsidR="00D27DDC" w:rsidRDefault="00D27DDC" w:rsidP="00D27DDC">
            <w:pPr>
              <w:pStyle w:val="Tablesmalltext"/>
              <w:jc w:val="center"/>
            </w:pPr>
            <w:r>
              <w:t>C</w:t>
            </w:r>
          </w:p>
        </w:tc>
      </w:tr>
      <w:tr w:rsidR="00D27DDC" w14:paraId="0EFC0B96" w14:textId="77777777" w:rsidTr="00523E3C">
        <w:tc>
          <w:tcPr>
            <w:tcW w:w="391" w:type="pct"/>
            <w:shd w:val="clear" w:color="auto" w:fill="FFFFCC"/>
          </w:tcPr>
          <w:p w14:paraId="1EF734E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CB4CBD3" w14:textId="77777777" w:rsidR="00D27DDC" w:rsidRDefault="00D27DDC" w:rsidP="00D27DDC">
            <w:pPr>
              <w:pStyle w:val="Tablesmalltext"/>
            </w:pPr>
            <w:r w:rsidRPr="00730D0F">
              <w:rPr>
                <w:color w:val="000000"/>
                <w:lang w:val="en-AU" w:eastAsia="en-AU"/>
              </w:rPr>
              <w:t>6.2.1.6 Limit earthworks to the least possible to achieve the road design specification.</w:t>
            </w:r>
          </w:p>
        </w:tc>
      </w:tr>
      <w:tr w:rsidR="00D27DDC" w14:paraId="5F711F5E" w14:textId="77777777" w:rsidTr="00D27DDC">
        <w:tc>
          <w:tcPr>
            <w:tcW w:w="391" w:type="pct"/>
          </w:tcPr>
          <w:p w14:paraId="76553A3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24.05</w:t>
            </w:r>
          </w:p>
        </w:tc>
        <w:tc>
          <w:tcPr>
            <w:tcW w:w="3488" w:type="pct"/>
          </w:tcPr>
          <w:p w14:paraId="3EA7C0E0" w14:textId="77777777" w:rsidR="00D27DDC" w:rsidRPr="00730D0F" w:rsidRDefault="00D27DDC" w:rsidP="00D27DDC">
            <w:pPr>
              <w:pStyle w:val="Tablesmalltext"/>
              <w:rPr>
                <w:color w:val="000000"/>
                <w:lang w:val="en-AU" w:eastAsia="en-AU"/>
              </w:rPr>
            </w:pPr>
            <w:r w:rsidRPr="00730D0F">
              <w:rPr>
                <w:color w:val="000000"/>
                <w:lang w:val="en-AU" w:eastAsia="en-AU"/>
              </w:rPr>
              <w:t>ITAO are the earthworks for an ICR a reasonable minimum to achieve the road design specification?</w:t>
            </w:r>
          </w:p>
        </w:tc>
        <w:tc>
          <w:tcPr>
            <w:tcW w:w="599" w:type="pct"/>
          </w:tcPr>
          <w:p w14:paraId="449F2A51" w14:textId="77777777" w:rsidR="00D27DDC" w:rsidRDefault="00D27DDC" w:rsidP="00D27DDC">
            <w:pPr>
              <w:pStyle w:val="Tablesmalltext"/>
              <w:jc w:val="center"/>
            </w:pPr>
            <w:r>
              <w:t>100%</w:t>
            </w:r>
          </w:p>
        </w:tc>
        <w:tc>
          <w:tcPr>
            <w:tcW w:w="522" w:type="pct"/>
          </w:tcPr>
          <w:p w14:paraId="29273035" w14:textId="77777777" w:rsidR="00D27DDC" w:rsidRDefault="00D27DDC" w:rsidP="00D27DDC">
            <w:pPr>
              <w:pStyle w:val="Tablesmalltext"/>
              <w:jc w:val="center"/>
            </w:pPr>
            <w:r>
              <w:t>C</w:t>
            </w:r>
          </w:p>
        </w:tc>
      </w:tr>
      <w:tr w:rsidR="00D27DDC" w14:paraId="3A0A380C" w14:textId="77777777" w:rsidTr="00523E3C">
        <w:tc>
          <w:tcPr>
            <w:tcW w:w="391" w:type="pct"/>
            <w:shd w:val="clear" w:color="auto" w:fill="FFFFCC"/>
          </w:tcPr>
          <w:p w14:paraId="11CD493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B7F9F2D" w14:textId="77777777" w:rsidR="00D27DDC" w:rsidRDefault="00D27DDC" w:rsidP="00D27DDC">
            <w:pPr>
              <w:pStyle w:val="Tablesmalltext"/>
            </w:pPr>
            <w:r w:rsidRPr="00730D0F">
              <w:rPr>
                <w:i/>
                <w:iCs/>
                <w:color w:val="000000"/>
                <w:lang w:val="en-AU" w:eastAsia="en-AU"/>
              </w:rPr>
              <w:t>MSP 6.2.2 Fill batter construction</w:t>
            </w:r>
          </w:p>
        </w:tc>
      </w:tr>
      <w:tr w:rsidR="00D27DDC" w14:paraId="6D5F9470" w14:textId="77777777" w:rsidTr="00523E3C">
        <w:tc>
          <w:tcPr>
            <w:tcW w:w="391" w:type="pct"/>
            <w:shd w:val="clear" w:color="auto" w:fill="FFFFCC"/>
          </w:tcPr>
          <w:p w14:paraId="3514EEC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F1896D6" w14:textId="77777777" w:rsidR="00D27DDC" w:rsidRDefault="00D27DDC" w:rsidP="00D27DDC">
            <w:pPr>
              <w:pStyle w:val="Tablesmalltext"/>
            </w:pPr>
            <w:r w:rsidRPr="00730D0F">
              <w:rPr>
                <w:color w:val="000000"/>
                <w:lang w:val="en-AU" w:eastAsia="en-AU"/>
              </w:rPr>
              <w:t>2.4.3.3 All fill disposal areas and embankments must be appropriately stabilised. Where revegetation is used to stabilise fills or embankments, the species must be suitable for the site and where possible indigenous to the area.</w:t>
            </w:r>
          </w:p>
        </w:tc>
      </w:tr>
      <w:tr w:rsidR="00D27DDC" w14:paraId="665A34B4" w14:textId="77777777" w:rsidTr="00D27DDC">
        <w:tc>
          <w:tcPr>
            <w:tcW w:w="391" w:type="pct"/>
          </w:tcPr>
          <w:p w14:paraId="06CE80E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25.01</w:t>
            </w:r>
          </w:p>
        </w:tc>
        <w:tc>
          <w:tcPr>
            <w:tcW w:w="3488" w:type="pct"/>
          </w:tcPr>
          <w:p w14:paraId="3B33ED45" w14:textId="77777777" w:rsidR="00D27DDC" w:rsidRPr="00730D0F" w:rsidRDefault="00D27DDC" w:rsidP="00D27DDC">
            <w:pPr>
              <w:pStyle w:val="Tablesmalltext"/>
              <w:rPr>
                <w:color w:val="000000"/>
                <w:lang w:val="en-AU" w:eastAsia="en-AU"/>
              </w:rPr>
            </w:pPr>
            <w:r w:rsidRPr="00730D0F">
              <w:rPr>
                <w:color w:val="000000"/>
                <w:lang w:val="en-AU" w:eastAsia="en-AU"/>
              </w:rPr>
              <w:t>Is there evidence of instability and sediment movement from any fill disposal areas or embankments?</w:t>
            </w:r>
          </w:p>
        </w:tc>
        <w:tc>
          <w:tcPr>
            <w:tcW w:w="599" w:type="pct"/>
          </w:tcPr>
          <w:p w14:paraId="52223141" w14:textId="206853D9" w:rsidR="00D27DDC" w:rsidRDefault="00D27DDC" w:rsidP="00D27DDC">
            <w:pPr>
              <w:pStyle w:val="Tablesmalltext"/>
              <w:jc w:val="center"/>
            </w:pPr>
            <w:r>
              <w:t>10% H</w:t>
            </w:r>
          </w:p>
          <w:p w14:paraId="04C86581" w14:textId="77777777" w:rsidR="00D27DDC" w:rsidRDefault="00D27DDC" w:rsidP="00D27DDC">
            <w:pPr>
              <w:pStyle w:val="Tablesmalltext"/>
              <w:jc w:val="center"/>
            </w:pPr>
            <w:r>
              <w:t>0% R</w:t>
            </w:r>
          </w:p>
        </w:tc>
        <w:tc>
          <w:tcPr>
            <w:tcW w:w="522" w:type="pct"/>
          </w:tcPr>
          <w:p w14:paraId="16EAC601" w14:textId="77777777" w:rsidR="00D27DDC" w:rsidRDefault="00D27DDC" w:rsidP="00D27DDC">
            <w:pPr>
              <w:pStyle w:val="Tablesmalltext"/>
              <w:jc w:val="center"/>
            </w:pPr>
            <w:r>
              <w:t>W,C</w:t>
            </w:r>
          </w:p>
          <w:p w14:paraId="47BADA6C" w14:textId="77777777" w:rsidR="00D27DDC" w:rsidRDefault="00D27DDC" w:rsidP="00D27DDC">
            <w:pPr>
              <w:pStyle w:val="Tablesmalltext"/>
              <w:jc w:val="center"/>
            </w:pPr>
            <w:r>
              <w:t>R</w:t>
            </w:r>
          </w:p>
        </w:tc>
      </w:tr>
      <w:tr w:rsidR="00D27DDC" w14:paraId="506999BC" w14:textId="77777777" w:rsidTr="00523E3C">
        <w:tc>
          <w:tcPr>
            <w:tcW w:w="391" w:type="pct"/>
            <w:shd w:val="clear" w:color="auto" w:fill="FFFFCC"/>
          </w:tcPr>
          <w:p w14:paraId="2DA4C49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515CD16" w14:textId="77777777" w:rsidR="00D27DDC" w:rsidRDefault="00D27DDC" w:rsidP="00D27DDC">
            <w:pPr>
              <w:pStyle w:val="Tablesmalltext"/>
            </w:pPr>
            <w:r w:rsidRPr="00730D0F">
              <w:rPr>
                <w:color w:val="000000"/>
                <w:lang w:val="en-AU" w:eastAsia="en-AU"/>
              </w:rPr>
              <w:t xml:space="preserve">6.2.2.1 Prevent fill batters from covering the base of live trees. </w:t>
            </w:r>
          </w:p>
        </w:tc>
      </w:tr>
      <w:tr w:rsidR="00D27DDC" w14:paraId="719D700B" w14:textId="77777777" w:rsidTr="00523E3C">
        <w:tc>
          <w:tcPr>
            <w:tcW w:w="391" w:type="pct"/>
            <w:shd w:val="clear" w:color="auto" w:fill="FFFFCC"/>
          </w:tcPr>
          <w:p w14:paraId="7E3BABD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23C628C" w14:textId="77777777" w:rsidR="00D27DDC" w:rsidRDefault="00D27DDC" w:rsidP="00D27DDC">
            <w:pPr>
              <w:pStyle w:val="Tablesmalltext"/>
            </w:pPr>
            <w:r w:rsidRPr="00730D0F">
              <w:rPr>
                <w:color w:val="000000"/>
                <w:lang w:val="en-AU" w:eastAsia="en-AU"/>
              </w:rPr>
              <w:t>6.2.2.3 Use engineer approved methods of mechanical consolidation of fill batters.</w:t>
            </w:r>
          </w:p>
        </w:tc>
      </w:tr>
      <w:tr w:rsidR="00D27DDC" w14:paraId="71419908" w14:textId="77777777" w:rsidTr="00D27DDC">
        <w:tc>
          <w:tcPr>
            <w:tcW w:w="391" w:type="pct"/>
          </w:tcPr>
          <w:p w14:paraId="3FE0585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25.02</w:t>
            </w:r>
          </w:p>
        </w:tc>
        <w:tc>
          <w:tcPr>
            <w:tcW w:w="3488" w:type="pct"/>
          </w:tcPr>
          <w:p w14:paraId="1CAB1074" w14:textId="77777777" w:rsidR="00D27DDC" w:rsidRPr="00730D0F" w:rsidRDefault="00D27DDC" w:rsidP="00D27DDC">
            <w:pPr>
              <w:pStyle w:val="Tablesmalltext"/>
              <w:rPr>
                <w:color w:val="000000"/>
                <w:lang w:val="en-AU" w:eastAsia="en-AU"/>
              </w:rPr>
            </w:pPr>
            <w:r w:rsidRPr="00730D0F">
              <w:rPr>
                <w:color w:val="000000"/>
                <w:lang w:val="en-AU" w:eastAsia="en-AU"/>
              </w:rPr>
              <w:t>Do any fill batters cover the base of live, retained trees?</w:t>
            </w:r>
          </w:p>
        </w:tc>
        <w:tc>
          <w:tcPr>
            <w:tcW w:w="599" w:type="pct"/>
          </w:tcPr>
          <w:p w14:paraId="69A2E0BE" w14:textId="77777777" w:rsidR="00D27DDC" w:rsidRDefault="00D27DDC" w:rsidP="00D27DDC">
            <w:pPr>
              <w:pStyle w:val="Tablesmalltext"/>
              <w:jc w:val="center"/>
            </w:pPr>
            <w:r>
              <w:t>86%</w:t>
            </w:r>
          </w:p>
        </w:tc>
        <w:tc>
          <w:tcPr>
            <w:tcW w:w="522" w:type="pct"/>
          </w:tcPr>
          <w:p w14:paraId="2894D87A" w14:textId="77777777" w:rsidR="00D27DDC" w:rsidRDefault="00D27DDC" w:rsidP="00D27DDC">
            <w:pPr>
              <w:pStyle w:val="Tablesmalltext"/>
              <w:jc w:val="center"/>
            </w:pPr>
            <w:r>
              <w:t>B,C</w:t>
            </w:r>
          </w:p>
        </w:tc>
      </w:tr>
      <w:tr w:rsidR="00D27DDC" w14:paraId="48C09775" w14:textId="77777777" w:rsidTr="00D27DDC">
        <w:tc>
          <w:tcPr>
            <w:tcW w:w="391" w:type="pct"/>
          </w:tcPr>
          <w:p w14:paraId="7C98CA8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25.03</w:t>
            </w:r>
          </w:p>
        </w:tc>
        <w:tc>
          <w:tcPr>
            <w:tcW w:w="3488" w:type="pct"/>
          </w:tcPr>
          <w:p w14:paraId="0C9DA7C9" w14:textId="77777777" w:rsidR="00D27DDC" w:rsidRPr="00730D0F" w:rsidRDefault="00D27DDC" w:rsidP="00D27DDC">
            <w:pPr>
              <w:pStyle w:val="Tablesmalltext"/>
              <w:rPr>
                <w:color w:val="000000"/>
                <w:lang w:val="en-AU" w:eastAsia="en-AU"/>
              </w:rPr>
            </w:pPr>
            <w:r w:rsidRPr="00730D0F">
              <w:rPr>
                <w:color w:val="000000"/>
                <w:lang w:val="en-AU" w:eastAsia="en-AU"/>
              </w:rPr>
              <w:t>For large fill batters (for embankments &gt;2 m high), does the FCP include evidence of engineer approval of mechanical consolidation methods?</w:t>
            </w:r>
          </w:p>
        </w:tc>
        <w:tc>
          <w:tcPr>
            <w:tcW w:w="599" w:type="pct"/>
          </w:tcPr>
          <w:p w14:paraId="173A734F" w14:textId="2E3E46AC" w:rsidR="00D27DDC" w:rsidRDefault="00770074" w:rsidP="00D27DDC">
            <w:pPr>
              <w:pStyle w:val="Tablesmalltext"/>
              <w:jc w:val="center"/>
            </w:pPr>
            <w:r>
              <w:t>0</w:t>
            </w:r>
            <w:r w:rsidR="00D27DDC">
              <w:t>%</w:t>
            </w:r>
          </w:p>
        </w:tc>
        <w:tc>
          <w:tcPr>
            <w:tcW w:w="522" w:type="pct"/>
          </w:tcPr>
          <w:p w14:paraId="38665466" w14:textId="77777777" w:rsidR="00D27DDC" w:rsidRDefault="00D27DDC" w:rsidP="00D27DDC">
            <w:pPr>
              <w:pStyle w:val="Tablesmalltext"/>
              <w:jc w:val="center"/>
            </w:pPr>
            <w:r>
              <w:t>D</w:t>
            </w:r>
          </w:p>
        </w:tc>
      </w:tr>
      <w:tr w:rsidR="00D27DDC" w14:paraId="04BFC32F" w14:textId="77777777" w:rsidTr="00D27DDC">
        <w:tc>
          <w:tcPr>
            <w:tcW w:w="391" w:type="pct"/>
          </w:tcPr>
          <w:p w14:paraId="1F7F4B8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25.04</w:t>
            </w:r>
          </w:p>
        </w:tc>
        <w:tc>
          <w:tcPr>
            <w:tcW w:w="3488" w:type="pct"/>
          </w:tcPr>
          <w:p w14:paraId="71807232" w14:textId="77777777" w:rsidR="00D27DDC" w:rsidRPr="00730D0F" w:rsidRDefault="00D27DDC" w:rsidP="00D27DDC">
            <w:pPr>
              <w:pStyle w:val="Tablesmalltext"/>
              <w:rPr>
                <w:color w:val="000000"/>
                <w:lang w:val="en-AU" w:eastAsia="en-AU"/>
              </w:rPr>
            </w:pPr>
            <w:r w:rsidRPr="00730D0F">
              <w:rPr>
                <w:color w:val="000000"/>
                <w:lang w:val="en-AU" w:eastAsia="en-AU"/>
              </w:rPr>
              <w:t>Is there evidence of failure of fill batters?</w:t>
            </w:r>
          </w:p>
        </w:tc>
        <w:tc>
          <w:tcPr>
            <w:tcW w:w="599" w:type="pct"/>
          </w:tcPr>
          <w:p w14:paraId="67A9DC4D" w14:textId="05A0BDA3" w:rsidR="00D27DDC" w:rsidRDefault="00770074" w:rsidP="00D27DDC">
            <w:pPr>
              <w:pStyle w:val="Tablesmalltext"/>
              <w:jc w:val="center"/>
            </w:pPr>
            <w:r>
              <w:t>22</w:t>
            </w:r>
            <w:r w:rsidR="00D27DDC">
              <w:t>% H</w:t>
            </w:r>
          </w:p>
          <w:p w14:paraId="7A7564CA" w14:textId="77777777" w:rsidR="00D27DDC" w:rsidRDefault="00D27DDC" w:rsidP="00D27DDC">
            <w:pPr>
              <w:pStyle w:val="Tablesmalltext"/>
              <w:jc w:val="center"/>
            </w:pPr>
            <w:r>
              <w:t>0% R</w:t>
            </w:r>
          </w:p>
        </w:tc>
        <w:tc>
          <w:tcPr>
            <w:tcW w:w="522" w:type="pct"/>
          </w:tcPr>
          <w:p w14:paraId="04A88C07" w14:textId="77777777" w:rsidR="00D27DDC" w:rsidRDefault="00D27DDC" w:rsidP="00D27DDC">
            <w:pPr>
              <w:pStyle w:val="Tablesmalltext"/>
              <w:jc w:val="center"/>
            </w:pPr>
            <w:r>
              <w:t>C</w:t>
            </w:r>
          </w:p>
          <w:p w14:paraId="511098B9" w14:textId="77777777" w:rsidR="00D27DDC" w:rsidRDefault="00D27DDC" w:rsidP="00D27DDC">
            <w:pPr>
              <w:pStyle w:val="Tablesmalltext"/>
              <w:jc w:val="center"/>
            </w:pPr>
            <w:r>
              <w:t>R</w:t>
            </w:r>
          </w:p>
        </w:tc>
      </w:tr>
      <w:tr w:rsidR="00D27DDC" w14:paraId="5524AD8B" w14:textId="77777777" w:rsidTr="00523E3C">
        <w:tc>
          <w:tcPr>
            <w:tcW w:w="391" w:type="pct"/>
            <w:shd w:val="clear" w:color="auto" w:fill="FFFFCC"/>
          </w:tcPr>
          <w:p w14:paraId="4BAF8A9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86566C7" w14:textId="77777777" w:rsidR="00D27DDC" w:rsidRDefault="00D27DDC" w:rsidP="00D27DDC">
            <w:pPr>
              <w:pStyle w:val="Tablesmalltext"/>
            </w:pPr>
            <w:r w:rsidRPr="00730D0F">
              <w:rPr>
                <w:i/>
                <w:iCs/>
                <w:color w:val="000000"/>
                <w:lang w:val="en-AU" w:eastAsia="en-AU"/>
              </w:rPr>
              <w:t>MSP 6.2.4 Road drainage</w:t>
            </w:r>
          </w:p>
        </w:tc>
      </w:tr>
      <w:tr w:rsidR="00D27DDC" w14:paraId="0940CC47" w14:textId="77777777" w:rsidTr="00D27DDC">
        <w:tc>
          <w:tcPr>
            <w:tcW w:w="391" w:type="pct"/>
            <w:shd w:val="clear" w:color="auto" w:fill="FFEBD0" w:themeFill="accent4" w:themeFillTint="33"/>
          </w:tcPr>
          <w:p w14:paraId="7B2291B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783E4DEF" w14:textId="77777777" w:rsidR="00D27DDC" w:rsidRDefault="00D27DDC" w:rsidP="00D27DDC">
            <w:pPr>
              <w:pStyle w:val="Tablesmalltext"/>
            </w:pPr>
            <w:r w:rsidRPr="00730D0F">
              <w:rPr>
                <w:color w:val="000000"/>
                <w:lang w:val="en-AU" w:eastAsia="en-AU"/>
              </w:rPr>
              <w:t>2.4.2.5 Appropriate drainage must be provided. Spacing of drainage outlets along a road must take into account the soil erodibility, rainfall frequency and intensity, and the proximity of the road to streams.</w:t>
            </w:r>
          </w:p>
        </w:tc>
      </w:tr>
      <w:tr w:rsidR="00D27DDC" w14:paraId="4B4375B6" w14:textId="77777777" w:rsidTr="00523E3C">
        <w:tc>
          <w:tcPr>
            <w:tcW w:w="391" w:type="pct"/>
            <w:shd w:val="clear" w:color="auto" w:fill="FFFFCC"/>
          </w:tcPr>
          <w:p w14:paraId="15E97C6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9569FF6" w14:textId="77777777" w:rsidR="00D27DDC" w:rsidRDefault="00D27DDC" w:rsidP="00D27DDC">
            <w:pPr>
              <w:pStyle w:val="Tablesmalltext"/>
            </w:pPr>
            <w:r w:rsidRPr="00730D0F">
              <w:rPr>
                <w:color w:val="000000"/>
                <w:lang w:val="en-AU" w:eastAsia="en-AU"/>
              </w:rPr>
              <w:t>6.2.4.1 The maximum distance between drainage structure for road grad and soil erosion hazard is specified in Appendix 4 Table 21.</w:t>
            </w:r>
          </w:p>
        </w:tc>
      </w:tr>
      <w:tr w:rsidR="00D27DDC" w14:paraId="75C43A8B" w14:textId="77777777" w:rsidTr="00523E3C">
        <w:tc>
          <w:tcPr>
            <w:tcW w:w="391" w:type="pct"/>
            <w:shd w:val="clear" w:color="auto" w:fill="FFFFCC"/>
          </w:tcPr>
          <w:p w14:paraId="76079CA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D12D00D" w14:textId="77777777" w:rsidR="00D27DDC" w:rsidRDefault="00D27DDC" w:rsidP="00D27DDC">
            <w:pPr>
              <w:pStyle w:val="Tablesmalltext"/>
            </w:pPr>
            <w:r w:rsidRPr="00730D0F">
              <w:rPr>
                <w:color w:val="000000"/>
                <w:lang w:val="en-AU" w:eastAsia="en-AU"/>
              </w:rPr>
              <w:t>6.2.4.2 Construct cross</w:t>
            </w:r>
            <w:r w:rsidRPr="00730D0F">
              <w:rPr>
                <w:rFonts w:ascii="Cambria Math" w:hAnsi="Cambria Math" w:cs="Cambria Math"/>
                <w:color w:val="000000"/>
                <w:lang w:val="en-AU" w:eastAsia="en-AU"/>
              </w:rPr>
              <w:t>‐</w:t>
            </w:r>
            <w:r w:rsidRPr="00730D0F">
              <w:rPr>
                <w:color w:val="000000"/>
                <w:lang w:val="en-AU" w:eastAsia="en-AU"/>
              </w:rPr>
              <w:t xml:space="preserve">drains at an angle sufficient to discharge any water from the surface of the road. </w:t>
            </w:r>
          </w:p>
        </w:tc>
      </w:tr>
      <w:tr w:rsidR="00D27DDC" w14:paraId="3CAD4E5B" w14:textId="77777777" w:rsidTr="00523E3C">
        <w:tc>
          <w:tcPr>
            <w:tcW w:w="391" w:type="pct"/>
            <w:shd w:val="clear" w:color="auto" w:fill="FFFFCC"/>
          </w:tcPr>
          <w:p w14:paraId="0406CCB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3E7BF94" w14:textId="77777777" w:rsidR="00D27DDC" w:rsidRDefault="00D27DDC" w:rsidP="00D27DDC">
            <w:pPr>
              <w:pStyle w:val="Tablesmalltext"/>
            </w:pPr>
            <w:r w:rsidRPr="00730D0F">
              <w:rPr>
                <w:color w:val="000000"/>
                <w:lang w:val="en-AU" w:eastAsia="en-AU"/>
              </w:rPr>
              <w:t>6.2.4.3 On soils of high erosion hazard, use temporary sediment traps to prevent erosion during road construction</w:t>
            </w:r>
          </w:p>
        </w:tc>
      </w:tr>
      <w:tr w:rsidR="00D27DDC" w14:paraId="15F2F2C7" w14:textId="77777777" w:rsidTr="00D27DDC">
        <w:tc>
          <w:tcPr>
            <w:tcW w:w="391" w:type="pct"/>
          </w:tcPr>
          <w:p w14:paraId="5FA3DEB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26.01</w:t>
            </w:r>
          </w:p>
        </w:tc>
        <w:tc>
          <w:tcPr>
            <w:tcW w:w="3488" w:type="pct"/>
          </w:tcPr>
          <w:p w14:paraId="2CA4BECB" w14:textId="77777777" w:rsidR="00D27DDC" w:rsidRPr="00730D0F" w:rsidRDefault="00D27DDC" w:rsidP="00D27DDC">
            <w:pPr>
              <w:pStyle w:val="Tablesmalltext"/>
              <w:rPr>
                <w:color w:val="000000"/>
                <w:lang w:val="en-AU" w:eastAsia="en-AU"/>
              </w:rPr>
            </w:pPr>
            <w:r w:rsidRPr="00730D0F">
              <w:rPr>
                <w:color w:val="000000"/>
                <w:lang w:val="en-AU" w:eastAsia="en-AU"/>
              </w:rPr>
              <w:t>Does the spacing between road drainage structures conform with the specifications of MSP Appendix 4 Table 21?</w:t>
            </w:r>
          </w:p>
        </w:tc>
        <w:tc>
          <w:tcPr>
            <w:tcW w:w="599" w:type="pct"/>
          </w:tcPr>
          <w:p w14:paraId="47384C2F" w14:textId="77777777" w:rsidR="00D27DDC" w:rsidRDefault="00D27DDC" w:rsidP="00D27DDC">
            <w:pPr>
              <w:pStyle w:val="Tablesmalltext"/>
              <w:jc w:val="center"/>
            </w:pPr>
            <w:r>
              <w:t>57%</w:t>
            </w:r>
          </w:p>
        </w:tc>
        <w:tc>
          <w:tcPr>
            <w:tcW w:w="522" w:type="pct"/>
          </w:tcPr>
          <w:p w14:paraId="55CF8A21" w14:textId="77777777" w:rsidR="00D27DDC" w:rsidRDefault="00D27DDC" w:rsidP="00D27DDC">
            <w:pPr>
              <w:pStyle w:val="Tablesmalltext"/>
              <w:jc w:val="center"/>
            </w:pPr>
            <w:r>
              <w:t>S,W,C</w:t>
            </w:r>
          </w:p>
        </w:tc>
      </w:tr>
      <w:tr w:rsidR="00D27DDC" w14:paraId="3A64D1D6" w14:textId="77777777" w:rsidTr="00D27DDC">
        <w:tc>
          <w:tcPr>
            <w:tcW w:w="391" w:type="pct"/>
          </w:tcPr>
          <w:p w14:paraId="2458672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26.02</w:t>
            </w:r>
          </w:p>
        </w:tc>
        <w:tc>
          <w:tcPr>
            <w:tcW w:w="3488" w:type="pct"/>
          </w:tcPr>
          <w:p w14:paraId="6E7A191C" w14:textId="77777777" w:rsidR="00D27DDC" w:rsidRPr="00730D0F" w:rsidRDefault="00D27DDC" w:rsidP="00D27DDC">
            <w:pPr>
              <w:pStyle w:val="Tablesmalltext"/>
              <w:rPr>
                <w:color w:val="000000"/>
                <w:lang w:val="en-AU" w:eastAsia="en-AU"/>
              </w:rPr>
            </w:pPr>
            <w:r w:rsidRPr="00730D0F">
              <w:rPr>
                <w:color w:val="000000"/>
                <w:lang w:val="en-AU" w:eastAsia="en-AU"/>
              </w:rPr>
              <w:t>Have cross drains been constructed at sufficient angle to discharge any water from the surface of the road?</w:t>
            </w:r>
          </w:p>
        </w:tc>
        <w:tc>
          <w:tcPr>
            <w:tcW w:w="599" w:type="pct"/>
          </w:tcPr>
          <w:p w14:paraId="5D222E1F" w14:textId="77777777" w:rsidR="00D27DDC" w:rsidRDefault="00D27DDC" w:rsidP="00D27DDC">
            <w:pPr>
              <w:pStyle w:val="Tablesmalltext"/>
              <w:jc w:val="center"/>
            </w:pPr>
            <w:r>
              <w:t>95%</w:t>
            </w:r>
          </w:p>
        </w:tc>
        <w:tc>
          <w:tcPr>
            <w:tcW w:w="522" w:type="pct"/>
          </w:tcPr>
          <w:p w14:paraId="03504B49" w14:textId="77777777" w:rsidR="00D27DDC" w:rsidRDefault="00D27DDC" w:rsidP="00D27DDC">
            <w:pPr>
              <w:pStyle w:val="Tablesmalltext"/>
              <w:jc w:val="center"/>
            </w:pPr>
            <w:r>
              <w:t>C</w:t>
            </w:r>
          </w:p>
        </w:tc>
      </w:tr>
      <w:tr w:rsidR="00D27DDC" w14:paraId="3CD1B3C1" w14:textId="77777777" w:rsidTr="00D27DDC">
        <w:tc>
          <w:tcPr>
            <w:tcW w:w="391" w:type="pct"/>
          </w:tcPr>
          <w:p w14:paraId="48D2DFE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26.03</w:t>
            </w:r>
          </w:p>
        </w:tc>
        <w:tc>
          <w:tcPr>
            <w:tcW w:w="3488" w:type="pct"/>
          </w:tcPr>
          <w:p w14:paraId="5CE56821" w14:textId="65F97ABE" w:rsidR="00D27DDC" w:rsidRPr="00730D0F" w:rsidRDefault="00D27DDC" w:rsidP="00D27DDC">
            <w:pPr>
              <w:pStyle w:val="Tablesmalltext"/>
              <w:rPr>
                <w:color w:val="000000"/>
                <w:lang w:val="en-AU" w:eastAsia="en-AU"/>
              </w:rPr>
            </w:pPr>
            <w:r w:rsidRPr="00730D0F">
              <w:rPr>
                <w:color w:val="000000"/>
                <w:lang w:val="en-AU" w:eastAsia="en-AU"/>
              </w:rPr>
              <w:t>On coupes with soils of high erosion hazard, have temporary sediment traps been used to prevent erosion using road construction?</w:t>
            </w:r>
          </w:p>
        </w:tc>
        <w:tc>
          <w:tcPr>
            <w:tcW w:w="599" w:type="pct"/>
          </w:tcPr>
          <w:p w14:paraId="67D89C71" w14:textId="77777777" w:rsidR="00D27DDC" w:rsidRDefault="00D27DDC" w:rsidP="00D27DDC">
            <w:pPr>
              <w:pStyle w:val="Tablesmalltext"/>
              <w:jc w:val="center"/>
            </w:pPr>
            <w:r>
              <w:t>No applicable coupes</w:t>
            </w:r>
          </w:p>
        </w:tc>
        <w:tc>
          <w:tcPr>
            <w:tcW w:w="522" w:type="pct"/>
          </w:tcPr>
          <w:p w14:paraId="7BF68ED0" w14:textId="77777777" w:rsidR="00D27DDC" w:rsidRDefault="00D27DDC" w:rsidP="00D27DDC">
            <w:pPr>
              <w:pStyle w:val="Tablesmalltext"/>
              <w:jc w:val="center"/>
            </w:pPr>
            <w:r>
              <w:t>S,W,C</w:t>
            </w:r>
          </w:p>
        </w:tc>
      </w:tr>
      <w:tr w:rsidR="00D27DDC" w14:paraId="61748E82" w14:textId="77777777" w:rsidTr="00D27DDC">
        <w:tc>
          <w:tcPr>
            <w:tcW w:w="391" w:type="pct"/>
            <w:shd w:val="clear" w:color="auto" w:fill="FFEBD0" w:themeFill="accent4" w:themeFillTint="33"/>
          </w:tcPr>
          <w:p w14:paraId="53E9C60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C</w:t>
            </w:r>
          </w:p>
        </w:tc>
        <w:tc>
          <w:tcPr>
            <w:tcW w:w="4609" w:type="pct"/>
            <w:gridSpan w:val="3"/>
            <w:shd w:val="clear" w:color="auto" w:fill="FFEBD0" w:themeFill="accent4" w:themeFillTint="33"/>
          </w:tcPr>
          <w:p w14:paraId="4A600A36" w14:textId="77777777" w:rsidR="00D27DDC" w:rsidRDefault="00D27DDC" w:rsidP="00D27DDC">
            <w:pPr>
              <w:pStyle w:val="Tablesmalltext"/>
            </w:pPr>
            <w:r w:rsidRPr="00730D0F">
              <w:rPr>
                <w:color w:val="000000"/>
                <w:lang w:val="en-AU" w:eastAsia="en-AU"/>
              </w:rPr>
              <w:t>2.4.2.9 Before entering a waterway road drainage must discharge onto vegetation or through a structure that effectively dissipates the velocity of drainage flows.</w:t>
            </w:r>
          </w:p>
        </w:tc>
      </w:tr>
      <w:tr w:rsidR="00D27DDC" w14:paraId="7C69D780" w14:textId="77777777" w:rsidTr="00523E3C">
        <w:tc>
          <w:tcPr>
            <w:tcW w:w="391" w:type="pct"/>
            <w:shd w:val="clear" w:color="auto" w:fill="FFFFCC"/>
          </w:tcPr>
          <w:p w14:paraId="4F8C09B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A5D67F4" w14:textId="77777777" w:rsidR="00D27DDC" w:rsidRDefault="00D27DDC" w:rsidP="00D27DDC">
            <w:pPr>
              <w:pStyle w:val="Tablesmalltext"/>
            </w:pPr>
            <w:r w:rsidRPr="00730D0F">
              <w:rPr>
                <w:color w:val="000000"/>
                <w:lang w:val="en-AU" w:eastAsia="en-AU"/>
              </w:rPr>
              <w:t xml:space="preserve">6.2.4.4 Appropriate discharge areas for drainage include: (a) a strip of undisturbed vegetation at least 20 m wide; (b) a rock spill; or (c) some other structure that dissipates the velocity of drainage flows. </w:t>
            </w:r>
          </w:p>
        </w:tc>
      </w:tr>
      <w:tr w:rsidR="00D27DDC" w14:paraId="0476D45A" w14:textId="77777777" w:rsidTr="00523E3C">
        <w:tc>
          <w:tcPr>
            <w:tcW w:w="391" w:type="pct"/>
            <w:shd w:val="clear" w:color="auto" w:fill="FFFFCC"/>
          </w:tcPr>
          <w:p w14:paraId="037D3DD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6BB2491" w14:textId="77777777" w:rsidR="00D27DDC" w:rsidRDefault="00D27DDC" w:rsidP="00D27DDC">
            <w:pPr>
              <w:pStyle w:val="Tablesmalltext"/>
            </w:pPr>
            <w:r w:rsidRPr="00730D0F">
              <w:rPr>
                <w:color w:val="000000"/>
                <w:lang w:val="en-AU" w:eastAsia="en-AU"/>
              </w:rPr>
              <w:t xml:space="preserve">6.2.4.5 Place drainage structures approximately 20 m from permanent or temporary streams, to allow discharge onto undisturbed vegetation and to maximise the flow distance between the drainage outlet and the waterway. </w:t>
            </w:r>
          </w:p>
        </w:tc>
      </w:tr>
      <w:tr w:rsidR="00D27DDC" w14:paraId="3E54ECCC" w14:textId="77777777" w:rsidTr="00523E3C">
        <w:tc>
          <w:tcPr>
            <w:tcW w:w="391" w:type="pct"/>
            <w:shd w:val="clear" w:color="auto" w:fill="FFFFCC"/>
          </w:tcPr>
          <w:p w14:paraId="5DBD35F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ECC4A8E" w14:textId="77777777" w:rsidR="00D27DDC" w:rsidRDefault="00D27DDC" w:rsidP="00D27DDC">
            <w:pPr>
              <w:pStyle w:val="Tablesmalltext"/>
            </w:pPr>
            <w:r w:rsidRPr="00730D0F">
              <w:rPr>
                <w:color w:val="000000"/>
                <w:lang w:val="en-AU" w:eastAsia="en-AU"/>
              </w:rPr>
              <w:t>6.2.4.6 Within 20 m of a permanent or temporary stream: (a) use crown or cross fall techniques to drain roads into undisturbed vegetation; or (b) pass drainage through an appropriate sediment control structure such as a sediment pond or silt trap before entering a permanent or temporary stream.</w:t>
            </w:r>
          </w:p>
        </w:tc>
      </w:tr>
      <w:tr w:rsidR="00D27DDC" w14:paraId="19073F2D" w14:textId="77777777" w:rsidTr="00D27DDC">
        <w:tc>
          <w:tcPr>
            <w:tcW w:w="391" w:type="pct"/>
          </w:tcPr>
          <w:p w14:paraId="5B0D255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26.04</w:t>
            </w:r>
          </w:p>
        </w:tc>
        <w:tc>
          <w:tcPr>
            <w:tcW w:w="3488" w:type="pct"/>
          </w:tcPr>
          <w:p w14:paraId="225DCB7A" w14:textId="77777777" w:rsidR="00D27DDC" w:rsidRPr="00730D0F" w:rsidRDefault="00D27DDC" w:rsidP="00D27DDC">
            <w:pPr>
              <w:pStyle w:val="Tablesmalltext"/>
              <w:rPr>
                <w:color w:val="000000"/>
                <w:lang w:val="en-AU" w:eastAsia="en-AU"/>
              </w:rPr>
            </w:pPr>
            <w:r w:rsidRPr="00730D0F">
              <w:rPr>
                <w:color w:val="000000"/>
                <w:lang w:val="en-AU" w:eastAsia="en-AU"/>
              </w:rPr>
              <w:t>Do drainage discharge areas comply with MSP 6.2.4.4 specifications?</w:t>
            </w:r>
          </w:p>
        </w:tc>
        <w:tc>
          <w:tcPr>
            <w:tcW w:w="599" w:type="pct"/>
          </w:tcPr>
          <w:p w14:paraId="0353D77F" w14:textId="77777777" w:rsidR="00D27DDC" w:rsidRDefault="00D27DDC" w:rsidP="00D27DDC">
            <w:pPr>
              <w:pStyle w:val="Tablesmalltext"/>
              <w:jc w:val="center"/>
            </w:pPr>
            <w:r>
              <w:t>83%</w:t>
            </w:r>
          </w:p>
        </w:tc>
        <w:tc>
          <w:tcPr>
            <w:tcW w:w="522" w:type="pct"/>
          </w:tcPr>
          <w:p w14:paraId="427EE440" w14:textId="77777777" w:rsidR="00D27DDC" w:rsidRDefault="00D27DDC" w:rsidP="00D27DDC">
            <w:pPr>
              <w:pStyle w:val="Tablesmalltext"/>
              <w:jc w:val="center"/>
            </w:pPr>
            <w:r>
              <w:t>S,W,C</w:t>
            </w:r>
          </w:p>
        </w:tc>
      </w:tr>
      <w:tr w:rsidR="00D27DDC" w14:paraId="47C96FF8" w14:textId="77777777" w:rsidTr="00D27DDC">
        <w:tc>
          <w:tcPr>
            <w:tcW w:w="391" w:type="pct"/>
          </w:tcPr>
          <w:p w14:paraId="460F563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26.05</w:t>
            </w:r>
          </w:p>
        </w:tc>
        <w:tc>
          <w:tcPr>
            <w:tcW w:w="3488" w:type="pct"/>
          </w:tcPr>
          <w:p w14:paraId="556C91DE" w14:textId="77777777" w:rsidR="00D27DDC" w:rsidRPr="00730D0F" w:rsidRDefault="00D27DDC" w:rsidP="00D27DDC">
            <w:pPr>
              <w:pStyle w:val="Tablesmalltext"/>
              <w:rPr>
                <w:color w:val="000000"/>
                <w:lang w:val="en-AU" w:eastAsia="en-AU"/>
              </w:rPr>
            </w:pPr>
            <w:r w:rsidRPr="00730D0F">
              <w:rPr>
                <w:color w:val="000000"/>
                <w:lang w:val="en-AU" w:eastAsia="en-AU"/>
              </w:rPr>
              <w:t xml:space="preserve">Do drainage structures allow interception and discharge of road drainage prior to a stream crossing, as per MSP 6.2.4.5?  </w:t>
            </w:r>
          </w:p>
        </w:tc>
        <w:tc>
          <w:tcPr>
            <w:tcW w:w="599" w:type="pct"/>
          </w:tcPr>
          <w:p w14:paraId="4124C977" w14:textId="77777777" w:rsidR="00D27DDC" w:rsidRDefault="00D27DDC" w:rsidP="00D27DDC">
            <w:pPr>
              <w:pStyle w:val="Tablesmalltext"/>
              <w:jc w:val="center"/>
            </w:pPr>
            <w:r>
              <w:t>50%</w:t>
            </w:r>
          </w:p>
        </w:tc>
        <w:tc>
          <w:tcPr>
            <w:tcW w:w="522" w:type="pct"/>
          </w:tcPr>
          <w:p w14:paraId="3B51AF93" w14:textId="77777777" w:rsidR="00D27DDC" w:rsidRDefault="00D27DDC" w:rsidP="00D27DDC">
            <w:pPr>
              <w:pStyle w:val="Tablesmalltext"/>
              <w:jc w:val="center"/>
            </w:pPr>
            <w:r>
              <w:t>S,W,C</w:t>
            </w:r>
          </w:p>
        </w:tc>
      </w:tr>
      <w:tr w:rsidR="00D27DDC" w14:paraId="659934BC" w14:textId="77777777" w:rsidTr="00D27DDC">
        <w:tc>
          <w:tcPr>
            <w:tcW w:w="391" w:type="pct"/>
          </w:tcPr>
          <w:p w14:paraId="15D9679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26.06</w:t>
            </w:r>
          </w:p>
        </w:tc>
        <w:tc>
          <w:tcPr>
            <w:tcW w:w="3488" w:type="pct"/>
          </w:tcPr>
          <w:p w14:paraId="506703C9" w14:textId="77777777" w:rsidR="00D27DDC" w:rsidRPr="00730D0F" w:rsidRDefault="00D27DDC" w:rsidP="00D27DDC">
            <w:pPr>
              <w:pStyle w:val="Tablesmalltext"/>
              <w:rPr>
                <w:color w:val="000000"/>
                <w:lang w:val="en-AU" w:eastAsia="en-AU"/>
              </w:rPr>
            </w:pPr>
            <w:r w:rsidRPr="00730D0F">
              <w:rPr>
                <w:color w:val="000000"/>
                <w:lang w:val="en-AU" w:eastAsia="en-AU"/>
              </w:rPr>
              <w:t>Does road construction appropriately manage road drainage in the final 20 m prior to a stream crossing, as per MSP 6.2.4.6?</w:t>
            </w:r>
          </w:p>
        </w:tc>
        <w:tc>
          <w:tcPr>
            <w:tcW w:w="599" w:type="pct"/>
          </w:tcPr>
          <w:p w14:paraId="1B091542" w14:textId="77777777" w:rsidR="00D27DDC" w:rsidRDefault="00D27DDC" w:rsidP="00D27DDC">
            <w:pPr>
              <w:pStyle w:val="Tablesmalltext"/>
              <w:jc w:val="center"/>
            </w:pPr>
            <w:r>
              <w:t>63%</w:t>
            </w:r>
          </w:p>
        </w:tc>
        <w:tc>
          <w:tcPr>
            <w:tcW w:w="522" w:type="pct"/>
          </w:tcPr>
          <w:p w14:paraId="46813348" w14:textId="77777777" w:rsidR="00D27DDC" w:rsidRDefault="00D27DDC" w:rsidP="00D27DDC">
            <w:pPr>
              <w:pStyle w:val="Tablesmalltext"/>
              <w:jc w:val="center"/>
            </w:pPr>
            <w:r>
              <w:t>S,W,C</w:t>
            </w:r>
          </w:p>
        </w:tc>
      </w:tr>
      <w:tr w:rsidR="00D27DDC" w14:paraId="0CB004F2" w14:textId="77777777" w:rsidTr="00523E3C">
        <w:tc>
          <w:tcPr>
            <w:tcW w:w="391" w:type="pct"/>
            <w:shd w:val="clear" w:color="auto" w:fill="FFFFCC"/>
          </w:tcPr>
          <w:p w14:paraId="4188F97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ED857E0" w14:textId="77777777" w:rsidR="00D27DDC" w:rsidRDefault="00D27DDC" w:rsidP="00D27DDC">
            <w:pPr>
              <w:pStyle w:val="Tablesmalltext"/>
            </w:pPr>
            <w:r w:rsidRPr="00730D0F">
              <w:rPr>
                <w:color w:val="000000"/>
                <w:lang w:val="en-AU" w:eastAsia="en-AU"/>
              </w:rPr>
              <w:t>6.2.4.7 Construct table drains to: (a) allow water to flow, without ponding; (b) include run</w:t>
            </w:r>
            <w:r w:rsidRPr="00730D0F">
              <w:rPr>
                <w:rFonts w:ascii="Cambria Math" w:hAnsi="Cambria Math" w:cs="Cambria Math"/>
                <w:color w:val="000000"/>
                <w:lang w:val="en-AU" w:eastAsia="en-AU"/>
              </w:rPr>
              <w:t>‐</w:t>
            </w:r>
            <w:r w:rsidRPr="00730D0F">
              <w:rPr>
                <w:color w:val="000000"/>
                <w:lang w:val="en-AU" w:eastAsia="en-AU"/>
              </w:rPr>
              <w:t>offs of sufficient length to allow the table drain and run</w:t>
            </w:r>
            <w:r w:rsidRPr="00730D0F">
              <w:rPr>
                <w:rFonts w:ascii="Cambria Math" w:hAnsi="Cambria Math" w:cs="Cambria Math"/>
                <w:color w:val="000000"/>
                <w:lang w:val="en-AU" w:eastAsia="en-AU"/>
              </w:rPr>
              <w:t>‐</w:t>
            </w:r>
            <w:r w:rsidRPr="00730D0F">
              <w:rPr>
                <w:color w:val="000000"/>
                <w:lang w:val="en-AU" w:eastAsia="en-AU"/>
              </w:rPr>
              <w:t>offs to be cleaned; (c) be supported by rock or otherwise stabilised in soils of a high erosion hazard; and (d) have silt traps constructed at the end if discharging directly into a stream or wetland buffer.</w:t>
            </w:r>
          </w:p>
        </w:tc>
      </w:tr>
      <w:tr w:rsidR="00D27DDC" w14:paraId="4279A883" w14:textId="77777777" w:rsidTr="00D27DDC">
        <w:tc>
          <w:tcPr>
            <w:tcW w:w="391" w:type="pct"/>
          </w:tcPr>
          <w:p w14:paraId="57BA5FD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26.07</w:t>
            </w:r>
          </w:p>
        </w:tc>
        <w:tc>
          <w:tcPr>
            <w:tcW w:w="3488" w:type="pct"/>
          </w:tcPr>
          <w:p w14:paraId="23FC00EB" w14:textId="77777777" w:rsidR="00D27DDC" w:rsidRPr="00730D0F" w:rsidRDefault="00D27DDC" w:rsidP="00D27DDC">
            <w:pPr>
              <w:pStyle w:val="Tablesmalltext"/>
              <w:rPr>
                <w:color w:val="000000"/>
                <w:lang w:val="en-AU" w:eastAsia="en-AU"/>
              </w:rPr>
            </w:pPr>
            <w:r w:rsidRPr="00730D0F">
              <w:rPr>
                <w:color w:val="000000"/>
                <w:lang w:val="en-AU" w:eastAsia="en-AU"/>
              </w:rPr>
              <w:t>Does construction of any table drain comply with the requirement of MSP 6.2.4.7?</w:t>
            </w:r>
          </w:p>
        </w:tc>
        <w:tc>
          <w:tcPr>
            <w:tcW w:w="599" w:type="pct"/>
          </w:tcPr>
          <w:p w14:paraId="15BBFF3B" w14:textId="77777777" w:rsidR="00D27DDC" w:rsidRDefault="00D27DDC" w:rsidP="00D27DDC">
            <w:pPr>
              <w:pStyle w:val="Tablesmalltext"/>
              <w:jc w:val="center"/>
            </w:pPr>
            <w:r>
              <w:t>100%</w:t>
            </w:r>
          </w:p>
        </w:tc>
        <w:tc>
          <w:tcPr>
            <w:tcW w:w="522" w:type="pct"/>
          </w:tcPr>
          <w:p w14:paraId="683B3553" w14:textId="77777777" w:rsidR="00D27DDC" w:rsidRDefault="00D27DDC" w:rsidP="00D27DDC">
            <w:pPr>
              <w:pStyle w:val="Tablesmalltext"/>
              <w:jc w:val="center"/>
            </w:pPr>
            <w:r>
              <w:t>C</w:t>
            </w:r>
          </w:p>
        </w:tc>
      </w:tr>
      <w:tr w:rsidR="00D27DDC" w14:paraId="21F0D274" w14:textId="77777777" w:rsidTr="00523E3C">
        <w:tc>
          <w:tcPr>
            <w:tcW w:w="391" w:type="pct"/>
            <w:shd w:val="clear" w:color="auto" w:fill="FFFFCC"/>
          </w:tcPr>
          <w:p w14:paraId="504290F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4C12D3A" w14:textId="77777777" w:rsidR="00D27DDC" w:rsidRDefault="00D27DDC" w:rsidP="00D27DDC">
            <w:pPr>
              <w:pStyle w:val="Tablesmalltext"/>
            </w:pPr>
            <w:r w:rsidRPr="00730D0F">
              <w:rPr>
                <w:i/>
                <w:iCs/>
                <w:color w:val="000000"/>
                <w:lang w:val="en-AU" w:eastAsia="en-AU"/>
              </w:rPr>
              <w:t>MSP6.2.5 Culverts</w:t>
            </w:r>
          </w:p>
        </w:tc>
      </w:tr>
      <w:tr w:rsidR="00D27DDC" w14:paraId="7685B7E7" w14:textId="77777777" w:rsidTr="00523E3C">
        <w:tc>
          <w:tcPr>
            <w:tcW w:w="391" w:type="pct"/>
            <w:shd w:val="clear" w:color="auto" w:fill="FFFFCC"/>
          </w:tcPr>
          <w:p w14:paraId="2EC6717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DFB234B" w14:textId="77777777" w:rsidR="00D27DDC" w:rsidRDefault="00D27DDC" w:rsidP="00D27DDC">
            <w:pPr>
              <w:pStyle w:val="Tablesmalltext"/>
            </w:pPr>
            <w:r w:rsidRPr="00730D0F">
              <w:rPr>
                <w:color w:val="000000"/>
                <w:lang w:val="en-AU" w:eastAsia="en-AU"/>
              </w:rPr>
              <w:t xml:space="preserve">6.2.5.1 Culverts used in permanent roads are a minimum of 375 mm in diameter. </w:t>
            </w:r>
          </w:p>
        </w:tc>
      </w:tr>
      <w:tr w:rsidR="00D27DDC" w14:paraId="43B675C1" w14:textId="77777777" w:rsidTr="00523E3C">
        <w:tc>
          <w:tcPr>
            <w:tcW w:w="391" w:type="pct"/>
            <w:shd w:val="clear" w:color="auto" w:fill="FFFFCC"/>
          </w:tcPr>
          <w:p w14:paraId="02ED19F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D092AA9" w14:textId="77777777" w:rsidR="00D27DDC" w:rsidRDefault="00D27DDC" w:rsidP="00D27DDC">
            <w:pPr>
              <w:pStyle w:val="Tablesmalltext"/>
            </w:pPr>
            <w:r w:rsidRPr="00730D0F">
              <w:rPr>
                <w:color w:val="000000"/>
                <w:lang w:val="en-AU" w:eastAsia="en-AU"/>
              </w:rPr>
              <w:t xml:space="preserve">6.2.5.2 Culverts used in temporary roads are a minimum of 300 mm in diameter. </w:t>
            </w:r>
          </w:p>
        </w:tc>
      </w:tr>
      <w:tr w:rsidR="00D27DDC" w14:paraId="6B5C02B1" w14:textId="77777777" w:rsidTr="00D27DDC">
        <w:tc>
          <w:tcPr>
            <w:tcW w:w="391" w:type="pct"/>
          </w:tcPr>
          <w:p w14:paraId="49D04E3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26.08</w:t>
            </w:r>
          </w:p>
        </w:tc>
        <w:tc>
          <w:tcPr>
            <w:tcW w:w="3488" w:type="pct"/>
          </w:tcPr>
          <w:p w14:paraId="5755A3C4" w14:textId="77777777" w:rsidR="00D27DDC" w:rsidRPr="00730D0F" w:rsidRDefault="00D27DDC" w:rsidP="00D27DDC">
            <w:pPr>
              <w:pStyle w:val="Tablesmalltext"/>
              <w:rPr>
                <w:color w:val="000000"/>
                <w:lang w:val="en-AU" w:eastAsia="en-AU"/>
              </w:rPr>
            </w:pPr>
            <w:r w:rsidRPr="00730D0F">
              <w:rPr>
                <w:color w:val="000000"/>
                <w:lang w:val="en-AU" w:eastAsia="en-AU"/>
              </w:rPr>
              <w:t>Is the size of the culvert consistent with the type of road, as per MSP 6.2.5.1 and 2?</w:t>
            </w:r>
          </w:p>
        </w:tc>
        <w:tc>
          <w:tcPr>
            <w:tcW w:w="599" w:type="pct"/>
          </w:tcPr>
          <w:p w14:paraId="0B7885DA" w14:textId="77777777" w:rsidR="00D27DDC" w:rsidRDefault="00D27DDC" w:rsidP="00D27DDC">
            <w:pPr>
              <w:pStyle w:val="Tablesmalltext"/>
              <w:jc w:val="center"/>
            </w:pPr>
            <w:r>
              <w:t>100%</w:t>
            </w:r>
          </w:p>
        </w:tc>
        <w:tc>
          <w:tcPr>
            <w:tcW w:w="522" w:type="pct"/>
          </w:tcPr>
          <w:p w14:paraId="29B3A209" w14:textId="77777777" w:rsidR="00D27DDC" w:rsidRDefault="00D27DDC" w:rsidP="00D27DDC">
            <w:pPr>
              <w:pStyle w:val="Tablesmalltext"/>
              <w:jc w:val="center"/>
            </w:pPr>
            <w:r>
              <w:t>C</w:t>
            </w:r>
          </w:p>
        </w:tc>
      </w:tr>
      <w:tr w:rsidR="00D27DDC" w14:paraId="2CDEB0D6" w14:textId="77777777" w:rsidTr="00523E3C">
        <w:tc>
          <w:tcPr>
            <w:tcW w:w="391" w:type="pct"/>
            <w:shd w:val="clear" w:color="auto" w:fill="FFFFCC"/>
          </w:tcPr>
          <w:p w14:paraId="43E02ED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A710522" w14:textId="77777777" w:rsidR="00D27DDC" w:rsidRDefault="00D27DDC" w:rsidP="00D27DDC">
            <w:pPr>
              <w:pStyle w:val="Tablesmalltext"/>
            </w:pPr>
            <w:r w:rsidRPr="00730D0F">
              <w:rPr>
                <w:color w:val="000000"/>
                <w:lang w:val="en-AU" w:eastAsia="en-AU"/>
              </w:rPr>
              <w:t>6.2.5.3 All culverts are designed to withstand a 1 in 10 year rainfall event.</w:t>
            </w:r>
          </w:p>
        </w:tc>
      </w:tr>
      <w:tr w:rsidR="00D27DDC" w14:paraId="445F91E1" w14:textId="77777777" w:rsidTr="00523E3C">
        <w:tc>
          <w:tcPr>
            <w:tcW w:w="391" w:type="pct"/>
            <w:shd w:val="clear" w:color="auto" w:fill="FFFFCC"/>
          </w:tcPr>
          <w:p w14:paraId="7632C02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402A423" w14:textId="77777777" w:rsidR="00D27DDC" w:rsidRDefault="00D27DDC" w:rsidP="00D27DDC">
            <w:pPr>
              <w:pStyle w:val="Tablesmalltext"/>
            </w:pPr>
            <w:r w:rsidRPr="00730D0F">
              <w:rPr>
                <w:color w:val="000000"/>
                <w:lang w:val="en-AU" w:eastAsia="en-AU"/>
              </w:rPr>
              <w:t xml:space="preserve">6.2.5.4 Construct culverts in catchment areas exceeding 100 ha in accordance with engineering advice. </w:t>
            </w:r>
          </w:p>
        </w:tc>
      </w:tr>
      <w:tr w:rsidR="00D27DDC" w14:paraId="14F5F1C7" w14:textId="77777777" w:rsidTr="00D27DDC">
        <w:tc>
          <w:tcPr>
            <w:tcW w:w="391" w:type="pct"/>
          </w:tcPr>
          <w:p w14:paraId="216C434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26.09</w:t>
            </w:r>
          </w:p>
        </w:tc>
        <w:tc>
          <w:tcPr>
            <w:tcW w:w="3488" w:type="pct"/>
          </w:tcPr>
          <w:p w14:paraId="515E9D4A" w14:textId="77777777" w:rsidR="00D27DDC" w:rsidRPr="00730D0F" w:rsidRDefault="00D27DDC" w:rsidP="00D27DDC">
            <w:pPr>
              <w:pStyle w:val="Tablesmalltext"/>
              <w:rPr>
                <w:color w:val="000000"/>
                <w:lang w:val="en-AU" w:eastAsia="en-AU"/>
              </w:rPr>
            </w:pPr>
            <w:r w:rsidRPr="00730D0F">
              <w:rPr>
                <w:color w:val="000000"/>
                <w:lang w:val="en-AU" w:eastAsia="en-AU"/>
              </w:rPr>
              <w:t>Is there evidence in the FCP that the size of the culvert is consistent with flow requirements in a 10% AEP rainfall event?</w:t>
            </w:r>
          </w:p>
        </w:tc>
        <w:tc>
          <w:tcPr>
            <w:tcW w:w="599" w:type="pct"/>
          </w:tcPr>
          <w:p w14:paraId="35C50231" w14:textId="77777777" w:rsidR="00D27DDC" w:rsidRDefault="00D27DDC" w:rsidP="00D27DDC">
            <w:pPr>
              <w:pStyle w:val="Tablesmalltext"/>
              <w:jc w:val="center"/>
            </w:pPr>
            <w:r>
              <w:t>0%</w:t>
            </w:r>
          </w:p>
        </w:tc>
        <w:tc>
          <w:tcPr>
            <w:tcW w:w="522" w:type="pct"/>
          </w:tcPr>
          <w:p w14:paraId="61F1D143" w14:textId="77777777" w:rsidR="00D27DDC" w:rsidRDefault="00D27DDC" w:rsidP="00D27DDC">
            <w:pPr>
              <w:pStyle w:val="Tablesmalltext"/>
              <w:jc w:val="center"/>
            </w:pPr>
            <w:r>
              <w:t>C</w:t>
            </w:r>
          </w:p>
        </w:tc>
      </w:tr>
      <w:tr w:rsidR="00D27DDC" w14:paraId="2B94150B" w14:textId="77777777" w:rsidTr="00D27DDC">
        <w:tc>
          <w:tcPr>
            <w:tcW w:w="391" w:type="pct"/>
          </w:tcPr>
          <w:p w14:paraId="3A490B2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26.10</w:t>
            </w:r>
          </w:p>
        </w:tc>
        <w:tc>
          <w:tcPr>
            <w:tcW w:w="3488" w:type="pct"/>
          </w:tcPr>
          <w:p w14:paraId="1F3CAE6F" w14:textId="77777777" w:rsidR="00D27DDC" w:rsidRPr="00730D0F" w:rsidRDefault="00D27DDC" w:rsidP="00D27DDC">
            <w:pPr>
              <w:pStyle w:val="Tablesmalltext"/>
              <w:rPr>
                <w:color w:val="000000"/>
                <w:lang w:val="en-AU" w:eastAsia="en-AU"/>
              </w:rPr>
            </w:pPr>
            <w:r w:rsidRPr="00730D0F">
              <w:rPr>
                <w:color w:val="000000"/>
                <w:lang w:val="en-AU" w:eastAsia="en-AU"/>
              </w:rPr>
              <w:t>Where the catchment area exceeds 100 ha, Is there evidence in the FCP that engineering advice has been provided on culvert construction?</w:t>
            </w:r>
          </w:p>
        </w:tc>
        <w:tc>
          <w:tcPr>
            <w:tcW w:w="599" w:type="pct"/>
          </w:tcPr>
          <w:p w14:paraId="75FC89B3" w14:textId="77777777" w:rsidR="00D27DDC" w:rsidRDefault="00D27DDC" w:rsidP="00D27DDC">
            <w:pPr>
              <w:pStyle w:val="Tablesmalltext"/>
              <w:jc w:val="center"/>
            </w:pPr>
            <w:r>
              <w:t>No applicable coupes</w:t>
            </w:r>
          </w:p>
        </w:tc>
        <w:tc>
          <w:tcPr>
            <w:tcW w:w="522" w:type="pct"/>
          </w:tcPr>
          <w:p w14:paraId="743B8CC3" w14:textId="77777777" w:rsidR="00D27DDC" w:rsidRDefault="00D27DDC" w:rsidP="00D27DDC">
            <w:pPr>
              <w:pStyle w:val="Tablesmalltext"/>
              <w:jc w:val="center"/>
            </w:pPr>
            <w:r>
              <w:t>C</w:t>
            </w:r>
          </w:p>
        </w:tc>
      </w:tr>
      <w:tr w:rsidR="00D27DDC" w14:paraId="2AD9A6DB" w14:textId="77777777" w:rsidTr="00523E3C">
        <w:tc>
          <w:tcPr>
            <w:tcW w:w="391" w:type="pct"/>
            <w:shd w:val="clear" w:color="auto" w:fill="FFFFCC"/>
          </w:tcPr>
          <w:p w14:paraId="6AF818B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ADA1162" w14:textId="77777777" w:rsidR="00D27DDC" w:rsidRDefault="00D27DDC" w:rsidP="00D27DDC">
            <w:pPr>
              <w:pStyle w:val="Tablesmalltext"/>
            </w:pPr>
            <w:r w:rsidRPr="00730D0F">
              <w:rPr>
                <w:color w:val="000000"/>
                <w:lang w:val="en-AU" w:eastAsia="en-AU"/>
              </w:rPr>
              <w:t xml:space="preserve">6.2.5.5 On drainage lines, stream and river crossings or soils of High Erosion Hazard place sandbags, timber, concrete or rock at the head of the culvert and at the point of discharge to hold the culvert in place and protect it from erosion. </w:t>
            </w:r>
          </w:p>
        </w:tc>
      </w:tr>
      <w:tr w:rsidR="00D27DDC" w14:paraId="37E5C4D7" w14:textId="77777777" w:rsidTr="00D27DDC">
        <w:tc>
          <w:tcPr>
            <w:tcW w:w="391" w:type="pct"/>
          </w:tcPr>
          <w:p w14:paraId="7AE2F99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26.11</w:t>
            </w:r>
          </w:p>
        </w:tc>
        <w:tc>
          <w:tcPr>
            <w:tcW w:w="3488" w:type="pct"/>
          </w:tcPr>
          <w:p w14:paraId="708F2F56" w14:textId="77777777" w:rsidR="00D27DDC" w:rsidRPr="00730D0F" w:rsidRDefault="00D27DDC" w:rsidP="00D27DDC">
            <w:pPr>
              <w:pStyle w:val="Tablesmalltext"/>
              <w:rPr>
                <w:color w:val="000000"/>
                <w:lang w:val="en-AU" w:eastAsia="en-AU"/>
              </w:rPr>
            </w:pPr>
            <w:r w:rsidRPr="00730D0F">
              <w:rPr>
                <w:color w:val="000000"/>
                <w:lang w:val="en-AU" w:eastAsia="en-AU"/>
              </w:rPr>
              <w:t>Have the head and outlet of culvert(s) been constructed as specified in MSP 6.2.5.5 to hold them in place and protect from erosion?</w:t>
            </w:r>
          </w:p>
        </w:tc>
        <w:tc>
          <w:tcPr>
            <w:tcW w:w="599" w:type="pct"/>
          </w:tcPr>
          <w:p w14:paraId="4017E9B5" w14:textId="77777777" w:rsidR="00D27DDC" w:rsidRDefault="00D27DDC" w:rsidP="00D27DDC">
            <w:pPr>
              <w:pStyle w:val="Tablesmalltext"/>
              <w:jc w:val="center"/>
            </w:pPr>
            <w:r>
              <w:t>100%</w:t>
            </w:r>
          </w:p>
        </w:tc>
        <w:tc>
          <w:tcPr>
            <w:tcW w:w="522" w:type="pct"/>
          </w:tcPr>
          <w:p w14:paraId="706D9B25" w14:textId="77777777" w:rsidR="00D27DDC" w:rsidRDefault="00D27DDC" w:rsidP="00D27DDC">
            <w:pPr>
              <w:pStyle w:val="Tablesmalltext"/>
              <w:jc w:val="center"/>
            </w:pPr>
            <w:r>
              <w:t>W,C</w:t>
            </w:r>
          </w:p>
        </w:tc>
      </w:tr>
      <w:tr w:rsidR="00D27DDC" w14:paraId="1EA35DDB" w14:textId="77777777" w:rsidTr="00D27DDC">
        <w:tc>
          <w:tcPr>
            <w:tcW w:w="391" w:type="pct"/>
          </w:tcPr>
          <w:p w14:paraId="04BD434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26.12</w:t>
            </w:r>
          </w:p>
        </w:tc>
        <w:tc>
          <w:tcPr>
            <w:tcW w:w="3488" w:type="pct"/>
          </w:tcPr>
          <w:p w14:paraId="6BC9AB3D" w14:textId="77777777" w:rsidR="00D27DDC" w:rsidRPr="00730D0F" w:rsidRDefault="00D27DDC" w:rsidP="00D27DDC">
            <w:pPr>
              <w:pStyle w:val="Tablesmalltext"/>
              <w:rPr>
                <w:color w:val="000000"/>
                <w:lang w:val="en-AU" w:eastAsia="en-AU"/>
              </w:rPr>
            </w:pPr>
            <w:r w:rsidRPr="00730D0F">
              <w:rPr>
                <w:color w:val="000000"/>
                <w:lang w:val="en-AU" w:eastAsia="en-AU"/>
              </w:rPr>
              <w:t>Is there evidence of erosion at the head and/or outlet of the culvert?</w:t>
            </w:r>
          </w:p>
        </w:tc>
        <w:tc>
          <w:tcPr>
            <w:tcW w:w="599" w:type="pct"/>
          </w:tcPr>
          <w:p w14:paraId="32BB3DD2" w14:textId="77777777" w:rsidR="00D27DDC" w:rsidRDefault="00D27DDC" w:rsidP="00D27DDC">
            <w:pPr>
              <w:pStyle w:val="Tablesmalltext"/>
              <w:jc w:val="center"/>
            </w:pPr>
            <w:r>
              <w:t>83%</w:t>
            </w:r>
          </w:p>
        </w:tc>
        <w:tc>
          <w:tcPr>
            <w:tcW w:w="522" w:type="pct"/>
          </w:tcPr>
          <w:p w14:paraId="543F621A" w14:textId="77777777" w:rsidR="00D27DDC" w:rsidRDefault="00D27DDC" w:rsidP="00D27DDC">
            <w:pPr>
              <w:pStyle w:val="Tablesmalltext"/>
              <w:jc w:val="center"/>
            </w:pPr>
            <w:r>
              <w:t>W,C</w:t>
            </w:r>
          </w:p>
        </w:tc>
      </w:tr>
      <w:tr w:rsidR="00D27DDC" w14:paraId="59791E8B" w14:textId="77777777" w:rsidTr="00523E3C">
        <w:tc>
          <w:tcPr>
            <w:tcW w:w="391" w:type="pct"/>
            <w:shd w:val="clear" w:color="auto" w:fill="FFFFCC"/>
          </w:tcPr>
          <w:p w14:paraId="7C546F4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E3EC785" w14:textId="77777777" w:rsidR="00D27DDC" w:rsidRDefault="00D27DDC" w:rsidP="00D27DDC">
            <w:pPr>
              <w:pStyle w:val="Tablesmalltext"/>
            </w:pPr>
            <w:r w:rsidRPr="00730D0F">
              <w:rPr>
                <w:color w:val="000000"/>
                <w:lang w:val="en-AU" w:eastAsia="en-AU"/>
              </w:rPr>
              <w:t>6.2.5.7 If constructed of concrete, have a minimum cover of 600 mm as measured from the road surface to the top of the pipe and a maximum cover as specified in the Installation of Steel</w:t>
            </w:r>
            <w:r w:rsidRPr="00730D0F">
              <w:rPr>
                <w:rFonts w:ascii="Cambria Math" w:hAnsi="Cambria Math" w:cs="Cambria Math"/>
                <w:color w:val="000000"/>
                <w:lang w:val="en-AU" w:eastAsia="en-AU"/>
              </w:rPr>
              <w:t>‐</w:t>
            </w:r>
            <w:r w:rsidRPr="00730D0F">
              <w:rPr>
                <w:color w:val="000000"/>
                <w:lang w:val="en-AU" w:eastAsia="en-AU"/>
              </w:rPr>
              <w:t>Reinforced Concrete Drainage Pipelines, Concrete Pipe Association of Australasia.</w:t>
            </w:r>
          </w:p>
        </w:tc>
      </w:tr>
      <w:tr w:rsidR="00D27DDC" w14:paraId="4BC97A34" w14:textId="77777777" w:rsidTr="00523E3C">
        <w:tc>
          <w:tcPr>
            <w:tcW w:w="391" w:type="pct"/>
            <w:shd w:val="clear" w:color="auto" w:fill="FFFFCC"/>
          </w:tcPr>
          <w:p w14:paraId="1695A38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5AFFEAA" w14:textId="77777777" w:rsidR="00D27DDC" w:rsidRDefault="00D27DDC" w:rsidP="00D27DDC">
            <w:pPr>
              <w:pStyle w:val="Tablesmalltext"/>
            </w:pPr>
            <w:r w:rsidRPr="00730D0F">
              <w:rPr>
                <w:color w:val="000000"/>
                <w:lang w:val="en-AU" w:eastAsia="en-AU"/>
              </w:rPr>
              <w:t xml:space="preserve">6.2.5.8 If constructed of a material other than concrete, have a minimum cover over the pipe as recommended in the manufacturer’s specifications. </w:t>
            </w:r>
          </w:p>
        </w:tc>
      </w:tr>
      <w:tr w:rsidR="00D27DDC" w14:paraId="536A01DA" w14:textId="77777777" w:rsidTr="00D27DDC">
        <w:tc>
          <w:tcPr>
            <w:tcW w:w="391" w:type="pct"/>
          </w:tcPr>
          <w:p w14:paraId="0B61EA7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26.13</w:t>
            </w:r>
          </w:p>
        </w:tc>
        <w:tc>
          <w:tcPr>
            <w:tcW w:w="3488" w:type="pct"/>
          </w:tcPr>
          <w:p w14:paraId="466BCAD1" w14:textId="77777777" w:rsidR="00D27DDC" w:rsidRPr="00730D0F" w:rsidRDefault="00D27DDC" w:rsidP="00D27DDC">
            <w:pPr>
              <w:pStyle w:val="Tablesmalltext"/>
              <w:rPr>
                <w:color w:val="000000"/>
                <w:lang w:val="en-AU" w:eastAsia="en-AU"/>
              </w:rPr>
            </w:pPr>
            <w:r w:rsidRPr="00730D0F">
              <w:rPr>
                <w:color w:val="000000"/>
                <w:lang w:val="en-AU" w:eastAsia="en-AU"/>
              </w:rPr>
              <w:t>Does the cover provided satisfy MSP 6.2.5.7/8 requirements, given the construction material?</w:t>
            </w:r>
          </w:p>
        </w:tc>
        <w:tc>
          <w:tcPr>
            <w:tcW w:w="599" w:type="pct"/>
          </w:tcPr>
          <w:p w14:paraId="30507EA1" w14:textId="77777777" w:rsidR="00D27DDC" w:rsidRDefault="00D27DDC" w:rsidP="00D27DDC">
            <w:pPr>
              <w:pStyle w:val="Tablesmalltext"/>
              <w:jc w:val="center"/>
            </w:pPr>
            <w:r w:rsidRPr="00F2078E">
              <w:t>100%</w:t>
            </w:r>
          </w:p>
        </w:tc>
        <w:tc>
          <w:tcPr>
            <w:tcW w:w="522" w:type="pct"/>
          </w:tcPr>
          <w:p w14:paraId="1B16C400" w14:textId="77777777" w:rsidR="00D27DDC" w:rsidRDefault="00D27DDC" w:rsidP="00D27DDC">
            <w:pPr>
              <w:pStyle w:val="Tablesmalltext"/>
              <w:jc w:val="center"/>
            </w:pPr>
            <w:r>
              <w:t>C</w:t>
            </w:r>
          </w:p>
        </w:tc>
      </w:tr>
      <w:tr w:rsidR="00D27DDC" w14:paraId="37ECD805" w14:textId="77777777" w:rsidTr="00D27DDC">
        <w:tc>
          <w:tcPr>
            <w:tcW w:w="391" w:type="pct"/>
          </w:tcPr>
          <w:p w14:paraId="24D5D77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26.14</w:t>
            </w:r>
          </w:p>
        </w:tc>
        <w:tc>
          <w:tcPr>
            <w:tcW w:w="3488" w:type="pct"/>
          </w:tcPr>
          <w:p w14:paraId="3AB7F72D" w14:textId="77777777" w:rsidR="00D27DDC" w:rsidRPr="00730D0F" w:rsidRDefault="00D27DDC" w:rsidP="00D27DDC">
            <w:pPr>
              <w:pStyle w:val="Tablesmalltext"/>
              <w:rPr>
                <w:color w:val="000000"/>
                <w:lang w:val="en-AU" w:eastAsia="en-AU"/>
              </w:rPr>
            </w:pPr>
            <w:r w:rsidRPr="00730D0F">
              <w:rPr>
                <w:color w:val="000000"/>
                <w:lang w:val="en-AU" w:eastAsia="en-AU"/>
              </w:rPr>
              <w:t>Does the minimum cover for the culvert(s) satisfy the manufacturer’s specifications for non-concrete culverts?</w:t>
            </w:r>
          </w:p>
        </w:tc>
        <w:tc>
          <w:tcPr>
            <w:tcW w:w="599" w:type="pct"/>
          </w:tcPr>
          <w:p w14:paraId="3E92585B" w14:textId="77777777" w:rsidR="00D27DDC" w:rsidRDefault="00D27DDC" w:rsidP="00D27DDC">
            <w:pPr>
              <w:pStyle w:val="Tablesmalltext"/>
              <w:jc w:val="center"/>
            </w:pPr>
            <w:r w:rsidRPr="00F2078E">
              <w:t>100%</w:t>
            </w:r>
          </w:p>
        </w:tc>
        <w:tc>
          <w:tcPr>
            <w:tcW w:w="522" w:type="pct"/>
          </w:tcPr>
          <w:p w14:paraId="0F548130" w14:textId="77777777" w:rsidR="00D27DDC" w:rsidRDefault="00D27DDC" w:rsidP="00D27DDC">
            <w:pPr>
              <w:pStyle w:val="Tablesmalltext"/>
              <w:jc w:val="center"/>
            </w:pPr>
            <w:r>
              <w:t>C</w:t>
            </w:r>
          </w:p>
        </w:tc>
      </w:tr>
      <w:tr w:rsidR="00D27DDC" w14:paraId="7E1A40FC" w14:textId="77777777" w:rsidTr="00523E3C">
        <w:tc>
          <w:tcPr>
            <w:tcW w:w="391" w:type="pct"/>
            <w:shd w:val="clear" w:color="auto" w:fill="FFFFCC"/>
          </w:tcPr>
          <w:p w14:paraId="1427F98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C9C9558" w14:textId="77777777" w:rsidR="00D27DDC" w:rsidRDefault="00D27DDC" w:rsidP="00D27DDC">
            <w:pPr>
              <w:pStyle w:val="Tablesmalltext"/>
            </w:pPr>
            <w:r w:rsidRPr="00730D0F">
              <w:rPr>
                <w:color w:val="000000"/>
                <w:lang w:val="en-AU" w:eastAsia="en-AU"/>
              </w:rPr>
              <w:t>6.2.5.9 On permanent streams, include a fish ladder if the diameter of the culvert is greater than 750 mm.</w:t>
            </w:r>
          </w:p>
        </w:tc>
      </w:tr>
      <w:tr w:rsidR="00D27DDC" w14:paraId="378D975B" w14:textId="77777777" w:rsidTr="00D27DDC">
        <w:tc>
          <w:tcPr>
            <w:tcW w:w="391" w:type="pct"/>
          </w:tcPr>
          <w:p w14:paraId="503BF29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lastRenderedPageBreak/>
              <w:t>26.15</w:t>
            </w:r>
          </w:p>
        </w:tc>
        <w:tc>
          <w:tcPr>
            <w:tcW w:w="3488" w:type="pct"/>
          </w:tcPr>
          <w:p w14:paraId="26D66C30" w14:textId="77777777" w:rsidR="00D27DDC" w:rsidRPr="00730D0F" w:rsidRDefault="00D27DDC" w:rsidP="00D27DDC">
            <w:pPr>
              <w:pStyle w:val="Tablesmalltext"/>
              <w:rPr>
                <w:color w:val="000000"/>
                <w:lang w:val="en-AU" w:eastAsia="en-AU"/>
              </w:rPr>
            </w:pPr>
            <w:r w:rsidRPr="00730D0F">
              <w:rPr>
                <w:color w:val="000000"/>
                <w:lang w:val="en-AU" w:eastAsia="en-AU"/>
              </w:rPr>
              <w:t>If the culvert is &gt;750 mm (on a permanent stream) does it include a fish ladder?</w:t>
            </w:r>
          </w:p>
        </w:tc>
        <w:tc>
          <w:tcPr>
            <w:tcW w:w="599" w:type="pct"/>
          </w:tcPr>
          <w:p w14:paraId="0B014568" w14:textId="77777777" w:rsidR="00D27DDC" w:rsidRDefault="00D27DDC" w:rsidP="00D27DDC">
            <w:pPr>
              <w:pStyle w:val="Tablesmalltext"/>
              <w:jc w:val="center"/>
            </w:pPr>
            <w:r>
              <w:t>No applicable coupes</w:t>
            </w:r>
          </w:p>
        </w:tc>
        <w:tc>
          <w:tcPr>
            <w:tcW w:w="522" w:type="pct"/>
          </w:tcPr>
          <w:p w14:paraId="4AD063B3" w14:textId="77777777" w:rsidR="00D27DDC" w:rsidRDefault="00D27DDC" w:rsidP="00D27DDC">
            <w:pPr>
              <w:pStyle w:val="Tablesmalltext"/>
              <w:jc w:val="center"/>
            </w:pPr>
            <w:r>
              <w:t>B,D</w:t>
            </w:r>
          </w:p>
        </w:tc>
      </w:tr>
      <w:tr w:rsidR="00D27DDC" w14:paraId="65288D12" w14:textId="77777777" w:rsidTr="00523E3C">
        <w:tc>
          <w:tcPr>
            <w:tcW w:w="391" w:type="pct"/>
            <w:shd w:val="clear" w:color="auto" w:fill="FFFFCC"/>
          </w:tcPr>
          <w:p w14:paraId="4DF442E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EB80870" w14:textId="77777777" w:rsidR="00D27DDC" w:rsidRDefault="00D27DDC" w:rsidP="00D27DDC">
            <w:pPr>
              <w:pStyle w:val="Tablesmalltext"/>
            </w:pPr>
            <w:r w:rsidRPr="00730D0F">
              <w:rPr>
                <w:color w:val="000000"/>
                <w:lang w:val="en-AU" w:eastAsia="en-AU"/>
              </w:rPr>
              <w:t xml:space="preserve">6.2.5.11 Ensure culverts do not project above the bed of a waterway in a way which may prevent the passage of aquatic fauna. </w:t>
            </w:r>
          </w:p>
        </w:tc>
      </w:tr>
      <w:tr w:rsidR="00D27DDC" w14:paraId="6D990F21" w14:textId="77777777" w:rsidTr="00523E3C">
        <w:tc>
          <w:tcPr>
            <w:tcW w:w="391" w:type="pct"/>
            <w:shd w:val="clear" w:color="auto" w:fill="FFFFCC"/>
          </w:tcPr>
          <w:p w14:paraId="5FB8EA5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4020C27" w14:textId="77777777" w:rsidR="00D27DDC" w:rsidRDefault="00D27DDC" w:rsidP="00D27DDC">
            <w:pPr>
              <w:pStyle w:val="Tablesmalltext"/>
            </w:pPr>
            <w:r w:rsidRPr="00730D0F">
              <w:rPr>
                <w:color w:val="000000"/>
                <w:lang w:val="en-AU" w:eastAsia="en-AU"/>
              </w:rPr>
              <w:t>6.2.5.12 Where culvert construction diverts water from its natural course, return water to its natural course over a flume, rock spill, or other hard surface.</w:t>
            </w:r>
          </w:p>
        </w:tc>
      </w:tr>
      <w:tr w:rsidR="00D27DDC" w14:paraId="02FDA0A9" w14:textId="77777777" w:rsidTr="00D27DDC">
        <w:tc>
          <w:tcPr>
            <w:tcW w:w="391" w:type="pct"/>
          </w:tcPr>
          <w:p w14:paraId="23E6527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26.16</w:t>
            </w:r>
          </w:p>
        </w:tc>
        <w:tc>
          <w:tcPr>
            <w:tcW w:w="3488" w:type="pct"/>
          </w:tcPr>
          <w:p w14:paraId="55F63AE1" w14:textId="77777777" w:rsidR="00D27DDC" w:rsidRPr="00730D0F" w:rsidRDefault="00D27DDC" w:rsidP="00D27DDC">
            <w:pPr>
              <w:pStyle w:val="Tablesmalltext"/>
              <w:rPr>
                <w:color w:val="000000"/>
                <w:lang w:val="en-AU" w:eastAsia="en-AU"/>
              </w:rPr>
            </w:pPr>
            <w:r w:rsidRPr="00730D0F">
              <w:rPr>
                <w:color w:val="000000"/>
                <w:lang w:val="en-AU" w:eastAsia="en-AU"/>
              </w:rPr>
              <w:t>Does the culvert protect above the bed of the downstream waterway and prevent the passage of aquatic fauna?</w:t>
            </w:r>
          </w:p>
        </w:tc>
        <w:tc>
          <w:tcPr>
            <w:tcW w:w="599" w:type="pct"/>
          </w:tcPr>
          <w:p w14:paraId="623DA48D" w14:textId="77777777" w:rsidR="00D27DDC" w:rsidRDefault="00D27DDC" w:rsidP="00D27DDC">
            <w:pPr>
              <w:pStyle w:val="Tablesmalltext"/>
              <w:jc w:val="center"/>
            </w:pPr>
            <w:r>
              <w:t>17%</w:t>
            </w:r>
          </w:p>
        </w:tc>
        <w:tc>
          <w:tcPr>
            <w:tcW w:w="522" w:type="pct"/>
          </w:tcPr>
          <w:p w14:paraId="71DE94C1" w14:textId="77777777" w:rsidR="00D27DDC" w:rsidRDefault="00D27DDC" w:rsidP="00D27DDC">
            <w:pPr>
              <w:pStyle w:val="Tablesmalltext"/>
              <w:jc w:val="center"/>
            </w:pPr>
            <w:r>
              <w:t>B,C</w:t>
            </w:r>
          </w:p>
        </w:tc>
      </w:tr>
      <w:tr w:rsidR="00D27DDC" w14:paraId="07F7B7B9" w14:textId="77777777" w:rsidTr="00D27DDC">
        <w:tc>
          <w:tcPr>
            <w:tcW w:w="391" w:type="pct"/>
          </w:tcPr>
          <w:p w14:paraId="5709204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26.17</w:t>
            </w:r>
          </w:p>
        </w:tc>
        <w:tc>
          <w:tcPr>
            <w:tcW w:w="3488" w:type="pct"/>
          </w:tcPr>
          <w:p w14:paraId="14281612" w14:textId="77777777" w:rsidR="00D27DDC" w:rsidRPr="00730D0F" w:rsidRDefault="00D27DDC" w:rsidP="00D27DDC">
            <w:pPr>
              <w:pStyle w:val="Tablesmalltext"/>
              <w:rPr>
                <w:color w:val="000000"/>
                <w:lang w:val="en-AU" w:eastAsia="en-AU"/>
              </w:rPr>
            </w:pPr>
            <w:r w:rsidRPr="00730D0F">
              <w:rPr>
                <w:color w:val="000000"/>
                <w:lang w:val="en-AU" w:eastAsia="en-AU"/>
              </w:rPr>
              <w:t>If the culvert diverts water from its natural course, does it return water to its natural course via a flume, rock spill, or other hard surface?</w:t>
            </w:r>
          </w:p>
        </w:tc>
        <w:tc>
          <w:tcPr>
            <w:tcW w:w="599" w:type="pct"/>
          </w:tcPr>
          <w:p w14:paraId="60E36596" w14:textId="77777777" w:rsidR="00D27DDC" w:rsidRDefault="00D27DDC" w:rsidP="00D27DDC">
            <w:pPr>
              <w:pStyle w:val="Tablesmalltext"/>
              <w:jc w:val="center"/>
            </w:pPr>
            <w:r>
              <w:t>100%</w:t>
            </w:r>
          </w:p>
        </w:tc>
        <w:tc>
          <w:tcPr>
            <w:tcW w:w="522" w:type="pct"/>
          </w:tcPr>
          <w:p w14:paraId="0EBD1C6A" w14:textId="77777777" w:rsidR="00D27DDC" w:rsidRDefault="00D27DDC" w:rsidP="00D27DDC">
            <w:pPr>
              <w:pStyle w:val="Tablesmalltext"/>
              <w:jc w:val="center"/>
            </w:pPr>
            <w:r>
              <w:t>W,C</w:t>
            </w:r>
          </w:p>
        </w:tc>
      </w:tr>
      <w:tr w:rsidR="00D27DDC" w14:paraId="7C6DF9BD" w14:textId="77777777" w:rsidTr="00D27DDC">
        <w:tc>
          <w:tcPr>
            <w:tcW w:w="391" w:type="pct"/>
            <w:shd w:val="clear" w:color="auto" w:fill="FFEBD0" w:themeFill="accent4" w:themeFillTint="33"/>
          </w:tcPr>
          <w:p w14:paraId="454FE3F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24E83CB7" w14:textId="77777777" w:rsidR="00D27DDC" w:rsidRDefault="00D27DDC" w:rsidP="00D27DDC">
            <w:pPr>
              <w:pStyle w:val="Tablesmalltext"/>
            </w:pPr>
            <w:r w:rsidRPr="00730D0F">
              <w:rPr>
                <w:color w:val="000000"/>
                <w:lang w:val="en-AU" w:eastAsia="en-AU"/>
              </w:rPr>
              <w:t>2.4.3.6: Road construction must ensure that: disturbance to stream beds and banks is kept to a minimum; soil and rock fill is not pushed into waterways, nor placed into a position where there is a risk that it can erode into a waterway; and cement, raw concrete, soil fill and other road making materials are not spilt or disposed of into waterways during road construction.</w:t>
            </w:r>
          </w:p>
        </w:tc>
      </w:tr>
      <w:tr w:rsidR="00D27DDC" w14:paraId="6E060A16" w14:textId="77777777" w:rsidTr="00D27DDC">
        <w:tc>
          <w:tcPr>
            <w:tcW w:w="391" w:type="pct"/>
          </w:tcPr>
          <w:p w14:paraId="2212CFE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27.01</w:t>
            </w:r>
          </w:p>
        </w:tc>
        <w:tc>
          <w:tcPr>
            <w:tcW w:w="3488" w:type="pct"/>
          </w:tcPr>
          <w:p w14:paraId="46BDCD45" w14:textId="77777777" w:rsidR="00D27DDC" w:rsidRPr="00730D0F" w:rsidRDefault="00D27DDC" w:rsidP="00D27DDC">
            <w:pPr>
              <w:pStyle w:val="Tablesmalltext"/>
              <w:rPr>
                <w:color w:val="000000"/>
                <w:lang w:val="en-AU" w:eastAsia="en-AU"/>
              </w:rPr>
            </w:pPr>
            <w:r w:rsidRPr="00730D0F">
              <w:rPr>
                <w:color w:val="000000"/>
                <w:lang w:val="en-AU" w:eastAsia="en-AU"/>
              </w:rPr>
              <w:t>ITAO has the road been constructed in a way that the stream bed and/or banks are unnecessarily disturbed or there is an unnecessary risk of erosion into a waterway?</w:t>
            </w:r>
          </w:p>
        </w:tc>
        <w:tc>
          <w:tcPr>
            <w:tcW w:w="599" w:type="pct"/>
          </w:tcPr>
          <w:p w14:paraId="7A78A46F" w14:textId="77777777" w:rsidR="00D27DDC" w:rsidRDefault="00D27DDC" w:rsidP="00D27DDC">
            <w:pPr>
              <w:pStyle w:val="Tablesmalltext"/>
              <w:jc w:val="center"/>
            </w:pPr>
            <w:r w:rsidRPr="006F66DD">
              <w:t>100%</w:t>
            </w:r>
          </w:p>
        </w:tc>
        <w:tc>
          <w:tcPr>
            <w:tcW w:w="522" w:type="pct"/>
          </w:tcPr>
          <w:p w14:paraId="01492466" w14:textId="77777777" w:rsidR="00D27DDC" w:rsidRDefault="00D27DDC" w:rsidP="00D27DDC">
            <w:pPr>
              <w:pStyle w:val="Tablesmalltext"/>
              <w:jc w:val="center"/>
            </w:pPr>
            <w:r>
              <w:t>W,C</w:t>
            </w:r>
          </w:p>
        </w:tc>
      </w:tr>
      <w:tr w:rsidR="00D27DDC" w14:paraId="09615214" w14:textId="77777777" w:rsidTr="00D27DDC">
        <w:tc>
          <w:tcPr>
            <w:tcW w:w="391" w:type="pct"/>
          </w:tcPr>
          <w:p w14:paraId="78BDCE3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27.02</w:t>
            </w:r>
          </w:p>
        </w:tc>
        <w:tc>
          <w:tcPr>
            <w:tcW w:w="3488" w:type="pct"/>
          </w:tcPr>
          <w:p w14:paraId="249C6899" w14:textId="77777777" w:rsidR="00D27DDC" w:rsidRPr="00730D0F" w:rsidRDefault="00D27DDC" w:rsidP="00D27DDC">
            <w:pPr>
              <w:pStyle w:val="Tablesmalltext"/>
              <w:rPr>
                <w:color w:val="000000"/>
                <w:lang w:val="en-AU" w:eastAsia="en-AU"/>
              </w:rPr>
            </w:pPr>
            <w:r w:rsidRPr="00730D0F">
              <w:rPr>
                <w:color w:val="000000"/>
                <w:lang w:val="en-AU" w:eastAsia="en-AU"/>
              </w:rPr>
              <w:t>Have road construction materials been spilt or disposed of into a waterway?</w:t>
            </w:r>
          </w:p>
        </w:tc>
        <w:tc>
          <w:tcPr>
            <w:tcW w:w="599" w:type="pct"/>
          </w:tcPr>
          <w:p w14:paraId="1F6588FB" w14:textId="77777777" w:rsidR="00D27DDC" w:rsidRDefault="00D27DDC" w:rsidP="00D27DDC">
            <w:pPr>
              <w:pStyle w:val="Tablesmalltext"/>
              <w:jc w:val="center"/>
            </w:pPr>
            <w:r w:rsidRPr="006F66DD">
              <w:t>100%</w:t>
            </w:r>
          </w:p>
        </w:tc>
        <w:tc>
          <w:tcPr>
            <w:tcW w:w="522" w:type="pct"/>
          </w:tcPr>
          <w:p w14:paraId="1544BF08" w14:textId="77777777" w:rsidR="00D27DDC" w:rsidRDefault="00D27DDC" w:rsidP="00D27DDC">
            <w:pPr>
              <w:pStyle w:val="Tablesmalltext"/>
              <w:jc w:val="center"/>
            </w:pPr>
            <w:r>
              <w:t>B,C</w:t>
            </w:r>
          </w:p>
        </w:tc>
      </w:tr>
      <w:tr w:rsidR="00D27DDC" w:rsidRPr="00831739" w14:paraId="18C2921D" w14:textId="77777777" w:rsidTr="00D27DDC">
        <w:tc>
          <w:tcPr>
            <w:tcW w:w="391" w:type="pct"/>
            <w:shd w:val="clear" w:color="auto" w:fill="FFEBD0" w:themeFill="accent4" w:themeFillTint="33"/>
          </w:tcPr>
          <w:p w14:paraId="75967745" w14:textId="77777777" w:rsidR="00D27DDC" w:rsidRPr="00831739" w:rsidRDefault="00D27DDC" w:rsidP="00D27DDC">
            <w:pPr>
              <w:pStyle w:val="Tablesmalltext"/>
              <w:jc w:val="center"/>
              <w:rPr>
                <w:rFonts w:ascii="Calibri" w:hAnsi="Calibri" w:cs="Times New Roman"/>
                <w:b/>
                <w:color w:val="000000"/>
                <w:sz w:val="18"/>
                <w:szCs w:val="18"/>
                <w:lang w:val="en-AU" w:eastAsia="en-AU"/>
              </w:rPr>
            </w:pPr>
            <w:r w:rsidRPr="00831739">
              <w:rPr>
                <w:rFonts w:ascii="Calibri" w:hAnsi="Calibri" w:cs="Times New Roman"/>
                <w:b/>
                <w:color w:val="000000"/>
                <w:sz w:val="18"/>
                <w:szCs w:val="18"/>
                <w:lang w:val="en-AU" w:eastAsia="en-AU"/>
              </w:rPr>
              <w:t>C</w:t>
            </w:r>
          </w:p>
        </w:tc>
        <w:tc>
          <w:tcPr>
            <w:tcW w:w="4609" w:type="pct"/>
            <w:gridSpan w:val="3"/>
            <w:shd w:val="clear" w:color="auto" w:fill="FFEBD0" w:themeFill="accent4" w:themeFillTint="33"/>
          </w:tcPr>
          <w:p w14:paraId="286A8023" w14:textId="77777777" w:rsidR="00D27DDC" w:rsidRPr="00831739" w:rsidRDefault="00D27DDC" w:rsidP="00D27DDC">
            <w:pPr>
              <w:pStyle w:val="Tablesmalltext"/>
              <w:rPr>
                <w:b/>
              </w:rPr>
            </w:pPr>
            <w:r w:rsidRPr="00831739">
              <w:rPr>
                <w:b/>
                <w:color w:val="000000"/>
                <w:lang w:val="en-AU" w:eastAsia="en-AU"/>
              </w:rPr>
              <w:t>2.4.6 Road Closure</w:t>
            </w:r>
          </w:p>
        </w:tc>
      </w:tr>
      <w:tr w:rsidR="00D27DDC" w14:paraId="22903503" w14:textId="77777777" w:rsidTr="00D27DDC">
        <w:tc>
          <w:tcPr>
            <w:tcW w:w="391" w:type="pct"/>
            <w:shd w:val="clear" w:color="auto" w:fill="FFEBD0" w:themeFill="accent4" w:themeFillTint="33"/>
          </w:tcPr>
          <w:p w14:paraId="7B6C1C6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7D8997C4" w14:textId="77777777" w:rsidR="00D27DDC" w:rsidRDefault="00D27DDC" w:rsidP="00D27DDC">
            <w:pPr>
              <w:pStyle w:val="Tablesmalltext"/>
            </w:pPr>
            <w:r w:rsidRPr="00730D0F">
              <w:rPr>
                <w:color w:val="000000"/>
                <w:lang w:val="en-AU" w:eastAsia="en-AU"/>
              </w:rPr>
              <w:t>2.4.6.2 Roads no longer required for timber harvesting operations or other forest management purposes, must be permanently closed to vehicle traffic and effectively drained following completion of the timber harvesting operation</w:t>
            </w:r>
          </w:p>
        </w:tc>
      </w:tr>
      <w:tr w:rsidR="00D27DDC" w14:paraId="35277AED" w14:textId="77777777" w:rsidTr="00523E3C">
        <w:tc>
          <w:tcPr>
            <w:tcW w:w="391" w:type="pct"/>
            <w:shd w:val="clear" w:color="auto" w:fill="FFFFCC"/>
          </w:tcPr>
          <w:p w14:paraId="114E82D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BFE4847" w14:textId="77777777" w:rsidR="00D27DDC" w:rsidRDefault="00D27DDC" w:rsidP="00D27DDC">
            <w:pPr>
              <w:pStyle w:val="Tablesmalltext"/>
            </w:pPr>
            <w:r w:rsidRPr="00730D0F">
              <w:rPr>
                <w:color w:val="000000"/>
                <w:lang w:val="en-AU" w:eastAsia="en-AU"/>
              </w:rPr>
              <w:t>6.4.1.1 Close temporary roads (including removal of all bridges, crossings and culverts on streams or drainage lines) as soon as possible after harvesting and/or regeneration is complete in all coupes that use the road.</w:t>
            </w:r>
          </w:p>
        </w:tc>
      </w:tr>
      <w:tr w:rsidR="00D27DDC" w14:paraId="1DF57431" w14:textId="77777777" w:rsidTr="00523E3C">
        <w:tc>
          <w:tcPr>
            <w:tcW w:w="391" w:type="pct"/>
            <w:shd w:val="clear" w:color="auto" w:fill="FFFFCC"/>
          </w:tcPr>
          <w:p w14:paraId="46A3933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C546D65" w14:textId="77777777" w:rsidR="00D27DDC" w:rsidRDefault="00D27DDC" w:rsidP="00D27DDC">
            <w:pPr>
              <w:pStyle w:val="Tablesmalltext"/>
            </w:pPr>
            <w:r w:rsidRPr="00730D0F">
              <w:rPr>
                <w:color w:val="000000"/>
                <w:lang w:val="en-AU" w:eastAsia="en-AU"/>
              </w:rPr>
              <w:t>6.4.1.2 Drain the approach to any bridge, culvert of log fill crossing that has been removed to restrict soil movement into the stream or waterway.</w:t>
            </w:r>
          </w:p>
        </w:tc>
      </w:tr>
      <w:tr w:rsidR="00D27DDC" w14:paraId="29FAD2C8" w14:textId="77777777" w:rsidTr="00D27DDC">
        <w:tc>
          <w:tcPr>
            <w:tcW w:w="391" w:type="pct"/>
          </w:tcPr>
          <w:p w14:paraId="6C772DA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28.01</w:t>
            </w:r>
          </w:p>
        </w:tc>
        <w:tc>
          <w:tcPr>
            <w:tcW w:w="3488" w:type="pct"/>
          </w:tcPr>
          <w:p w14:paraId="331E4B50" w14:textId="77777777" w:rsidR="00D27DDC" w:rsidRPr="00730D0F" w:rsidRDefault="00D27DDC" w:rsidP="00D27DDC">
            <w:pPr>
              <w:pStyle w:val="Tablesmalltext"/>
              <w:rPr>
                <w:color w:val="000000"/>
                <w:lang w:val="en-AU" w:eastAsia="en-AU"/>
              </w:rPr>
            </w:pPr>
            <w:r w:rsidRPr="00730D0F">
              <w:rPr>
                <w:color w:val="000000"/>
                <w:lang w:val="en-AU" w:eastAsia="en-AU"/>
              </w:rPr>
              <w:t>If use of the ICR has ceased, have all crossings and culverts been removed?</w:t>
            </w:r>
          </w:p>
        </w:tc>
        <w:tc>
          <w:tcPr>
            <w:tcW w:w="599" w:type="pct"/>
          </w:tcPr>
          <w:p w14:paraId="2C3BFD07" w14:textId="77777777" w:rsidR="00D27DDC" w:rsidRDefault="00D27DDC" w:rsidP="00D27DDC">
            <w:pPr>
              <w:pStyle w:val="Tablesmalltext"/>
              <w:jc w:val="center"/>
            </w:pPr>
            <w:r>
              <w:t>No applicable coupes H</w:t>
            </w:r>
          </w:p>
          <w:p w14:paraId="1466BB87" w14:textId="77777777" w:rsidR="00D27DDC" w:rsidRDefault="00D27DDC" w:rsidP="00D27DDC">
            <w:pPr>
              <w:pStyle w:val="Tablesmalltext"/>
              <w:jc w:val="center"/>
            </w:pPr>
            <w:r>
              <w:t>0% R</w:t>
            </w:r>
          </w:p>
        </w:tc>
        <w:tc>
          <w:tcPr>
            <w:tcW w:w="522" w:type="pct"/>
          </w:tcPr>
          <w:p w14:paraId="4434F68B" w14:textId="77777777" w:rsidR="00D27DDC" w:rsidRDefault="00D27DDC" w:rsidP="00D27DDC">
            <w:pPr>
              <w:pStyle w:val="Tablesmalltext"/>
              <w:jc w:val="center"/>
            </w:pPr>
            <w:r>
              <w:t>M</w:t>
            </w:r>
            <w:r>
              <w:br/>
            </w:r>
          </w:p>
          <w:p w14:paraId="3EE31DCB" w14:textId="77777777" w:rsidR="00D27DDC" w:rsidRDefault="00D27DDC" w:rsidP="00D27DDC">
            <w:pPr>
              <w:pStyle w:val="Tablesmalltext"/>
              <w:jc w:val="center"/>
            </w:pPr>
            <w:r>
              <w:t>R</w:t>
            </w:r>
          </w:p>
        </w:tc>
      </w:tr>
      <w:tr w:rsidR="00D27DDC" w14:paraId="6DB6FD25" w14:textId="77777777" w:rsidTr="00D27DDC">
        <w:tc>
          <w:tcPr>
            <w:tcW w:w="391" w:type="pct"/>
          </w:tcPr>
          <w:p w14:paraId="16751AE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28.02</w:t>
            </w:r>
          </w:p>
        </w:tc>
        <w:tc>
          <w:tcPr>
            <w:tcW w:w="3488" w:type="pct"/>
          </w:tcPr>
          <w:p w14:paraId="2596A887" w14:textId="77777777" w:rsidR="00D27DDC" w:rsidRPr="00730D0F" w:rsidRDefault="00D27DDC" w:rsidP="00D27DDC">
            <w:pPr>
              <w:pStyle w:val="Tablesmalltext"/>
              <w:rPr>
                <w:color w:val="000000"/>
                <w:lang w:val="en-AU" w:eastAsia="en-AU"/>
              </w:rPr>
            </w:pPr>
            <w:r w:rsidRPr="00730D0F">
              <w:rPr>
                <w:color w:val="000000"/>
                <w:lang w:val="en-AU" w:eastAsia="en-AU"/>
              </w:rPr>
              <w:t>ITAO have the approaches to any crossing been drained appropriately to restrict soil movement into the stream or waterway?</w:t>
            </w:r>
          </w:p>
        </w:tc>
        <w:tc>
          <w:tcPr>
            <w:tcW w:w="599" w:type="pct"/>
          </w:tcPr>
          <w:p w14:paraId="1FCBFFE3" w14:textId="77777777" w:rsidR="00D27DDC" w:rsidRDefault="00D27DDC" w:rsidP="00D27DDC">
            <w:pPr>
              <w:pStyle w:val="Tablesmalltext"/>
              <w:jc w:val="center"/>
            </w:pPr>
            <w:r>
              <w:t>100% H</w:t>
            </w:r>
          </w:p>
          <w:p w14:paraId="70246DD2" w14:textId="77777777" w:rsidR="00D27DDC" w:rsidRDefault="00D27DDC" w:rsidP="00D27DDC">
            <w:pPr>
              <w:pStyle w:val="Tablesmalltext"/>
              <w:jc w:val="center"/>
            </w:pPr>
            <w:r>
              <w:t>No applicable coupes R</w:t>
            </w:r>
          </w:p>
        </w:tc>
        <w:tc>
          <w:tcPr>
            <w:tcW w:w="522" w:type="pct"/>
          </w:tcPr>
          <w:p w14:paraId="409600A2" w14:textId="77777777" w:rsidR="00D27DDC" w:rsidRDefault="00D27DDC" w:rsidP="00D27DDC">
            <w:pPr>
              <w:pStyle w:val="Tablesmalltext"/>
              <w:jc w:val="center"/>
            </w:pPr>
            <w:r>
              <w:t>W,M</w:t>
            </w:r>
          </w:p>
          <w:p w14:paraId="55A31DB1" w14:textId="77777777" w:rsidR="00D27DDC" w:rsidRDefault="00D27DDC" w:rsidP="00D27DDC">
            <w:pPr>
              <w:pStyle w:val="Tablesmalltext"/>
              <w:jc w:val="center"/>
            </w:pPr>
            <w:r>
              <w:t>R</w:t>
            </w:r>
          </w:p>
        </w:tc>
      </w:tr>
      <w:tr w:rsidR="00D27DDC" w14:paraId="33A306BC" w14:textId="77777777" w:rsidTr="00D27DDC">
        <w:tc>
          <w:tcPr>
            <w:tcW w:w="391" w:type="pct"/>
          </w:tcPr>
          <w:p w14:paraId="201A593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28.03</w:t>
            </w:r>
          </w:p>
        </w:tc>
        <w:tc>
          <w:tcPr>
            <w:tcW w:w="3488" w:type="pct"/>
          </w:tcPr>
          <w:p w14:paraId="2DDD9F06" w14:textId="77777777" w:rsidR="00D27DDC" w:rsidRPr="00730D0F" w:rsidRDefault="00D27DDC" w:rsidP="00D27DDC">
            <w:pPr>
              <w:pStyle w:val="Tablesmalltext"/>
              <w:rPr>
                <w:color w:val="000000"/>
                <w:lang w:val="en-AU" w:eastAsia="en-AU"/>
              </w:rPr>
            </w:pPr>
            <w:r w:rsidRPr="00730D0F">
              <w:rPr>
                <w:color w:val="000000"/>
                <w:lang w:val="en-AU" w:eastAsia="en-AU"/>
              </w:rPr>
              <w:t>Is there evidence that removal of a crossing or culvert has led to soil movement into the waterway?</w:t>
            </w:r>
          </w:p>
        </w:tc>
        <w:tc>
          <w:tcPr>
            <w:tcW w:w="599" w:type="pct"/>
          </w:tcPr>
          <w:p w14:paraId="2A2A6F50" w14:textId="77777777" w:rsidR="00D27DDC" w:rsidRDefault="00D27DDC" w:rsidP="00D27DDC">
            <w:pPr>
              <w:pStyle w:val="Tablesmalltext"/>
              <w:jc w:val="center"/>
            </w:pPr>
            <w:r>
              <w:t>0% H</w:t>
            </w:r>
          </w:p>
          <w:p w14:paraId="38FD2A80" w14:textId="77777777" w:rsidR="00D27DDC" w:rsidRDefault="00D27DDC" w:rsidP="00D27DDC">
            <w:pPr>
              <w:pStyle w:val="Tablesmalltext"/>
              <w:jc w:val="center"/>
            </w:pPr>
            <w:r>
              <w:t>No applicable coupes R</w:t>
            </w:r>
          </w:p>
        </w:tc>
        <w:tc>
          <w:tcPr>
            <w:tcW w:w="522" w:type="pct"/>
          </w:tcPr>
          <w:p w14:paraId="6354538E" w14:textId="77777777" w:rsidR="00D27DDC" w:rsidRDefault="00D27DDC" w:rsidP="00D27DDC">
            <w:pPr>
              <w:pStyle w:val="Tablesmalltext"/>
              <w:jc w:val="center"/>
            </w:pPr>
            <w:r>
              <w:t>S,W,M</w:t>
            </w:r>
          </w:p>
          <w:p w14:paraId="35164D5F" w14:textId="77777777" w:rsidR="00D27DDC" w:rsidRDefault="00D27DDC" w:rsidP="00D27DDC">
            <w:pPr>
              <w:pStyle w:val="Tablesmalltext"/>
              <w:jc w:val="center"/>
            </w:pPr>
            <w:r>
              <w:t>R</w:t>
            </w:r>
          </w:p>
        </w:tc>
      </w:tr>
      <w:tr w:rsidR="00D27DDC" w14:paraId="2040D10B" w14:textId="77777777" w:rsidTr="00523E3C">
        <w:tc>
          <w:tcPr>
            <w:tcW w:w="391" w:type="pct"/>
            <w:shd w:val="clear" w:color="auto" w:fill="FFFFCC"/>
          </w:tcPr>
          <w:p w14:paraId="1046303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FB57B1C" w14:textId="77777777" w:rsidR="00D27DDC" w:rsidRDefault="00D27DDC" w:rsidP="00D27DDC">
            <w:pPr>
              <w:pStyle w:val="Tablesmalltext"/>
            </w:pPr>
            <w:r w:rsidRPr="00730D0F">
              <w:rPr>
                <w:color w:val="000000"/>
                <w:lang w:val="en-AU" w:eastAsia="en-AU"/>
              </w:rPr>
              <w:t>5.4.1.3 Use an effective barrier to close to all vehicles temporary roads that will not be used to access a coupe for a period of 12 months or more.</w:t>
            </w:r>
          </w:p>
        </w:tc>
      </w:tr>
      <w:tr w:rsidR="00D27DDC" w14:paraId="248AC933" w14:textId="77777777" w:rsidTr="00D27DDC">
        <w:tc>
          <w:tcPr>
            <w:tcW w:w="391" w:type="pct"/>
          </w:tcPr>
          <w:p w14:paraId="71A04DD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28.04</w:t>
            </w:r>
          </w:p>
        </w:tc>
        <w:tc>
          <w:tcPr>
            <w:tcW w:w="3488" w:type="pct"/>
          </w:tcPr>
          <w:p w14:paraId="2DD614F5" w14:textId="77777777" w:rsidR="00D27DDC" w:rsidRPr="00730D0F" w:rsidRDefault="00D27DDC" w:rsidP="00D27DDC">
            <w:pPr>
              <w:pStyle w:val="Tablesmalltext"/>
              <w:rPr>
                <w:color w:val="000000"/>
                <w:lang w:val="en-AU" w:eastAsia="en-AU"/>
              </w:rPr>
            </w:pPr>
            <w:r w:rsidRPr="00730D0F">
              <w:rPr>
                <w:color w:val="000000"/>
                <w:lang w:val="en-AU" w:eastAsia="en-AU"/>
              </w:rPr>
              <w:t>If the road is no longer required for harvesting or other forest management purposes, has it been permanently closed to traffic?</w:t>
            </w:r>
          </w:p>
        </w:tc>
        <w:tc>
          <w:tcPr>
            <w:tcW w:w="599" w:type="pct"/>
          </w:tcPr>
          <w:p w14:paraId="08EEC02B" w14:textId="77777777" w:rsidR="00D27DDC" w:rsidRDefault="00D27DDC" w:rsidP="00D27DDC">
            <w:pPr>
              <w:pStyle w:val="Tablesmalltext"/>
              <w:jc w:val="center"/>
            </w:pPr>
            <w:r>
              <w:t>75% H</w:t>
            </w:r>
          </w:p>
          <w:p w14:paraId="4A4ED7D6" w14:textId="77777777" w:rsidR="00D27DDC" w:rsidRDefault="00D27DDC" w:rsidP="00D27DDC">
            <w:pPr>
              <w:pStyle w:val="Tablesmalltext"/>
              <w:jc w:val="center"/>
            </w:pPr>
            <w:r>
              <w:t>63% R</w:t>
            </w:r>
          </w:p>
        </w:tc>
        <w:tc>
          <w:tcPr>
            <w:tcW w:w="522" w:type="pct"/>
          </w:tcPr>
          <w:p w14:paraId="4DBAF8A5" w14:textId="77777777" w:rsidR="00D27DDC" w:rsidRDefault="00D27DDC" w:rsidP="00D27DDC">
            <w:pPr>
              <w:pStyle w:val="Tablesmalltext"/>
              <w:jc w:val="center"/>
            </w:pPr>
            <w:r>
              <w:t>M</w:t>
            </w:r>
          </w:p>
          <w:p w14:paraId="18E1ABDC" w14:textId="77777777" w:rsidR="00D27DDC" w:rsidRDefault="00D27DDC" w:rsidP="00D27DDC">
            <w:pPr>
              <w:pStyle w:val="Tablesmalltext"/>
              <w:jc w:val="center"/>
            </w:pPr>
            <w:r>
              <w:t>R</w:t>
            </w:r>
          </w:p>
        </w:tc>
      </w:tr>
      <w:tr w:rsidR="00D27DDC" w:rsidRPr="00831739" w14:paraId="604FDC6C" w14:textId="77777777" w:rsidTr="00D27DDC">
        <w:tc>
          <w:tcPr>
            <w:tcW w:w="391" w:type="pct"/>
            <w:shd w:val="clear" w:color="auto" w:fill="FFEBD0" w:themeFill="accent4" w:themeFillTint="33"/>
          </w:tcPr>
          <w:p w14:paraId="7B557ECB" w14:textId="77777777" w:rsidR="00D27DDC" w:rsidRPr="00831739" w:rsidRDefault="00D27DDC" w:rsidP="00D27DDC">
            <w:pPr>
              <w:pStyle w:val="Tablesmalltext"/>
              <w:jc w:val="center"/>
              <w:rPr>
                <w:rFonts w:ascii="Calibri" w:hAnsi="Calibri" w:cs="Times New Roman"/>
                <w:b/>
                <w:color w:val="000000"/>
                <w:sz w:val="18"/>
                <w:szCs w:val="18"/>
                <w:lang w:val="en-AU" w:eastAsia="en-AU"/>
              </w:rPr>
            </w:pPr>
            <w:r w:rsidRPr="00831739">
              <w:rPr>
                <w:rFonts w:ascii="Calibri" w:hAnsi="Calibri" w:cs="Times New Roman"/>
                <w:b/>
                <w:color w:val="000000"/>
                <w:sz w:val="18"/>
                <w:szCs w:val="18"/>
                <w:lang w:val="en-AU" w:eastAsia="en-AU"/>
              </w:rPr>
              <w:t>C</w:t>
            </w:r>
          </w:p>
        </w:tc>
        <w:tc>
          <w:tcPr>
            <w:tcW w:w="4609" w:type="pct"/>
            <w:gridSpan w:val="3"/>
            <w:shd w:val="clear" w:color="auto" w:fill="FFEBD0" w:themeFill="accent4" w:themeFillTint="33"/>
          </w:tcPr>
          <w:p w14:paraId="19EE26B6" w14:textId="77777777" w:rsidR="00D27DDC" w:rsidRPr="00831739" w:rsidRDefault="00D27DDC" w:rsidP="00D27DDC">
            <w:pPr>
              <w:pStyle w:val="Tablesmalltext"/>
              <w:rPr>
                <w:b/>
              </w:rPr>
            </w:pPr>
            <w:r w:rsidRPr="00831739">
              <w:rPr>
                <w:b/>
                <w:color w:val="000000"/>
                <w:lang w:val="en-AU" w:eastAsia="en-AU"/>
              </w:rPr>
              <w:t xml:space="preserve">2.5 - Timber Harvesting </w:t>
            </w:r>
          </w:p>
        </w:tc>
      </w:tr>
      <w:tr w:rsidR="00D27DDC" w14:paraId="42D1FA03" w14:textId="77777777" w:rsidTr="00D27DDC">
        <w:tc>
          <w:tcPr>
            <w:tcW w:w="391" w:type="pct"/>
            <w:shd w:val="clear" w:color="auto" w:fill="FFEBD0" w:themeFill="accent4" w:themeFillTint="33"/>
          </w:tcPr>
          <w:p w14:paraId="72C7FFEF"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7DB278D2" w14:textId="77777777" w:rsidR="00D27DDC" w:rsidRDefault="00D27DDC" w:rsidP="00D27DDC">
            <w:pPr>
              <w:pStyle w:val="Tablesmalltext"/>
            </w:pPr>
            <w:r w:rsidRPr="00730D0F">
              <w:rPr>
                <w:color w:val="000000"/>
                <w:lang w:val="en-AU" w:eastAsia="en-AU"/>
              </w:rPr>
              <w:t>Timber harvesting operations in State forest are conducted in accordance with a Forest Coupe Plan (as per 2.3.1)</w:t>
            </w:r>
          </w:p>
        </w:tc>
      </w:tr>
      <w:tr w:rsidR="00D27DDC" w14:paraId="51DC6B1F" w14:textId="77777777" w:rsidTr="00D27DDC">
        <w:tc>
          <w:tcPr>
            <w:tcW w:w="391" w:type="pct"/>
            <w:shd w:val="clear" w:color="auto" w:fill="FFEBD0" w:themeFill="accent4" w:themeFillTint="33"/>
          </w:tcPr>
          <w:p w14:paraId="0C712A5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6C714E79" w14:textId="77777777" w:rsidR="00D27DDC" w:rsidRDefault="00D27DDC" w:rsidP="00D27DDC">
            <w:pPr>
              <w:pStyle w:val="Tablesmalltext"/>
            </w:pPr>
            <w:r w:rsidRPr="00730D0F">
              <w:rPr>
                <w:color w:val="000000"/>
                <w:lang w:val="en-AU" w:eastAsia="en-AU"/>
              </w:rPr>
              <w:t xml:space="preserve">2.3.1.2 A Forest Coupe Plan must: i. be prepared by the managing authority prior to the commencement of a timber harvesting operation including road construction or upgrades; ii. </w:t>
            </w:r>
            <w:r>
              <w:rPr>
                <w:color w:val="000000"/>
                <w:lang w:val="en-AU" w:eastAsia="en-AU"/>
              </w:rPr>
              <w:t>C</w:t>
            </w:r>
            <w:r w:rsidRPr="00730D0F">
              <w:rPr>
                <w:color w:val="000000"/>
                <w:lang w:val="en-AU" w:eastAsia="en-AU"/>
              </w:rPr>
              <w:t xml:space="preserve">ommunicate the intended boundaries, activities and requirements in adequate detail to enable operators to complete work to the required standard, comply with the Code and comply with the Management Standards and Procedures for the life of the coupe, and to support the Secretary in reviewing compliance; iii. be sanctioned; iv. be approved and provide evidence of the approval for timber harvesting operations occurring within SPZ or outside the area identified in an Allocation Order or licensed to the harvesting entity; v. record details of the type of timber </w:t>
            </w:r>
            <w:r w:rsidRPr="00730D0F">
              <w:rPr>
                <w:color w:val="000000"/>
                <w:lang w:val="en-AU" w:eastAsia="en-AU"/>
              </w:rPr>
              <w:lastRenderedPageBreak/>
              <w:t>harvesting operation; and vi. document all variations to operational requirements and sanctions (such as the removal of trees from buffers for safety purposes) until the timber harvesting coupe is approved as successfully regenerated and rehabilitated.</w:t>
            </w:r>
          </w:p>
        </w:tc>
      </w:tr>
      <w:tr w:rsidR="00D27DDC" w14:paraId="538E8302" w14:textId="77777777" w:rsidTr="00D27DDC">
        <w:tc>
          <w:tcPr>
            <w:tcW w:w="391" w:type="pct"/>
            <w:shd w:val="clear" w:color="auto" w:fill="FFEBD0" w:themeFill="accent4" w:themeFillTint="33"/>
          </w:tcPr>
          <w:p w14:paraId="1006652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C</w:t>
            </w:r>
          </w:p>
        </w:tc>
        <w:tc>
          <w:tcPr>
            <w:tcW w:w="4609" w:type="pct"/>
            <w:gridSpan w:val="3"/>
            <w:shd w:val="clear" w:color="auto" w:fill="FFEBD0" w:themeFill="accent4" w:themeFillTint="33"/>
          </w:tcPr>
          <w:p w14:paraId="606310F5" w14:textId="77777777" w:rsidR="00D27DDC" w:rsidRDefault="00D27DDC" w:rsidP="00D27DDC">
            <w:pPr>
              <w:pStyle w:val="Tablesmalltext"/>
            </w:pPr>
            <w:r w:rsidRPr="00730D0F">
              <w:rPr>
                <w:color w:val="000000"/>
                <w:lang w:val="en-AU" w:eastAsia="en-AU"/>
              </w:rPr>
              <w:t>2.3.1.1 Forest Coupe Plans prepared for timber harvesting operations must: (a) state the net area that is planned to be harvested or tended; (b) state the start date and season during which operations are scheduled to occur; (c) identify the silvicultural systems or tending methods to be employed; (d) identify requirements for the location*, design, construction, maintenance and use of roads, and closure of temporary roads; (e) identify requirements for the design, siting*, construction, use, and rehabilitation of log landings and dumps and, where necessary, siting and rehabilitation measures for major snig tracks; (f) describe regeneration procedures to be applied; (g) identify and describe management actions for all relevant coupe values specified within the Code, these Management Standards and Procedures and the forest management zoning scheme; (h) describe measures employed to protect biodiversity such as: I. habitat tree retention; II. provision for the continuity and replacement of old hollow</w:t>
            </w:r>
            <w:r w:rsidRPr="00730D0F">
              <w:rPr>
                <w:rFonts w:ascii="Cambria Math" w:hAnsi="Cambria Math" w:cs="Cambria Math"/>
                <w:color w:val="000000"/>
                <w:lang w:val="en-AU" w:eastAsia="en-AU"/>
              </w:rPr>
              <w:t>‐</w:t>
            </w:r>
            <w:r w:rsidRPr="00730D0F">
              <w:rPr>
                <w:color w:val="000000"/>
                <w:lang w:val="en-AU" w:eastAsia="en-AU"/>
              </w:rPr>
              <w:t>bearing trees within the harvestable area; and III. retention of long</w:t>
            </w:r>
            <w:r w:rsidRPr="00730D0F">
              <w:rPr>
                <w:rFonts w:ascii="Cambria Math" w:hAnsi="Cambria Math" w:cs="Cambria Math"/>
                <w:color w:val="000000"/>
                <w:lang w:val="en-AU" w:eastAsia="en-AU"/>
              </w:rPr>
              <w:t>‐</w:t>
            </w:r>
            <w:r w:rsidRPr="00730D0F">
              <w:rPr>
                <w:color w:val="000000"/>
                <w:lang w:val="en-AU" w:eastAsia="en-AU"/>
              </w:rPr>
              <w:t xml:space="preserve">lived understorey species in appropriate numbers and configurations to allow for the regeneration of the vegetation types that existed within the coupe before the timber harvesting operation commenced. (i) describe soil erosion hazard classes present within the coupe and measures employed to protect and rehabilitate soils and to maintain water quality and river health. </w:t>
            </w:r>
          </w:p>
        </w:tc>
      </w:tr>
      <w:tr w:rsidR="00D27DDC" w14:paraId="0594BC49" w14:textId="77777777" w:rsidTr="00D27DDC">
        <w:tc>
          <w:tcPr>
            <w:tcW w:w="391" w:type="pct"/>
            <w:shd w:val="clear" w:color="auto" w:fill="FFEBD0" w:themeFill="accent4" w:themeFillTint="33"/>
          </w:tcPr>
          <w:p w14:paraId="1D44D52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74B2AC9B" w14:textId="77777777" w:rsidR="00D27DDC" w:rsidRDefault="00D27DDC" w:rsidP="00D27DDC">
            <w:pPr>
              <w:pStyle w:val="Tablesmalltext"/>
            </w:pPr>
            <w:r w:rsidRPr="00730D0F">
              <w:rPr>
                <w:color w:val="000000"/>
                <w:lang w:val="en-AU" w:eastAsia="en-AU"/>
              </w:rPr>
              <w:t>2.3.1.2 Forest Coupe Plans must include a map which clearly and accurately identifies: (a) the net area that is planned to be harvested; (b)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(c) waterway, historic tramway and water race crossing locations.</w:t>
            </w:r>
          </w:p>
        </w:tc>
      </w:tr>
      <w:tr w:rsidR="00D27DDC" w14:paraId="54DD4014" w14:textId="77777777" w:rsidTr="00D27DDC">
        <w:tc>
          <w:tcPr>
            <w:tcW w:w="391" w:type="pct"/>
          </w:tcPr>
          <w:p w14:paraId="3607E74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29.01</w:t>
            </w:r>
          </w:p>
        </w:tc>
        <w:tc>
          <w:tcPr>
            <w:tcW w:w="3488" w:type="pct"/>
            <w:vAlign w:val="center"/>
          </w:tcPr>
          <w:p w14:paraId="68416A4F" w14:textId="77777777" w:rsidR="00D27DDC" w:rsidRPr="00730D0F" w:rsidRDefault="00D27DDC" w:rsidP="00D27DDC">
            <w:pPr>
              <w:pStyle w:val="Tablesmalltext"/>
              <w:rPr>
                <w:color w:val="000000"/>
                <w:lang w:val="en-AU" w:eastAsia="en-AU"/>
              </w:rPr>
            </w:pPr>
            <w:r w:rsidRPr="00730D0F">
              <w:rPr>
                <w:color w:val="000000"/>
                <w:lang w:val="en-AU" w:eastAsia="en-AU"/>
              </w:rPr>
              <w:t>Does the FCP state the net area that is planned to be harvested or tended?</w:t>
            </w:r>
          </w:p>
        </w:tc>
        <w:tc>
          <w:tcPr>
            <w:tcW w:w="599" w:type="pct"/>
          </w:tcPr>
          <w:p w14:paraId="309843C6" w14:textId="77777777" w:rsidR="00D27DDC" w:rsidRDefault="00D27DDC" w:rsidP="00D27DDC">
            <w:pPr>
              <w:pStyle w:val="Tablesmalltext"/>
              <w:jc w:val="center"/>
            </w:pPr>
            <w:r w:rsidRPr="00F06B93">
              <w:t>100%</w:t>
            </w:r>
          </w:p>
        </w:tc>
        <w:tc>
          <w:tcPr>
            <w:tcW w:w="522" w:type="pct"/>
          </w:tcPr>
          <w:p w14:paraId="5C6CCC0F" w14:textId="77777777" w:rsidR="00D27DDC" w:rsidRDefault="00D27DDC" w:rsidP="00D27DDC">
            <w:pPr>
              <w:pStyle w:val="Tablesmalltext"/>
              <w:jc w:val="center"/>
            </w:pPr>
            <w:r>
              <w:t>P</w:t>
            </w:r>
          </w:p>
        </w:tc>
      </w:tr>
      <w:tr w:rsidR="00D27DDC" w14:paraId="1D1A450B" w14:textId="77777777" w:rsidTr="00D27DDC">
        <w:tc>
          <w:tcPr>
            <w:tcW w:w="391" w:type="pct"/>
          </w:tcPr>
          <w:p w14:paraId="46F016E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29.02</w:t>
            </w:r>
          </w:p>
        </w:tc>
        <w:tc>
          <w:tcPr>
            <w:tcW w:w="3488" w:type="pct"/>
            <w:vAlign w:val="center"/>
          </w:tcPr>
          <w:p w14:paraId="03AC963C" w14:textId="77777777" w:rsidR="00D27DDC" w:rsidRPr="00730D0F" w:rsidRDefault="00D27DDC" w:rsidP="00D27DDC">
            <w:pPr>
              <w:pStyle w:val="Tablesmalltext"/>
              <w:rPr>
                <w:color w:val="000000"/>
                <w:lang w:val="en-AU" w:eastAsia="en-AU"/>
              </w:rPr>
            </w:pPr>
            <w:r w:rsidRPr="00730D0F">
              <w:rPr>
                <w:color w:val="000000"/>
                <w:lang w:val="en-AU" w:eastAsia="en-AU"/>
              </w:rPr>
              <w:t>Does the FCP state the start date and season during which operations are scheduled to occur?</w:t>
            </w:r>
          </w:p>
        </w:tc>
        <w:tc>
          <w:tcPr>
            <w:tcW w:w="599" w:type="pct"/>
          </w:tcPr>
          <w:p w14:paraId="0F0C333F" w14:textId="77777777" w:rsidR="00D27DDC" w:rsidRDefault="00D27DDC" w:rsidP="00D27DDC">
            <w:pPr>
              <w:pStyle w:val="Tablesmalltext"/>
              <w:jc w:val="center"/>
            </w:pPr>
            <w:r w:rsidRPr="00F06B93">
              <w:t>100%</w:t>
            </w:r>
          </w:p>
        </w:tc>
        <w:tc>
          <w:tcPr>
            <w:tcW w:w="522" w:type="pct"/>
          </w:tcPr>
          <w:p w14:paraId="6216BB3F" w14:textId="77777777" w:rsidR="00D27DDC" w:rsidRDefault="00D27DDC" w:rsidP="00D27DDC">
            <w:pPr>
              <w:pStyle w:val="Tablesmalltext"/>
              <w:jc w:val="center"/>
            </w:pPr>
            <w:r>
              <w:t>P</w:t>
            </w:r>
          </w:p>
        </w:tc>
      </w:tr>
      <w:tr w:rsidR="00D27DDC" w14:paraId="3BC57513" w14:textId="77777777" w:rsidTr="00D27DDC">
        <w:tc>
          <w:tcPr>
            <w:tcW w:w="391" w:type="pct"/>
          </w:tcPr>
          <w:p w14:paraId="13D772B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29.03</w:t>
            </w:r>
          </w:p>
        </w:tc>
        <w:tc>
          <w:tcPr>
            <w:tcW w:w="3488" w:type="pct"/>
            <w:vAlign w:val="center"/>
          </w:tcPr>
          <w:p w14:paraId="4B58A767" w14:textId="77777777" w:rsidR="00D27DDC" w:rsidRPr="00730D0F" w:rsidRDefault="00D27DDC" w:rsidP="00D27DDC">
            <w:pPr>
              <w:pStyle w:val="Tablesmalltext"/>
              <w:rPr>
                <w:color w:val="000000"/>
                <w:lang w:val="en-AU" w:eastAsia="en-AU"/>
              </w:rPr>
            </w:pPr>
            <w:r w:rsidRPr="00730D0F">
              <w:rPr>
                <w:color w:val="000000"/>
                <w:lang w:val="en-AU" w:eastAsia="en-AU"/>
              </w:rPr>
              <w:t>Does the FCP identify the silvicultural systems or tending methods to be employed?</w:t>
            </w:r>
          </w:p>
        </w:tc>
        <w:tc>
          <w:tcPr>
            <w:tcW w:w="599" w:type="pct"/>
          </w:tcPr>
          <w:p w14:paraId="231AFADA" w14:textId="77777777" w:rsidR="00D27DDC" w:rsidRDefault="00D27DDC" w:rsidP="00D27DDC">
            <w:pPr>
              <w:pStyle w:val="Tablesmalltext"/>
              <w:jc w:val="center"/>
            </w:pPr>
            <w:r w:rsidRPr="00F06B93">
              <w:t>100%</w:t>
            </w:r>
          </w:p>
        </w:tc>
        <w:tc>
          <w:tcPr>
            <w:tcW w:w="522" w:type="pct"/>
          </w:tcPr>
          <w:p w14:paraId="5D164E44" w14:textId="77777777" w:rsidR="00D27DDC" w:rsidRDefault="00D27DDC" w:rsidP="00D27DDC">
            <w:pPr>
              <w:pStyle w:val="Tablesmalltext"/>
              <w:jc w:val="center"/>
            </w:pPr>
            <w:r>
              <w:t>P</w:t>
            </w:r>
          </w:p>
        </w:tc>
      </w:tr>
      <w:tr w:rsidR="00D27DDC" w14:paraId="0CEA060E" w14:textId="77777777" w:rsidTr="00D27DDC">
        <w:tc>
          <w:tcPr>
            <w:tcW w:w="391" w:type="pct"/>
          </w:tcPr>
          <w:p w14:paraId="212922B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29.04</w:t>
            </w:r>
          </w:p>
        </w:tc>
        <w:tc>
          <w:tcPr>
            <w:tcW w:w="3488" w:type="pct"/>
            <w:vAlign w:val="center"/>
          </w:tcPr>
          <w:p w14:paraId="42264F0D" w14:textId="77777777" w:rsidR="00D27DDC" w:rsidRPr="00730D0F" w:rsidRDefault="00D27DDC" w:rsidP="00D27DDC">
            <w:pPr>
              <w:pStyle w:val="Tablesmalltext"/>
              <w:rPr>
                <w:color w:val="000000"/>
                <w:lang w:val="en-AU" w:eastAsia="en-AU"/>
              </w:rPr>
            </w:pPr>
            <w:r w:rsidRPr="00730D0F">
              <w:rPr>
                <w:color w:val="000000"/>
                <w:lang w:val="en-AU" w:eastAsia="en-AU"/>
              </w:rPr>
              <w:t>Does the FCP identify requirements for the location, design, construction, maintenance and use of roads, and closure of temporary roads?</w:t>
            </w:r>
          </w:p>
        </w:tc>
        <w:tc>
          <w:tcPr>
            <w:tcW w:w="599" w:type="pct"/>
          </w:tcPr>
          <w:p w14:paraId="52B38DDF" w14:textId="77777777" w:rsidR="00D27DDC" w:rsidRDefault="00D27DDC" w:rsidP="00D27DDC">
            <w:pPr>
              <w:pStyle w:val="Tablesmalltext"/>
              <w:jc w:val="center"/>
            </w:pPr>
            <w:r w:rsidRPr="00F06B93">
              <w:t>100%</w:t>
            </w:r>
          </w:p>
        </w:tc>
        <w:tc>
          <w:tcPr>
            <w:tcW w:w="522" w:type="pct"/>
          </w:tcPr>
          <w:p w14:paraId="4D569048" w14:textId="77777777" w:rsidR="00D27DDC" w:rsidRDefault="00D27DDC" w:rsidP="00D27DDC">
            <w:pPr>
              <w:pStyle w:val="Tablesmalltext"/>
              <w:jc w:val="center"/>
            </w:pPr>
            <w:r>
              <w:t>P</w:t>
            </w:r>
          </w:p>
        </w:tc>
      </w:tr>
      <w:tr w:rsidR="00D27DDC" w14:paraId="5FB91888" w14:textId="77777777" w:rsidTr="00D27DDC">
        <w:tc>
          <w:tcPr>
            <w:tcW w:w="391" w:type="pct"/>
          </w:tcPr>
          <w:p w14:paraId="08F7102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29.05</w:t>
            </w:r>
          </w:p>
        </w:tc>
        <w:tc>
          <w:tcPr>
            <w:tcW w:w="3488" w:type="pct"/>
            <w:vAlign w:val="center"/>
          </w:tcPr>
          <w:p w14:paraId="093312BE" w14:textId="77777777" w:rsidR="00D27DDC" w:rsidRPr="00730D0F" w:rsidRDefault="00D27DDC" w:rsidP="00D27DDC">
            <w:pPr>
              <w:pStyle w:val="Tablesmalltext"/>
              <w:rPr>
                <w:color w:val="000000"/>
                <w:lang w:val="en-AU" w:eastAsia="en-AU"/>
              </w:rPr>
            </w:pPr>
            <w:r w:rsidRPr="00730D0F">
              <w:rPr>
                <w:color w:val="000000"/>
                <w:lang w:val="en-AU" w:eastAsia="en-AU"/>
              </w:rPr>
              <w:t>Does the FCP identify requirements for the design, siting, construction, use, and rehabilitation of log landings and dumps and, where necessary, siting and rehabilitation measures for major snig tracks?</w:t>
            </w:r>
          </w:p>
        </w:tc>
        <w:tc>
          <w:tcPr>
            <w:tcW w:w="599" w:type="pct"/>
          </w:tcPr>
          <w:p w14:paraId="0762B873" w14:textId="77777777" w:rsidR="00D27DDC" w:rsidRDefault="00D27DDC" w:rsidP="00D27DDC">
            <w:pPr>
              <w:pStyle w:val="Tablesmalltext"/>
              <w:jc w:val="center"/>
            </w:pPr>
            <w:r w:rsidRPr="00F06B93">
              <w:t>100%</w:t>
            </w:r>
          </w:p>
        </w:tc>
        <w:tc>
          <w:tcPr>
            <w:tcW w:w="522" w:type="pct"/>
          </w:tcPr>
          <w:p w14:paraId="714ADACF" w14:textId="77777777" w:rsidR="00D27DDC" w:rsidRDefault="00D27DDC" w:rsidP="00D27DDC">
            <w:pPr>
              <w:pStyle w:val="Tablesmalltext"/>
              <w:jc w:val="center"/>
            </w:pPr>
            <w:r>
              <w:t>P</w:t>
            </w:r>
          </w:p>
        </w:tc>
      </w:tr>
      <w:tr w:rsidR="00D27DDC" w14:paraId="51930D46" w14:textId="77777777" w:rsidTr="00D27DDC">
        <w:tc>
          <w:tcPr>
            <w:tcW w:w="391" w:type="pct"/>
          </w:tcPr>
          <w:p w14:paraId="5AEEF17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29.06</w:t>
            </w:r>
          </w:p>
        </w:tc>
        <w:tc>
          <w:tcPr>
            <w:tcW w:w="3488" w:type="pct"/>
            <w:vAlign w:val="center"/>
          </w:tcPr>
          <w:p w14:paraId="1BB18CAA" w14:textId="77777777" w:rsidR="00D27DDC" w:rsidRPr="00730D0F" w:rsidRDefault="00D27DDC" w:rsidP="00D27DDC">
            <w:pPr>
              <w:pStyle w:val="Tablesmalltext"/>
              <w:rPr>
                <w:color w:val="000000"/>
                <w:lang w:val="en-AU" w:eastAsia="en-AU"/>
              </w:rPr>
            </w:pPr>
            <w:r w:rsidRPr="00730D0F">
              <w:rPr>
                <w:color w:val="000000"/>
                <w:lang w:val="en-AU" w:eastAsia="en-AU"/>
              </w:rPr>
              <w:t>Does the FCP describe regeneration procedures to be applied?</w:t>
            </w:r>
          </w:p>
        </w:tc>
        <w:tc>
          <w:tcPr>
            <w:tcW w:w="599" w:type="pct"/>
          </w:tcPr>
          <w:p w14:paraId="056E1EF7" w14:textId="77777777" w:rsidR="00D27DDC" w:rsidRDefault="00D27DDC" w:rsidP="00D27DDC">
            <w:pPr>
              <w:pStyle w:val="Tablesmalltext"/>
              <w:jc w:val="center"/>
            </w:pPr>
            <w:r w:rsidRPr="00F06B93">
              <w:t>100%</w:t>
            </w:r>
          </w:p>
        </w:tc>
        <w:tc>
          <w:tcPr>
            <w:tcW w:w="522" w:type="pct"/>
          </w:tcPr>
          <w:p w14:paraId="6CA6AEF6" w14:textId="77777777" w:rsidR="00D27DDC" w:rsidRDefault="00D27DDC" w:rsidP="00D27DDC">
            <w:pPr>
              <w:pStyle w:val="Tablesmalltext"/>
              <w:jc w:val="center"/>
            </w:pPr>
            <w:r>
              <w:t>P</w:t>
            </w:r>
          </w:p>
        </w:tc>
      </w:tr>
      <w:tr w:rsidR="00D27DDC" w14:paraId="09332E66" w14:textId="77777777" w:rsidTr="00D27DDC">
        <w:tc>
          <w:tcPr>
            <w:tcW w:w="391" w:type="pct"/>
          </w:tcPr>
          <w:p w14:paraId="117124A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29.07</w:t>
            </w:r>
          </w:p>
        </w:tc>
        <w:tc>
          <w:tcPr>
            <w:tcW w:w="3488" w:type="pct"/>
            <w:vAlign w:val="center"/>
          </w:tcPr>
          <w:p w14:paraId="3C97D590" w14:textId="77777777" w:rsidR="00D27DDC" w:rsidRPr="00730D0F" w:rsidRDefault="00D27DDC" w:rsidP="00D27DDC">
            <w:pPr>
              <w:pStyle w:val="Tablesmalltext"/>
              <w:rPr>
                <w:color w:val="000000"/>
                <w:lang w:val="en-AU" w:eastAsia="en-AU"/>
              </w:rPr>
            </w:pPr>
            <w:r w:rsidRPr="00730D0F">
              <w:rPr>
                <w:color w:val="000000"/>
                <w:lang w:val="en-AU" w:eastAsia="en-AU"/>
              </w:rPr>
              <w:t>Does the FCP identify and describe management actions for all relevant coupe values specified within the Code, these Management Standards and Procedures and the forest management zoning scheme?</w:t>
            </w:r>
          </w:p>
        </w:tc>
        <w:tc>
          <w:tcPr>
            <w:tcW w:w="599" w:type="pct"/>
          </w:tcPr>
          <w:p w14:paraId="27E8C650" w14:textId="77777777" w:rsidR="00D27DDC" w:rsidRDefault="00D27DDC" w:rsidP="00D27DDC">
            <w:pPr>
              <w:pStyle w:val="Tablesmalltext"/>
              <w:jc w:val="center"/>
            </w:pPr>
            <w:r w:rsidRPr="00F06B93">
              <w:t>100%</w:t>
            </w:r>
          </w:p>
        </w:tc>
        <w:tc>
          <w:tcPr>
            <w:tcW w:w="522" w:type="pct"/>
          </w:tcPr>
          <w:p w14:paraId="280CAC1A" w14:textId="77777777" w:rsidR="00D27DDC" w:rsidRDefault="00D27DDC" w:rsidP="00D27DDC">
            <w:pPr>
              <w:pStyle w:val="Tablesmalltext"/>
              <w:jc w:val="center"/>
            </w:pPr>
            <w:r>
              <w:t>P</w:t>
            </w:r>
          </w:p>
        </w:tc>
      </w:tr>
      <w:tr w:rsidR="00D27DDC" w14:paraId="313C7FAE" w14:textId="77777777" w:rsidTr="00D27DDC">
        <w:tc>
          <w:tcPr>
            <w:tcW w:w="391" w:type="pct"/>
          </w:tcPr>
          <w:p w14:paraId="0B87C77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29.08</w:t>
            </w:r>
          </w:p>
        </w:tc>
        <w:tc>
          <w:tcPr>
            <w:tcW w:w="3488" w:type="pct"/>
            <w:vAlign w:val="center"/>
          </w:tcPr>
          <w:p w14:paraId="72FAD8FE" w14:textId="77777777" w:rsidR="00D27DDC" w:rsidRPr="00730D0F" w:rsidRDefault="00D27DDC" w:rsidP="00D27DDC">
            <w:pPr>
              <w:pStyle w:val="Tablesmalltext"/>
              <w:rPr>
                <w:color w:val="000000"/>
                <w:lang w:val="en-AU" w:eastAsia="en-AU"/>
              </w:rPr>
            </w:pPr>
            <w:r w:rsidRPr="00730D0F">
              <w:rPr>
                <w:color w:val="000000"/>
                <w:lang w:val="en-AU" w:eastAsia="en-AU"/>
              </w:rPr>
              <w:t>Does the FCP describe measures employed to protect biodiversity such as: I. habitat tree retention; II. provision for the continuity and replacement of old hollow</w:t>
            </w:r>
            <w:r w:rsidRPr="00730D0F">
              <w:rPr>
                <w:rFonts w:ascii="Cambria Math" w:hAnsi="Cambria Math" w:cs="Cambria Math"/>
                <w:color w:val="000000"/>
                <w:lang w:val="en-AU" w:eastAsia="en-AU"/>
              </w:rPr>
              <w:t>‐</w:t>
            </w:r>
            <w:r w:rsidRPr="00730D0F">
              <w:rPr>
                <w:color w:val="000000"/>
                <w:lang w:val="en-AU" w:eastAsia="en-AU"/>
              </w:rPr>
              <w:t>bearing trees within the harvestable area; and III. retention of long</w:t>
            </w:r>
            <w:r w:rsidRPr="00730D0F">
              <w:rPr>
                <w:rFonts w:ascii="Cambria Math" w:hAnsi="Cambria Math" w:cs="Cambria Math"/>
                <w:color w:val="000000"/>
                <w:lang w:val="en-AU" w:eastAsia="en-AU"/>
              </w:rPr>
              <w:t>‐</w:t>
            </w:r>
            <w:r w:rsidRPr="00730D0F">
              <w:rPr>
                <w:color w:val="000000"/>
                <w:lang w:val="en-AU" w:eastAsia="en-AU"/>
              </w:rPr>
              <w:t>lived understorey species in appropriate numbers and configurations to allow for the regeneration of the vegetation types that existed within the coupe before the timber harvesting operation commenced?</w:t>
            </w:r>
          </w:p>
        </w:tc>
        <w:tc>
          <w:tcPr>
            <w:tcW w:w="599" w:type="pct"/>
          </w:tcPr>
          <w:p w14:paraId="1C638927" w14:textId="77777777" w:rsidR="00D27DDC" w:rsidRDefault="00D27DDC" w:rsidP="00D27DDC">
            <w:pPr>
              <w:pStyle w:val="Tablesmalltext"/>
              <w:jc w:val="center"/>
            </w:pPr>
            <w:r w:rsidRPr="00F06B93">
              <w:t>100%</w:t>
            </w:r>
          </w:p>
        </w:tc>
        <w:tc>
          <w:tcPr>
            <w:tcW w:w="522" w:type="pct"/>
          </w:tcPr>
          <w:p w14:paraId="319160D4" w14:textId="77777777" w:rsidR="00D27DDC" w:rsidRDefault="00D27DDC" w:rsidP="00D27DDC">
            <w:pPr>
              <w:pStyle w:val="Tablesmalltext"/>
              <w:jc w:val="center"/>
            </w:pPr>
            <w:r>
              <w:t>P</w:t>
            </w:r>
          </w:p>
        </w:tc>
      </w:tr>
      <w:tr w:rsidR="00D27DDC" w14:paraId="4FC519B9" w14:textId="77777777" w:rsidTr="00D27DDC">
        <w:tc>
          <w:tcPr>
            <w:tcW w:w="391" w:type="pct"/>
          </w:tcPr>
          <w:p w14:paraId="78FB07C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29.09</w:t>
            </w:r>
          </w:p>
        </w:tc>
        <w:tc>
          <w:tcPr>
            <w:tcW w:w="3488" w:type="pct"/>
            <w:vAlign w:val="center"/>
          </w:tcPr>
          <w:p w14:paraId="5167629F" w14:textId="77777777" w:rsidR="00D27DDC" w:rsidRPr="00730D0F" w:rsidRDefault="00D27DDC" w:rsidP="00D27DDC">
            <w:pPr>
              <w:pStyle w:val="Tablesmalltext"/>
              <w:rPr>
                <w:color w:val="000000"/>
                <w:lang w:val="en-AU" w:eastAsia="en-AU"/>
              </w:rPr>
            </w:pPr>
            <w:r w:rsidRPr="00730D0F">
              <w:rPr>
                <w:color w:val="000000"/>
                <w:lang w:val="en-AU" w:eastAsia="en-AU"/>
              </w:rPr>
              <w:t>Does the FCP describe soil erosion hazard classes present within the coupe and measures employed to protect and rehabilitate soils and to maintain water quality and river health?</w:t>
            </w:r>
          </w:p>
        </w:tc>
        <w:tc>
          <w:tcPr>
            <w:tcW w:w="599" w:type="pct"/>
          </w:tcPr>
          <w:p w14:paraId="063F401D" w14:textId="77777777" w:rsidR="00D27DDC" w:rsidRDefault="00D27DDC" w:rsidP="00D27DDC">
            <w:pPr>
              <w:pStyle w:val="Tablesmalltext"/>
              <w:jc w:val="center"/>
            </w:pPr>
            <w:r w:rsidRPr="00F06B93">
              <w:t>100%</w:t>
            </w:r>
          </w:p>
        </w:tc>
        <w:tc>
          <w:tcPr>
            <w:tcW w:w="522" w:type="pct"/>
          </w:tcPr>
          <w:p w14:paraId="438B3D8D" w14:textId="77777777" w:rsidR="00D27DDC" w:rsidRDefault="00D27DDC" w:rsidP="00D27DDC">
            <w:pPr>
              <w:pStyle w:val="Tablesmalltext"/>
              <w:jc w:val="center"/>
            </w:pPr>
            <w:r>
              <w:t>P</w:t>
            </w:r>
          </w:p>
        </w:tc>
      </w:tr>
      <w:tr w:rsidR="00D27DDC" w14:paraId="091A06BB" w14:textId="77777777" w:rsidTr="00D27DDC">
        <w:tc>
          <w:tcPr>
            <w:tcW w:w="391" w:type="pct"/>
          </w:tcPr>
          <w:p w14:paraId="57789D5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29.10</w:t>
            </w:r>
          </w:p>
        </w:tc>
        <w:tc>
          <w:tcPr>
            <w:tcW w:w="3488" w:type="pct"/>
            <w:vAlign w:val="center"/>
          </w:tcPr>
          <w:p w14:paraId="49389886" w14:textId="77777777" w:rsidR="00D27DDC" w:rsidRPr="00730D0F" w:rsidRDefault="00D27DDC" w:rsidP="00D27DDC">
            <w:pPr>
              <w:pStyle w:val="Tablesmalltext"/>
              <w:rPr>
                <w:color w:val="000000"/>
                <w:lang w:val="en-AU" w:eastAsia="en-AU"/>
              </w:rPr>
            </w:pPr>
            <w:r w:rsidRPr="00730D0F">
              <w:rPr>
                <w:color w:val="000000"/>
                <w:lang w:val="en-AU" w:eastAsia="en-AU"/>
              </w:rPr>
              <w:t>Does the FCP include a map which clearly and accurately identifies: (a) the net area that is planned to be harvested; (b) areas within and adjacent to a coupe that are to be excluded from harvesting and associated activities, or to which special prescriptions apply (including biodiversity protection or habitat enhancement, water quality and aquatic habitat protection, landscape protection, or cultural heritage sites and places); and (c) waterway, historic tramway and water race crossing locations?</w:t>
            </w:r>
          </w:p>
        </w:tc>
        <w:tc>
          <w:tcPr>
            <w:tcW w:w="599" w:type="pct"/>
          </w:tcPr>
          <w:p w14:paraId="1B4033EF" w14:textId="77777777" w:rsidR="00D27DDC" w:rsidRDefault="00D27DDC" w:rsidP="00D27DDC">
            <w:pPr>
              <w:pStyle w:val="Tablesmalltext"/>
              <w:jc w:val="center"/>
            </w:pPr>
            <w:r w:rsidRPr="00F06B93">
              <w:t>100%</w:t>
            </w:r>
          </w:p>
        </w:tc>
        <w:tc>
          <w:tcPr>
            <w:tcW w:w="522" w:type="pct"/>
          </w:tcPr>
          <w:p w14:paraId="091516D8" w14:textId="77777777" w:rsidR="00D27DDC" w:rsidRDefault="00D27DDC" w:rsidP="00D27DDC">
            <w:pPr>
              <w:pStyle w:val="Tablesmalltext"/>
              <w:jc w:val="center"/>
            </w:pPr>
            <w:r>
              <w:t>P</w:t>
            </w:r>
          </w:p>
        </w:tc>
      </w:tr>
      <w:tr w:rsidR="00D27DDC" w14:paraId="6D8C4A8D" w14:textId="77777777" w:rsidTr="00D27DDC">
        <w:tc>
          <w:tcPr>
            <w:tcW w:w="391" w:type="pct"/>
          </w:tcPr>
          <w:p w14:paraId="4680F87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29.11</w:t>
            </w:r>
          </w:p>
        </w:tc>
        <w:tc>
          <w:tcPr>
            <w:tcW w:w="3488" w:type="pct"/>
            <w:vAlign w:val="center"/>
          </w:tcPr>
          <w:p w14:paraId="5CC9DB54" w14:textId="77777777" w:rsidR="00D27DDC" w:rsidRPr="00730D0F" w:rsidRDefault="00D27DDC" w:rsidP="00D27DDC">
            <w:pPr>
              <w:pStyle w:val="Tablesmalltext"/>
              <w:rPr>
                <w:color w:val="000000"/>
                <w:lang w:val="en-AU" w:eastAsia="en-AU"/>
              </w:rPr>
            </w:pPr>
            <w:r w:rsidRPr="00730D0F">
              <w:rPr>
                <w:color w:val="000000"/>
                <w:lang w:val="en-AU" w:eastAsia="en-AU"/>
              </w:rPr>
              <w:t>Has the FCP been sanctioned?</w:t>
            </w:r>
          </w:p>
        </w:tc>
        <w:tc>
          <w:tcPr>
            <w:tcW w:w="599" w:type="pct"/>
          </w:tcPr>
          <w:p w14:paraId="46F01263" w14:textId="77777777" w:rsidR="00D27DDC" w:rsidRDefault="00D27DDC" w:rsidP="00D27DDC">
            <w:pPr>
              <w:pStyle w:val="Tablesmalltext"/>
              <w:jc w:val="center"/>
            </w:pPr>
            <w:r>
              <w:t>100%</w:t>
            </w:r>
          </w:p>
        </w:tc>
        <w:tc>
          <w:tcPr>
            <w:tcW w:w="522" w:type="pct"/>
          </w:tcPr>
          <w:p w14:paraId="02FE36E3" w14:textId="77777777" w:rsidR="00D27DDC" w:rsidRDefault="00D27DDC" w:rsidP="00D27DDC">
            <w:pPr>
              <w:pStyle w:val="Tablesmalltext"/>
              <w:jc w:val="center"/>
            </w:pPr>
            <w:r>
              <w:t>P</w:t>
            </w:r>
          </w:p>
        </w:tc>
      </w:tr>
      <w:tr w:rsidR="00D27DDC" w14:paraId="6D4B45CA" w14:textId="77777777" w:rsidTr="00D27DDC">
        <w:tc>
          <w:tcPr>
            <w:tcW w:w="391" w:type="pct"/>
          </w:tcPr>
          <w:p w14:paraId="3A14E3E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29.12</w:t>
            </w:r>
          </w:p>
        </w:tc>
        <w:tc>
          <w:tcPr>
            <w:tcW w:w="3488" w:type="pct"/>
            <w:vAlign w:val="center"/>
          </w:tcPr>
          <w:p w14:paraId="4E772BCB" w14:textId="77777777" w:rsidR="00D27DDC" w:rsidRPr="00730D0F" w:rsidRDefault="00D27DDC" w:rsidP="00D27DDC">
            <w:pPr>
              <w:pStyle w:val="Tablesmalltext"/>
              <w:rPr>
                <w:color w:val="000000"/>
                <w:lang w:val="en-AU" w:eastAsia="en-AU"/>
              </w:rPr>
            </w:pPr>
            <w:r w:rsidRPr="00730D0F">
              <w:rPr>
                <w:color w:val="000000"/>
                <w:lang w:val="en-AU" w:eastAsia="en-AU"/>
              </w:rPr>
              <w:t>If timber harvesting operations are taking place in SPZ, is there evidence of prior approval?</w:t>
            </w:r>
          </w:p>
        </w:tc>
        <w:tc>
          <w:tcPr>
            <w:tcW w:w="599" w:type="pct"/>
          </w:tcPr>
          <w:p w14:paraId="4CD7EAA7" w14:textId="77777777" w:rsidR="00D27DDC" w:rsidRDefault="00D27DDC" w:rsidP="00D27DDC">
            <w:pPr>
              <w:pStyle w:val="Tablesmalltext"/>
              <w:jc w:val="center"/>
            </w:pPr>
            <w:r>
              <w:t>0%</w:t>
            </w:r>
          </w:p>
        </w:tc>
        <w:tc>
          <w:tcPr>
            <w:tcW w:w="522" w:type="pct"/>
          </w:tcPr>
          <w:p w14:paraId="1251F5B1" w14:textId="77777777" w:rsidR="00D27DDC" w:rsidRDefault="00D27DDC" w:rsidP="00D27DDC">
            <w:pPr>
              <w:pStyle w:val="Tablesmalltext"/>
              <w:jc w:val="center"/>
            </w:pPr>
            <w:r>
              <w:t>P</w:t>
            </w:r>
          </w:p>
        </w:tc>
      </w:tr>
      <w:tr w:rsidR="00D27DDC" w14:paraId="49B8A893" w14:textId="77777777" w:rsidTr="00D27DDC">
        <w:tc>
          <w:tcPr>
            <w:tcW w:w="391" w:type="pct"/>
          </w:tcPr>
          <w:p w14:paraId="7BC142F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lastRenderedPageBreak/>
              <w:t>29.13</w:t>
            </w:r>
          </w:p>
        </w:tc>
        <w:tc>
          <w:tcPr>
            <w:tcW w:w="3488" w:type="pct"/>
          </w:tcPr>
          <w:p w14:paraId="40326C1F" w14:textId="77777777" w:rsidR="00D27DDC" w:rsidRPr="00730D0F" w:rsidRDefault="00D27DDC" w:rsidP="00D27DDC">
            <w:pPr>
              <w:pStyle w:val="Tablesmalltext"/>
              <w:rPr>
                <w:color w:val="000000"/>
                <w:lang w:val="en-AU" w:eastAsia="en-AU"/>
              </w:rPr>
            </w:pPr>
            <w:r w:rsidRPr="00730D0F">
              <w:rPr>
                <w:color w:val="000000"/>
                <w:lang w:val="en-AU" w:eastAsia="en-AU"/>
              </w:rPr>
              <w:t>Does the FCP document all variations to operational requirements and sanctions?</w:t>
            </w:r>
          </w:p>
        </w:tc>
        <w:tc>
          <w:tcPr>
            <w:tcW w:w="599" w:type="pct"/>
          </w:tcPr>
          <w:p w14:paraId="696AC73D" w14:textId="77777777" w:rsidR="00D27DDC" w:rsidRDefault="00D27DDC" w:rsidP="00D27DDC">
            <w:pPr>
              <w:pStyle w:val="Tablesmalltext"/>
              <w:jc w:val="center"/>
            </w:pPr>
            <w:r>
              <w:t>50%</w:t>
            </w:r>
          </w:p>
        </w:tc>
        <w:tc>
          <w:tcPr>
            <w:tcW w:w="522" w:type="pct"/>
          </w:tcPr>
          <w:p w14:paraId="406A512B" w14:textId="77777777" w:rsidR="00D27DDC" w:rsidRDefault="00D27DDC" w:rsidP="00D27DDC">
            <w:pPr>
              <w:pStyle w:val="Tablesmalltext"/>
              <w:jc w:val="center"/>
            </w:pPr>
            <w:r>
              <w:t>P</w:t>
            </w:r>
          </w:p>
        </w:tc>
      </w:tr>
      <w:tr w:rsidR="00D27DDC" w14:paraId="6CF49AEA" w14:textId="77777777" w:rsidTr="00D27DDC">
        <w:tc>
          <w:tcPr>
            <w:tcW w:w="391" w:type="pct"/>
            <w:shd w:val="clear" w:color="auto" w:fill="FFEBD0" w:themeFill="accent4" w:themeFillTint="33"/>
          </w:tcPr>
          <w:p w14:paraId="4C27F3F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33C6CEB4" w14:textId="77777777" w:rsidR="00D27DDC" w:rsidRDefault="00D27DDC" w:rsidP="00D27DDC">
            <w:pPr>
              <w:pStyle w:val="Tablesmalltext"/>
            </w:pPr>
            <w:r w:rsidRPr="00730D0F">
              <w:rPr>
                <w:color w:val="000000"/>
                <w:lang w:val="en-AU" w:eastAsia="en-AU"/>
              </w:rPr>
              <w:t>2.5.1 Coupe Management</w:t>
            </w:r>
          </w:p>
        </w:tc>
      </w:tr>
      <w:tr w:rsidR="00D27DDC" w14:paraId="64DEAAF8" w14:textId="77777777" w:rsidTr="00D27DDC">
        <w:tc>
          <w:tcPr>
            <w:tcW w:w="391" w:type="pct"/>
            <w:shd w:val="clear" w:color="auto" w:fill="FFEBD0" w:themeFill="accent4" w:themeFillTint="33"/>
          </w:tcPr>
          <w:p w14:paraId="7EE806C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2659FA29" w14:textId="77777777" w:rsidR="00D27DDC" w:rsidRDefault="00D27DDC" w:rsidP="00D27DDC">
            <w:pPr>
              <w:pStyle w:val="Tablesmalltext"/>
            </w:pPr>
            <w:r w:rsidRPr="00730D0F">
              <w:rPr>
                <w:color w:val="000000"/>
                <w:lang w:val="en-AU" w:eastAsia="en-AU"/>
              </w:rPr>
              <w:t>2.5.1.2 Timber harvesting operations must be conducted in accordance with the Forest Coupe Plan and all applicable Special Management Zone plans</w:t>
            </w:r>
          </w:p>
        </w:tc>
      </w:tr>
      <w:tr w:rsidR="00D27DDC" w14:paraId="73618A34" w14:textId="77777777" w:rsidTr="00D27DDC">
        <w:tc>
          <w:tcPr>
            <w:tcW w:w="391" w:type="pct"/>
          </w:tcPr>
          <w:p w14:paraId="4D51CF2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30.01</w:t>
            </w:r>
          </w:p>
        </w:tc>
        <w:tc>
          <w:tcPr>
            <w:tcW w:w="3488" w:type="pct"/>
          </w:tcPr>
          <w:p w14:paraId="5684C397" w14:textId="77777777" w:rsidR="00D27DDC" w:rsidRPr="00730D0F" w:rsidRDefault="00D27DDC" w:rsidP="00D27DDC">
            <w:pPr>
              <w:pStyle w:val="Tablesmalltext"/>
              <w:rPr>
                <w:color w:val="000000"/>
                <w:lang w:val="en-AU" w:eastAsia="en-AU"/>
              </w:rPr>
            </w:pPr>
            <w:r w:rsidRPr="00730D0F">
              <w:rPr>
                <w:color w:val="000000"/>
                <w:lang w:val="en-AU" w:eastAsia="en-AU"/>
              </w:rPr>
              <w:t>ITAO has the timber harvesting operation been conducted in accordance with the FCP, any forest management zoning requirements and all applicable SMZ plans.</w:t>
            </w:r>
          </w:p>
        </w:tc>
        <w:tc>
          <w:tcPr>
            <w:tcW w:w="599" w:type="pct"/>
          </w:tcPr>
          <w:p w14:paraId="3E504914" w14:textId="77777777" w:rsidR="00D27DDC" w:rsidRDefault="00D27DDC" w:rsidP="00D27DDC">
            <w:pPr>
              <w:pStyle w:val="Tablesmalltext"/>
              <w:jc w:val="center"/>
            </w:pPr>
            <w:r>
              <w:t>57%</w:t>
            </w:r>
          </w:p>
        </w:tc>
        <w:tc>
          <w:tcPr>
            <w:tcW w:w="522" w:type="pct"/>
          </w:tcPr>
          <w:p w14:paraId="29105A36" w14:textId="77777777" w:rsidR="00D27DDC" w:rsidRDefault="00D27DDC" w:rsidP="00D27DDC">
            <w:pPr>
              <w:pStyle w:val="Tablesmalltext"/>
              <w:jc w:val="center"/>
            </w:pPr>
            <w:r>
              <w:t>P</w:t>
            </w:r>
          </w:p>
        </w:tc>
      </w:tr>
      <w:tr w:rsidR="00D27DDC" w14:paraId="3CC52080" w14:textId="77777777" w:rsidTr="00523E3C">
        <w:tc>
          <w:tcPr>
            <w:tcW w:w="391" w:type="pct"/>
            <w:shd w:val="clear" w:color="auto" w:fill="FFFFCC"/>
          </w:tcPr>
          <w:p w14:paraId="7FFFDCC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5C4DFA9" w14:textId="77777777" w:rsidR="00D27DDC" w:rsidRDefault="00D27DDC" w:rsidP="00D27DDC">
            <w:pPr>
              <w:pStyle w:val="Tablesmalltext"/>
            </w:pPr>
            <w:r w:rsidRPr="00730D0F">
              <w:rPr>
                <w:i/>
                <w:iCs/>
                <w:color w:val="000000"/>
                <w:lang w:val="en-AU" w:eastAsia="en-AU"/>
              </w:rPr>
              <w:t>MSP 7.1.2 Exclusion areas, MSP 7.1.3 Operations in buffers</w:t>
            </w:r>
          </w:p>
        </w:tc>
      </w:tr>
      <w:tr w:rsidR="00D27DDC" w14:paraId="70904243" w14:textId="77777777" w:rsidTr="00D27DDC">
        <w:tc>
          <w:tcPr>
            <w:tcW w:w="391" w:type="pct"/>
            <w:shd w:val="clear" w:color="auto" w:fill="FFEBD0" w:themeFill="accent4" w:themeFillTint="33"/>
          </w:tcPr>
          <w:p w14:paraId="717C9AA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5444DAF1" w14:textId="77777777" w:rsidR="00D27DDC" w:rsidRDefault="00D27DDC" w:rsidP="00D27DDC">
            <w:pPr>
              <w:pStyle w:val="Tablesmalltext"/>
            </w:pPr>
            <w:r w:rsidRPr="00730D0F">
              <w:rPr>
                <w:color w:val="000000"/>
                <w:lang w:val="en-AU" w:eastAsia="en-AU"/>
              </w:rPr>
              <w:t>2.5.1.5 Timber harvesting operations (excluding haulage on existing or approved roads) are not permitted in special protection zones, buffers, or other exclusion areas identified on the Forest Coupe Plan, except where: i. the removal of a limited number of trees is necessary for the construction and use of stream crossings or for river health; or ii. the operator has been sanctioned to remove a limited number of trees to protect public or worker safety or for forest health.</w:t>
            </w:r>
          </w:p>
        </w:tc>
      </w:tr>
      <w:tr w:rsidR="00D27DDC" w14:paraId="3DBDED9D" w14:textId="77777777" w:rsidTr="00523E3C">
        <w:tc>
          <w:tcPr>
            <w:tcW w:w="391" w:type="pct"/>
            <w:shd w:val="clear" w:color="auto" w:fill="FFFFCC"/>
          </w:tcPr>
          <w:p w14:paraId="694B081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E81343C" w14:textId="77777777" w:rsidR="00D27DDC" w:rsidRDefault="00D27DDC" w:rsidP="00D27DDC">
            <w:pPr>
              <w:pStyle w:val="Tablesmalltext"/>
            </w:pPr>
            <w:r w:rsidRPr="00730D0F">
              <w:rPr>
                <w:color w:val="000000"/>
                <w:lang w:val="en-AU" w:eastAsia="en-AU"/>
              </w:rPr>
              <w:t>7.1.2.1 Timber harvesting operations must be excluded from: (a) SPZs; (b) areas of SMZs where timber harvesting operations are excluded; (c) buffers and other exclusion areas created in accordance with these Management Standards and Procedures; and (d) within 10 m of vertical or near vertical sided gullies with a depth of half a metre or more that are actively eroding (or within 20 m where slope exceeds 20 degrees) in the Bendigo FMA.</w:t>
            </w:r>
          </w:p>
        </w:tc>
      </w:tr>
      <w:tr w:rsidR="00D27DDC" w14:paraId="053408D0" w14:textId="77777777" w:rsidTr="00523E3C">
        <w:tc>
          <w:tcPr>
            <w:tcW w:w="391" w:type="pct"/>
            <w:shd w:val="clear" w:color="auto" w:fill="FFFFCC"/>
          </w:tcPr>
          <w:p w14:paraId="3A5177C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26CDBAB" w14:textId="77777777" w:rsidR="00D27DDC" w:rsidRDefault="00D27DDC" w:rsidP="00D27DDC">
            <w:pPr>
              <w:pStyle w:val="Tablesmalltext"/>
            </w:pPr>
            <w:r w:rsidRPr="00730D0F">
              <w:rPr>
                <w:color w:val="000000"/>
                <w:lang w:val="en-AU" w:eastAsia="en-AU"/>
              </w:rPr>
              <w:t>7.1.2.3 Exclusion areas must be protected from damage during rough heaping or windrowing operations.</w:t>
            </w:r>
          </w:p>
        </w:tc>
      </w:tr>
      <w:tr w:rsidR="00D27DDC" w14:paraId="7B5AF7FF" w14:textId="77777777" w:rsidTr="00523E3C">
        <w:tc>
          <w:tcPr>
            <w:tcW w:w="391" w:type="pct"/>
            <w:shd w:val="clear" w:color="auto" w:fill="FFFFCC"/>
          </w:tcPr>
          <w:p w14:paraId="3842D74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74A603D" w14:textId="77777777" w:rsidR="00D27DDC" w:rsidRDefault="00D27DDC" w:rsidP="00D27DDC">
            <w:pPr>
              <w:pStyle w:val="Tablesmalltext"/>
            </w:pPr>
            <w:r w:rsidRPr="00730D0F">
              <w:rPr>
                <w:color w:val="000000"/>
                <w:lang w:val="en-AU" w:eastAsia="en-AU"/>
              </w:rPr>
              <w:t xml:space="preserve">7.1.3.1 Trees can only be harvested within buffer areas if sanctioned for safety purposes.  </w:t>
            </w:r>
          </w:p>
        </w:tc>
      </w:tr>
      <w:tr w:rsidR="00D27DDC" w14:paraId="0B63FBB1" w14:textId="77777777" w:rsidTr="00523E3C">
        <w:tc>
          <w:tcPr>
            <w:tcW w:w="391" w:type="pct"/>
            <w:shd w:val="clear" w:color="auto" w:fill="FFFFCC"/>
          </w:tcPr>
          <w:p w14:paraId="6BE8EAF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618A22C0" w14:textId="77777777" w:rsidR="00D27DDC" w:rsidRDefault="00D27DDC" w:rsidP="00D27DDC">
            <w:pPr>
              <w:pStyle w:val="Tablesmalltext"/>
            </w:pPr>
            <w:r w:rsidRPr="00730D0F">
              <w:rPr>
                <w:color w:val="000000"/>
                <w:lang w:val="en-AU" w:eastAsia="en-AU"/>
              </w:rPr>
              <w:t>7.1.3.2 Machinery is to be excluded from buffers except where involved in the construction of a sanctioned stream crossing or when using an established stream crossing.</w:t>
            </w:r>
          </w:p>
        </w:tc>
      </w:tr>
      <w:tr w:rsidR="00D27DDC" w14:paraId="51ECD93A" w14:textId="77777777" w:rsidTr="00523E3C">
        <w:tc>
          <w:tcPr>
            <w:tcW w:w="391" w:type="pct"/>
            <w:shd w:val="clear" w:color="auto" w:fill="FFFFCC"/>
          </w:tcPr>
          <w:p w14:paraId="15BB63E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0F4945F" w14:textId="77777777" w:rsidR="00D27DDC" w:rsidRDefault="00D27DDC" w:rsidP="00D27DDC">
            <w:pPr>
              <w:pStyle w:val="Tablesmalltext"/>
            </w:pPr>
            <w:r w:rsidRPr="00730D0F">
              <w:rPr>
                <w:color w:val="000000"/>
                <w:lang w:val="en-AU" w:eastAsia="en-AU"/>
              </w:rPr>
              <w:t>7.1.3.3 Keep fill, harvesting debris and drainage structures out of buffers except where constructing a sanctioned stream crossing.</w:t>
            </w:r>
          </w:p>
        </w:tc>
      </w:tr>
      <w:tr w:rsidR="00D27DDC" w14:paraId="2B2A46BB" w14:textId="77777777" w:rsidTr="00D27DDC">
        <w:tc>
          <w:tcPr>
            <w:tcW w:w="391" w:type="pct"/>
          </w:tcPr>
          <w:p w14:paraId="0656625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31.01</w:t>
            </w:r>
          </w:p>
        </w:tc>
        <w:tc>
          <w:tcPr>
            <w:tcW w:w="3488" w:type="pct"/>
          </w:tcPr>
          <w:p w14:paraId="3B063B2E" w14:textId="77777777" w:rsidR="00D27DDC" w:rsidRPr="00730D0F" w:rsidRDefault="00D27DDC" w:rsidP="00D27DDC">
            <w:pPr>
              <w:pStyle w:val="Tablesmalltext"/>
              <w:rPr>
                <w:color w:val="000000"/>
                <w:lang w:val="en-AU" w:eastAsia="en-AU"/>
              </w:rPr>
            </w:pPr>
            <w:r w:rsidRPr="00730D0F">
              <w:rPr>
                <w:color w:val="000000"/>
                <w:lang w:val="en-AU" w:eastAsia="en-AU"/>
              </w:rPr>
              <w:t>Is there evidence from the FCP or observations on the coupe of timber harvesting activities having been conducted and/or machinery access provided in exclusion areas identified on the FCP, except where permitted?</w:t>
            </w:r>
          </w:p>
        </w:tc>
        <w:tc>
          <w:tcPr>
            <w:tcW w:w="599" w:type="pct"/>
          </w:tcPr>
          <w:p w14:paraId="79191C50" w14:textId="77777777" w:rsidR="00D27DDC" w:rsidRDefault="00D27DDC" w:rsidP="00D27DDC">
            <w:pPr>
              <w:pStyle w:val="Tablesmalltext"/>
              <w:jc w:val="center"/>
            </w:pPr>
            <w:r>
              <w:t>87%</w:t>
            </w:r>
          </w:p>
        </w:tc>
        <w:tc>
          <w:tcPr>
            <w:tcW w:w="522" w:type="pct"/>
          </w:tcPr>
          <w:p w14:paraId="536029A3" w14:textId="77777777" w:rsidR="00D27DDC" w:rsidRDefault="00D27DDC" w:rsidP="00D27DDC">
            <w:pPr>
              <w:pStyle w:val="Tablesmalltext"/>
              <w:jc w:val="center"/>
            </w:pPr>
            <w:r>
              <w:t>W,B,P</w:t>
            </w:r>
          </w:p>
        </w:tc>
      </w:tr>
      <w:tr w:rsidR="00D27DDC" w14:paraId="797A10A8" w14:textId="77777777" w:rsidTr="00D27DDC">
        <w:tc>
          <w:tcPr>
            <w:tcW w:w="391" w:type="pct"/>
          </w:tcPr>
          <w:p w14:paraId="0FE838B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31.02</w:t>
            </w:r>
          </w:p>
        </w:tc>
        <w:tc>
          <w:tcPr>
            <w:tcW w:w="3488" w:type="pct"/>
          </w:tcPr>
          <w:p w14:paraId="5AD4BAF1" w14:textId="77777777" w:rsidR="00D27DDC" w:rsidRPr="00730D0F" w:rsidRDefault="00D27DDC" w:rsidP="00D27DDC">
            <w:pPr>
              <w:pStyle w:val="Tablesmalltext"/>
              <w:rPr>
                <w:color w:val="000000"/>
                <w:lang w:val="en-AU" w:eastAsia="en-AU"/>
              </w:rPr>
            </w:pPr>
            <w:r w:rsidRPr="00730D0F">
              <w:rPr>
                <w:color w:val="000000"/>
                <w:lang w:val="en-AU" w:eastAsia="en-AU"/>
              </w:rPr>
              <w:t>Have rough heaping or windrowing activities during regeneration resulted in damage to exclusion areas?</w:t>
            </w:r>
          </w:p>
        </w:tc>
        <w:tc>
          <w:tcPr>
            <w:tcW w:w="599" w:type="pct"/>
          </w:tcPr>
          <w:p w14:paraId="2E14900F" w14:textId="77777777" w:rsidR="00D27DDC" w:rsidRDefault="00D27DDC" w:rsidP="00D27DDC">
            <w:pPr>
              <w:pStyle w:val="Tablesmalltext"/>
              <w:jc w:val="center"/>
            </w:pPr>
            <w:r w:rsidRPr="00C753A8">
              <w:t>100%</w:t>
            </w:r>
          </w:p>
        </w:tc>
        <w:tc>
          <w:tcPr>
            <w:tcW w:w="522" w:type="pct"/>
          </w:tcPr>
          <w:p w14:paraId="65E7677D" w14:textId="77777777" w:rsidR="00D27DDC" w:rsidRDefault="00D27DDC" w:rsidP="00D27DDC">
            <w:pPr>
              <w:pStyle w:val="Tablesmalltext"/>
              <w:jc w:val="center"/>
            </w:pPr>
            <w:r>
              <w:t>W</w:t>
            </w:r>
          </w:p>
        </w:tc>
      </w:tr>
      <w:tr w:rsidR="00D27DDC" w14:paraId="49C4BCF8" w14:textId="77777777" w:rsidTr="00D27DDC">
        <w:tc>
          <w:tcPr>
            <w:tcW w:w="391" w:type="pct"/>
          </w:tcPr>
          <w:p w14:paraId="5ADDEC9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31.03</w:t>
            </w:r>
          </w:p>
        </w:tc>
        <w:tc>
          <w:tcPr>
            <w:tcW w:w="3488" w:type="pct"/>
          </w:tcPr>
          <w:p w14:paraId="0ECA9542" w14:textId="77777777" w:rsidR="00D27DDC" w:rsidRPr="00730D0F" w:rsidRDefault="00D27DDC" w:rsidP="00D27DDC">
            <w:pPr>
              <w:pStyle w:val="Tablesmalltext"/>
              <w:rPr>
                <w:color w:val="000000"/>
                <w:lang w:val="en-AU" w:eastAsia="en-AU"/>
              </w:rPr>
            </w:pPr>
            <w:r w:rsidRPr="00730D0F">
              <w:rPr>
                <w:color w:val="000000"/>
                <w:lang w:val="en-AU" w:eastAsia="en-AU"/>
              </w:rPr>
              <w:t>Has fill, harvesting debris or drainage structures been kept out of buffers, except for construction of a sanctioned stream crossing?</w:t>
            </w:r>
          </w:p>
        </w:tc>
        <w:tc>
          <w:tcPr>
            <w:tcW w:w="599" w:type="pct"/>
          </w:tcPr>
          <w:p w14:paraId="0CCCB921" w14:textId="77777777" w:rsidR="00D27DDC" w:rsidRDefault="00D27DDC" w:rsidP="00D27DDC">
            <w:pPr>
              <w:pStyle w:val="Tablesmalltext"/>
              <w:jc w:val="center"/>
            </w:pPr>
            <w:r w:rsidRPr="00C753A8">
              <w:t>100%</w:t>
            </w:r>
          </w:p>
        </w:tc>
        <w:tc>
          <w:tcPr>
            <w:tcW w:w="522" w:type="pct"/>
          </w:tcPr>
          <w:p w14:paraId="24E6EAA7" w14:textId="77777777" w:rsidR="00D27DDC" w:rsidRDefault="00D27DDC" w:rsidP="00D27DDC">
            <w:pPr>
              <w:pStyle w:val="Tablesmalltext"/>
              <w:jc w:val="center"/>
            </w:pPr>
            <w:r>
              <w:t>W,I</w:t>
            </w:r>
          </w:p>
        </w:tc>
      </w:tr>
      <w:tr w:rsidR="00D27DDC" w:rsidRPr="00831739" w14:paraId="6CC8428D" w14:textId="77777777" w:rsidTr="00D27DDC">
        <w:tc>
          <w:tcPr>
            <w:tcW w:w="391" w:type="pct"/>
            <w:shd w:val="clear" w:color="auto" w:fill="FFEBD0" w:themeFill="accent4" w:themeFillTint="33"/>
          </w:tcPr>
          <w:p w14:paraId="1B9247B1" w14:textId="77777777" w:rsidR="00D27DDC" w:rsidRPr="00831739" w:rsidRDefault="00D27DDC" w:rsidP="00D27DDC">
            <w:pPr>
              <w:pStyle w:val="Tablesmalltext"/>
              <w:jc w:val="center"/>
              <w:rPr>
                <w:rFonts w:ascii="Calibri" w:hAnsi="Calibri" w:cs="Times New Roman"/>
                <w:b/>
                <w:color w:val="000000"/>
                <w:sz w:val="18"/>
                <w:szCs w:val="18"/>
                <w:lang w:val="en-AU" w:eastAsia="en-AU"/>
              </w:rPr>
            </w:pPr>
            <w:r w:rsidRPr="00831739">
              <w:rPr>
                <w:rFonts w:ascii="Calibri" w:hAnsi="Calibri" w:cs="Times New Roman"/>
                <w:b/>
                <w:color w:val="000000"/>
                <w:sz w:val="18"/>
                <w:szCs w:val="18"/>
                <w:lang w:val="en-AU" w:eastAsia="en-AU"/>
              </w:rPr>
              <w:t>C</w:t>
            </w:r>
          </w:p>
        </w:tc>
        <w:tc>
          <w:tcPr>
            <w:tcW w:w="4609" w:type="pct"/>
            <w:gridSpan w:val="3"/>
            <w:shd w:val="clear" w:color="auto" w:fill="FFEBD0" w:themeFill="accent4" w:themeFillTint="33"/>
          </w:tcPr>
          <w:p w14:paraId="55D523B9" w14:textId="77777777" w:rsidR="00D27DDC" w:rsidRPr="00831739" w:rsidRDefault="00D27DDC" w:rsidP="00D27DDC">
            <w:pPr>
              <w:pStyle w:val="Tablesmalltext"/>
              <w:rPr>
                <w:b/>
              </w:rPr>
            </w:pPr>
            <w:r w:rsidRPr="00831739">
              <w:rPr>
                <w:b/>
                <w:color w:val="000000"/>
                <w:lang w:val="en-AU" w:eastAsia="en-AU"/>
              </w:rPr>
              <w:t>2.5.2 Coupe Infrastructure</w:t>
            </w:r>
          </w:p>
        </w:tc>
      </w:tr>
      <w:tr w:rsidR="00D27DDC" w14:paraId="3E0A794D" w14:textId="77777777" w:rsidTr="00D27DDC">
        <w:tc>
          <w:tcPr>
            <w:tcW w:w="391" w:type="pct"/>
            <w:shd w:val="clear" w:color="auto" w:fill="FFEBD0" w:themeFill="accent4" w:themeFillTint="33"/>
          </w:tcPr>
          <w:p w14:paraId="59AE0CF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05342F62" w14:textId="77777777" w:rsidR="00D27DDC" w:rsidRDefault="00D27DDC" w:rsidP="00D27DDC">
            <w:pPr>
              <w:pStyle w:val="Tablesmalltext"/>
            </w:pPr>
            <w:r w:rsidRPr="00730D0F">
              <w:rPr>
                <w:color w:val="000000"/>
                <w:lang w:val="en-AU" w:eastAsia="en-AU"/>
              </w:rPr>
              <w:t>2.5.2.3 Coupe infrastructure must be rehabilitated on completion of timber harvesting operations, where not required for future timber harvesting operations or an approved purpose for which native vegetation is not compatible. Rehabilitation techniques must ensure that suitable soil conditions are provided for the regeneration and growth of vegetation existing on the site prior to harvesting (refer to section 2.6). Progressive rehabilitation of coupe infrastructure during timber harvesting operations must be undertaken where operationally possible.</w:t>
            </w:r>
          </w:p>
        </w:tc>
      </w:tr>
      <w:tr w:rsidR="00D27DDC" w14:paraId="08EEA2B7" w14:textId="77777777" w:rsidTr="00523E3C">
        <w:tc>
          <w:tcPr>
            <w:tcW w:w="391" w:type="pct"/>
            <w:shd w:val="clear" w:color="auto" w:fill="FFFFCC"/>
          </w:tcPr>
          <w:p w14:paraId="32DC496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7F7CFE0" w14:textId="77777777" w:rsidR="00D27DDC" w:rsidRDefault="00D27DDC" w:rsidP="00D27DDC">
            <w:pPr>
              <w:pStyle w:val="Tablesmalltext"/>
            </w:pPr>
            <w:r w:rsidRPr="00730D0F">
              <w:rPr>
                <w:i/>
                <w:iCs/>
                <w:color w:val="000000"/>
                <w:lang w:val="en-AU" w:eastAsia="en-AU"/>
              </w:rPr>
              <w:t>MSP 7.2.2 Snig track and landing rehabilitation</w:t>
            </w:r>
          </w:p>
        </w:tc>
      </w:tr>
      <w:tr w:rsidR="00D27DDC" w14:paraId="2FA916D7" w14:textId="77777777" w:rsidTr="00523E3C">
        <w:tc>
          <w:tcPr>
            <w:tcW w:w="391" w:type="pct"/>
            <w:shd w:val="clear" w:color="auto" w:fill="FFFFCC"/>
          </w:tcPr>
          <w:p w14:paraId="45E4EDE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7A87327E" w14:textId="77777777" w:rsidR="00D27DDC" w:rsidRDefault="00D27DDC" w:rsidP="00D27DDC">
            <w:pPr>
              <w:pStyle w:val="Tablesmalltext"/>
            </w:pPr>
            <w:r w:rsidRPr="00730D0F">
              <w:rPr>
                <w:color w:val="000000"/>
                <w:lang w:val="en-AU" w:eastAsia="en-AU"/>
              </w:rPr>
              <w:t>7.2.2.1 Following closure of the timber harvesting operation rehabilitate all snig tracks to prevent: (a) unacceptable movement of soil down or from the track surface; and (b) soil movement into streams.</w:t>
            </w:r>
          </w:p>
        </w:tc>
      </w:tr>
      <w:tr w:rsidR="00D27DDC" w14:paraId="786140C3" w14:textId="77777777" w:rsidTr="00D27DDC">
        <w:tc>
          <w:tcPr>
            <w:tcW w:w="391" w:type="pct"/>
          </w:tcPr>
          <w:p w14:paraId="04DE14B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32.01</w:t>
            </w:r>
          </w:p>
        </w:tc>
        <w:tc>
          <w:tcPr>
            <w:tcW w:w="3488" w:type="pct"/>
          </w:tcPr>
          <w:p w14:paraId="56CE804F" w14:textId="77777777" w:rsidR="00D27DDC" w:rsidRPr="00730D0F" w:rsidRDefault="00D27DDC" w:rsidP="00D27DDC">
            <w:pPr>
              <w:pStyle w:val="Tablesmalltext"/>
              <w:rPr>
                <w:color w:val="000000"/>
                <w:lang w:val="en-AU" w:eastAsia="en-AU"/>
              </w:rPr>
            </w:pPr>
            <w:r w:rsidRPr="00730D0F">
              <w:rPr>
                <w:color w:val="000000"/>
                <w:lang w:val="en-AU" w:eastAsia="en-AU"/>
              </w:rPr>
              <w:t>Have snig tracks been progressively rehabilitated during timber harvesting operations?</w:t>
            </w:r>
          </w:p>
        </w:tc>
        <w:tc>
          <w:tcPr>
            <w:tcW w:w="599" w:type="pct"/>
          </w:tcPr>
          <w:p w14:paraId="4B1D34E2" w14:textId="77777777" w:rsidR="00D27DDC" w:rsidRDefault="00D27DDC" w:rsidP="00D27DDC">
            <w:pPr>
              <w:pStyle w:val="Tablesmalltext"/>
              <w:jc w:val="center"/>
            </w:pPr>
            <w:r>
              <w:t>100% H</w:t>
            </w:r>
          </w:p>
          <w:p w14:paraId="3A82A84E" w14:textId="77777777" w:rsidR="00D27DDC" w:rsidRDefault="00D27DDC" w:rsidP="00D27DDC">
            <w:pPr>
              <w:pStyle w:val="Tablesmalltext"/>
              <w:jc w:val="center"/>
            </w:pPr>
            <w:r>
              <w:t>90% R</w:t>
            </w:r>
          </w:p>
        </w:tc>
        <w:tc>
          <w:tcPr>
            <w:tcW w:w="522" w:type="pct"/>
          </w:tcPr>
          <w:p w14:paraId="417F88E2" w14:textId="77777777" w:rsidR="00D27DDC" w:rsidRDefault="00D27DDC" w:rsidP="00D27DDC">
            <w:pPr>
              <w:pStyle w:val="Tablesmalltext"/>
              <w:jc w:val="center"/>
            </w:pPr>
            <w:r>
              <w:t>I</w:t>
            </w:r>
          </w:p>
          <w:p w14:paraId="54B32A0E" w14:textId="77777777" w:rsidR="00D27DDC" w:rsidRDefault="00D27DDC" w:rsidP="00D27DDC">
            <w:pPr>
              <w:pStyle w:val="Tablesmalltext"/>
              <w:jc w:val="center"/>
            </w:pPr>
            <w:r>
              <w:t>R</w:t>
            </w:r>
          </w:p>
        </w:tc>
      </w:tr>
      <w:tr w:rsidR="00D27DDC" w14:paraId="786B61B2" w14:textId="77777777" w:rsidTr="00D27DDC">
        <w:tc>
          <w:tcPr>
            <w:tcW w:w="391" w:type="pct"/>
          </w:tcPr>
          <w:p w14:paraId="45FE655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32.02</w:t>
            </w:r>
          </w:p>
        </w:tc>
        <w:tc>
          <w:tcPr>
            <w:tcW w:w="3488" w:type="pct"/>
          </w:tcPr>
          <w:p w14:paraId="4B826EAE" w14:textId="77777777" w:rsidR="00D27DDC" w:rsidRPr="00730D0F" w:rsidRDefault="00D27DDC" w:rsidP="00D27DDC">
            <w:pPr>
              <w:pStyle w:val="Tablesmalltext"/>
              <w:rPr>
                <w:color w:val="000000"/>
                <w:lang w:val="en-AU" w:eastAsia="en-AU"/>
              </w:rPr>
            </w:pPr>
            <w:r w:rsidRPr="00730D0F">
              <w:rPr>
                <w:color w:val="000000"/>
                <w:lang w:val="en-AU" w:eastAsia="en-AU"/>
              </w:rPr>
              <w:t>Have all snig tracks been rehabilitated in a way that has prevented unacceptable soil movement along tracks?</w:t>
            </w:r>
          </w:p>
        </w:tc>
        <w:tc>
          <w:tcPr>
            <w:tcW w:w="599" w:type="pct"/>
          </w:tcPr>
          <w:p w14:paraId="65DCEC44" w14:textId="77777777" w:rsidR="00D27DDC" w:rsidRDefault="00D27DDC" w:rsidP="00D27DDC">
            <w:pPr>
              <w:pStyle w:val="Tablesmalltext"/>
              <w:jc w:val="center"/>
            </w:pPr>
            <w:r>
              <w:t>83% H</w:t>
            </w:r>
          </w:p>
          <w:p w14:paraId="6760CB7C" w14:textId="77777777" w:rsidR="00D27DDC" w:rsidRDefault="00D27DDC" w:rsidP="00D27DDC">
            <w:pPr>
              <w:pStyle w:val="Tablesmalltext"/>
              <w:jc w:val="center"/>
            </w:pPr>
            <w:r>
              <w:t>100% R</w:t>
            </w:r>
          </w:p>
        </w:tc>
        <w:tc>
          <w:tcPr>
            <w:tcW w:w="522" w:type="pct"/>
          </w:tcPr>
          <w:p w14:paraId="076B4BA3" w14:textId="77777777" w:rsidR="00D27DDC" w:rsidRDefault="00D27DDC" w:rsidP="00D27DDC">
            <w:pPr>
              <w:pStyle w:val="Tablesmalltext"/>
              <w:jc w:val="center"/>
            </w:pPr>
            <w:r>
              <w:t>S,I</w:t>
            </w:r>
          </w:p>
          <w:p w14:paraId="3A415BCC" w14:textId="77777777" w:rsidR="00D27DDC" w:rsidRDefault="00D27DDC" w:rsidP="00D27DDC">
            <w:pPr>
              <w:pStyle w:val="Tablesmalltext"/>
              <w:jc w:val="center"/>
            </w:pPr>
            <w:r>
              <w:t>R</w:t>
            </w:r>
          </w:p>
        </w:tc>
      </w:tr>
      <w:tr w:rsidR="00D27DDC" w14:paraId="42F5F72A" w14:textId="77777777" w:rsidTr="00D27DDC">
        <w:tc>
          <w:tcPr>
            <w:tcW w:w="391" w:type="pct"/>
          </w:tcPr>
          <w:p w14:paraId="4A8FD98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32.03</w:t>
            </w:r>
          </w:p>
        </w:tc>
        <w:tc>
          <w:tcPr>
            <w:tcW w:w="3488" w:type="pct"/>
          </w:tcPr>
          <w:p w14:paraId="0B991797" w14:textId="77777777" w:rsidR="00D27DDC" w:rsidRPr="00730D0F" w:rsidRDefault="00D27DDC" w:rsidP="00D27DDC">
            <w:pPr>
              <w:pStyle w:val="Tablesmalltext"/>
              <w:rPr>
                <w:color w:val="000000"/>
                <w:lang w:val="en-AU" w:eastAsia="en-AU"/>
              </w:rPr>
            </w:pPr>
            <w:r w:rsidRPr="00730D0F">
              <w:rPr>
                <w:color w:val="000000"/>
                <w:lang w:val="en-AU" w:eastAsia="en-AU"/>
              </w:rPr>
              <w:t>Have all snig tracks been rehabilitated in a way that prevents soil movement into streams?</w:t>
            </w:r>
          </w:p>
        </w:tc>
        <w:tc>
          <w:tcPr>
            <w:tcW w:w="599" w:type="pct"/>
          </w:tcPr>
          <w:p w14:paraId="0B2AC5E3" w14:textId="77777777" w:rsidR="00D27DDC" w:rsidRDefault="00D27DDC" w:rsidP="00D27DDC">
            <w:pPr>
              <w:pStyle w:val="Tablesmalltext"/>
              <w:jc w:val="center"/>
            </w:pPr>
            <w:r>
              <w:t>97% H</w:t>
            </w:r>
          </w:p>
          <w:p w14:paraId="02F65AA1" w14:textId="77777777" w:rsidR="00D27DDC" w:rsidRDefault="00D27DDC" w:rsidP="00D27DDC">
            <w:pPr>
              <w:pStyle w:val="Tablesmalltext"/>
              <w:jc w:val="center"/>
            </w:pPr>
            <w:r>
              <w:t>100% R</w:t>
            </w:r>
          </w:p>
        </w:tc>
        <w:tc>
          <w:tcPr>
            <w:tcW w:w="522" w:type="pct"/>
          </w:tcPr>
          <w:p w14:paraId="3FFF78B4" w14:textId="77777777" w:rsidR="00D27DDC" w:rsidRDefault="00D27DDC" w:rsidP="00D27DDC">
            <w:pPr>
              <w:pStyle w:val="Tablesmalltext"/>
              <w:jc w:val="center"/>
            </w:pPr>
            <w:r>
              <w:t>W,I</w:t>
            </w:r>
          </w:p>
          <w:p w14:paraId="46C65D4C" w14:textId="77777777" w:rsidR="00D27DDC" w:rsidRDefault="00D27DDC" w:rsidP="00D27DDC">
            <w:pPr>
              <w:pStyle w:val="Tablesmalltext"/>
              <w:jc w:val="center"/>
            </w:pPr>
            <w:r>
              <w:t>R</w:t>
            </w:r>
          </w:p>
        </w:tc>
      </w:tr>
      <w:tr w:rsidR="00D27DDC" w14:paraId="6DFE4A8E" w14:textId="77777777" w:rsidTr="00523E3C">
        <w:tc>
          <w:tcPr>
            <w:tcW w:w="391" w:type="pct"/>
            <w:shd w:val="clear" w:color="auto" w:fill="FFFFCC"/>
          </w:tcPr>
          <w:p w14:paraId="7117D5D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M</w:t>
            </w:r>
          </w:p>
        </w:tc>
        <w:tc>
          <w:tcPr>
            <w:tcW w:w="4609" w:type="pct"/>
            <w:gridSpan w:val="3"/>
            <w:shd w:val="clear" w:color="auto" w:fill="FFFFCC"/>
          </w:tcPr>
          <w:p w14:paraId="3A732279" w14:textId="77777777" w:rsidR="00D27DDC" w:rsidRDefault="00D27DDC" w:rsidP="00D27DDC">
            <w:pPr>
              <w:pStyle w:val="Tablesmalltext"/>
            </w:pPr>
            <w:r w:rsidRPr="00730D0F">
              <w:rPr>
                <w:color w:val="000000"/>
                <w:lang w:val="en-AU" w:eastAsia="en-AU"/>
              </w:rPr>
              <w:t>7.2.2.2 Rehabilitate landings following completion of timber harvesting operations, and before the coupe is vacated, unless they are required for: (a) future Shelterwood 2 operations; (b) harvesting of adjacent coupes within 3 years; or (c) any other DEPI approved purpose for which native vegetation is not compatible.</w:t>
            </w:r>
          </w:p>
        </w:tc>
      </w:tr>
      <w:tr w:rsidR="00D27DDC" w14:paraId="07994A2C" w14:textId="77777777" w:rsidTr="00523E3C">
        <w:tc>
          <w:tcPr>
            <w:tcW w:w="391" w:type="pct"/>
            <w:shd w:val="clear" w:color="auto" w:fill="FFFFCC"/>
          </w:tcPr>
          <w:p w14:paraId="4F7F182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9CF7A72" w14:textId="77777777" w:rsidR="00D27DDC" w:rsidRDefault="00D27DDC" w:rsidP="00D27DDC">
            <w:pPr>
              <w:pStyle w:val="Tablesmalltext"/>
            </w:pPr>
            <w:r w:rsidRPr="00730D0F">
              <w:rPr>
                <w:color w:val="000000"/>
                <w:lang w:val="en-AU" w:eastAsia="en-AU"/>
              </w:rPr>
              <w:t>7.2.2.3 Identify any landings that do not require rehabilitation in the Forest Coupe Plan.</w:t>
            </w:r>
          </w:p>
        </w:tc>
      </w:tr>
      <w:tr w:rsidR="00D27DDC" w14:paraId="3271D889" w14:textId="77777777" w:rsidTr="00D27DDC">
        <w:tc>
          <w:tcPr>
            <w:tcW w:w="391" w:type="pct"/>
          </w:tcPr>
          <w:p w14:paraId="1EBF3CE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32.04</w:t>
            </w:r>
          </w:p>
        </w:tc>
        <w:tc>
          <w:tcPr>
            <w:tcW w:w="3488" w:type="pct"/>
          </w:tcPr>
          <w:p w14:paraId="298FFEE6" w14:textId="77777777" w:rsidR="00D27DDC" w:rsidRPr="00730D0F" w:rsidRDefault="00D27DDC" w:rsidP="00D27DDC">
            <w:pPr>
              <w:pStyle w:val="Tablesmalltext"/>
              <w:rPr>
                <w:color w:val="000000"/>
                <w:lang w:val="en-AU" w:eastAsia="en-AU"/>
              </w:rPr>
            </w:pPr>
            <w:r w:rsidRPr="00730D0F">
              <w:rPr>
                <w:color w:val="000000"/>
                <w:lang w:val="en-AU" w:eastAsia="en-AU"/>
              </w:rPr>
              <w:t>Have landings that are no longer required been rehabilitated successfully?</w:t>
            </w:r>
          </w:p>
        </w:tc>
        <w:tc>
          <w:tcPr>
            <w:tcW w:w="599" w:type="pct"/>
          </w:tcPr>
          <w:p w14:paraId="14329200" w14:textId="77777777" w:rsidR="00D27DDC" w:rsidRDefault="00D27DDC" w:rsidP="00D27DDC">
            <w:pPr>
              <w:pStyle w:val="Tablesmalltext"/>
              <w:jc w:val="center"/>
            </w:pPr>
            <w:r>
              <w:t>70% H</w:t>
            </w:r>
          </w:p>
          <w:p w14:paraId="7317D8AC" w14:textId="77777777" w:rsidR="00D27DDC" w:rsidRDefault="00D27DDC" w:rsidP="00D27DDC">
            <w:pPr>
              <w:pStyle w:val="Tablesmalltext"/>
              <w:jc w:val="center"/>
            </w:pPr>
            <w:r>
              <w:t>80% R</w:t>
            </w:r>
          </w:p>
        </w:tc>
        <w:tc>
          <w:tcPr>
            <w:tcW w:w="522" w:type="pct"/>
          </w:tcPr>
          <w:p w14:paraId="74E0340B" w14:textId="77777777" w:rsidR="00D27DDC" w:rsidRDefault="00D27DDC" w:rsidP="00D27DDC">
            <w:pPr>
              <w:pStyle w:val="Tablesmalltext"/>
              <w:jc w:val="center"/>
            </w:pPr>
            <w:r>
              <w:t>I</w:t>
            </w:r>
          </w:p>
          <w:p w14:paraId="58398A0C" w14:textId="77777777" w:rsidR="00D27DDC" w:rsidRDefault="00D27DDC" w:rsidP="00D27DDC">
            <w:pPr>
              <w:pStyle w:val="Tablesmalltext"/>
              <w:jc w:val="center"/>
            </w:pPr>
            <w:r>
              <w:t>R</w:t>
            </w:r>
          </w:p>
        </w:tc>
      </w:tr>
      <w:tr w:rsidR="00D27DDC" w14:paraId="382D01B8" w14:textId="77777777" w:rsidTr="00D27DDC">
        <w:tc>
          <w:tcPr>
            <w:tcW w:w="391" w:type="pct"/>
          </w:tcPr>
          <w:p w14:paraId="548CC20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32.05</w:t>
            </w:r>
          </w:p>
        </w:tc>
        <w:tc>
          <w:tcPr>
            <w:tcW w:w="3488" w:type="pct"/>
          </w:tcPr>
          <w:p w14:paraId="36FB9015" w14:textId="77777777" w:rsidR="00D27DDC" w:rsidRPr="00730D0F" w:rsidRDefault="00D27DDC" w:rsidP="00D27DDC">
            <w:pPr>
              <w:pStyle w:val="Tablesmalltext"/>
              <w:rPr>
                <w:color w:val="000000"/>
                <w:lang w:val="en-AU" w:eastAsia="en-AU"/>
              </w:rPr>
            </w:pPr>
            <w:r w:rsidRPr="00730D0F">
              <w:rPr>
                <w:color w:val="000000"/>
                <w:lang w:val="en-AU" w:eastAsia="en-AU"/>
              </w:rPr>
              <w:t>If a landing is to be retained, is this indicated on the FCP?</w:t>
            </w:r>
          </w:p>
        </w:tc>
        <w:tc>
          <w:tcPr>
            <w:tcW w:w="599" w:type="pct"/>
          </w:tcPr>
          <w:p w14:paraId="6BD348CC" w14:textId="77777777" w:rsidR="00D27DDC" w:rsidRDefault="00D27DDC" w:rsidP="00D27DDC">
            <w:pPr>
              <w:pStyle w:val="Tablesmalltext"/>
              <w:jc w:val="center"/>
            </w:pPr>
            <w:r>
              <w:t>100% H</w:t>
            </w:r>
          </w:p>
          <w:p w14:paraId="239CABC7" w14:textId="77777777" w:rsidR="00D27DDC" w:rsidRDefault="00D27DDC" w:rsidP="00D27DDC">
            <w:pPr>
              <w:pStyle w:val="Tablesmalltext"/>
              <w:jc w:val="center"/>
            </w:pPr>
            <w:r>
              <w:t>No applicable coupes R</w:t>
            </w:r>
          </w:p>
        </w:tc>
        <w:tc>
          <w:tcPr>
            <w:tcW w:w="522" w:type="pct"/>
          </w:tcPr>
          <w:p w14:paraId="4C76B9E6" w14:textId="77777777" w:rsidR="00D27DDC" w:rsidRDefault="00D27DDC" w:rsidP="00D27DDC">
            <w:pPr>
              <w:pStyle w:val="Tablesmalltext"/>
              <w:jc w:val="center"/>
            </w:pPr>
            <w:r>
              <w:t>I</w:t>
            </w:r>
          </w:p>
          <w:p w14:paraId="01C686C6" w14:textId="77777777" w:rsidR="00D27DDC" w:rsidRDefault="00D27DDC" w:rsidP="00D27DDC">
            <w:pPr>
              <w:pStyle w:val="Tablesmalltext"/>
              <w:jc w:val="center"/>
            </w:pPr>
            <w:r>
              <w:t>R</w:t>
            </w:r>
          </w:p>
        </w:tc>
      </w:tr>
      <w:tr w:rsidR="00D27DDC" w14:paraId="0F31574D" w14:textId="77777777" w:rsidTr="00523E3C">
        <w:tc>
          <w:tcPr>
            <w:tcW w:w="391" w:type="pct"/>
            <w:shd w:val="clear" w:color="auto" w:fill="FFFFCC"/>
          </w:tcPr>
          <w:p w14:paraId="31A7B4A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9C96B98" w14:textId="77777777" w:rsidR="00D27DDC" w:rsidRDefault="00D27DDC" w:rsidP="00D27DDC">
            <w:pPr>
              <w:pStyle w:val="Tablesmalltext"/>
            </w:pPr>
            <w:r w:rsidRPr="00730D0F">
              <w:rPr>
                <w:color w:val="000000"/>
                <w:lang w:val="en-AU" w:eastAsia="en-AU"/>
              </w:rPr>
              <w:t>7.2.2.4 Lift and aerate corded and matted snig tracks to allow burning.</w:t>
            </w:r>
          </w:p>
        </w:tc>
      </w:tr>
      <w:tr w:rsidR="00D27DDC" w14:paraId="5355B0D6" w14:textId="77777777" w:rsidTr="00D27DDC">
        <w:tc>
          <w:tcPr>
            <w:tcW w:w="391" w:type="pct"/>
          </w:tcPr>
          <w:p w14:paraId="72EED77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32.06</w:t>
            </w:r>
          </w:p>
        </w:tc>
        <w:tc>
          <w:tcPr>
            <w:tcW w:w="3488" w:type="pct"/>
          </w:tcPr>
          <w:p w14:paraId="4FCD2721" w14:textId="77777777" w:rsidR="00D27DDC" w:rsidRPr="00730D0F" w:rsidRDefault="00D27DDC" w:rsidP="00D27DDC">
            <w:pPr>
              <w:pStyle w:val="Tablesmalltext"/>
              <w:rPr>
                <w:color w:val="000000"/>
                <w:lang w:val="en-AU" w:eastAsia="en-AU"/>
              </w:rPr>
            </w:pPr>
            <w:r w:rsidRPr="00730D0F">
              <w:rPr>
                <w:color w:val="000000"/>
                <w:lang w:val="en-AU" w:eastAsia="en-AU"/>
              </w:rPr>
              <w:t>If snig tracks are corded and matted have they been lifted and aerated prior to regeneration burning?</w:t>
            </w:r>
          </w:p>
        </w:tc>
        <w:tc>
          <w:tcPr>
            <w:tcW w:w="599" w:type="pct"/>
          </w:tcPr>
          <w:p w14:paraId="0C6305AB" w14:textId="77777777" w:rsidR="00D27DDC" w:rsidRDefault="00D27DDC" w:rsidP="00D27DDC">
            <w:pPr>
              <w:pStyle w:val="Tablesmalltext"/>
              <w:jc w:val="center"/>
            </w:pPr>
            <w:r>
              <w:t>100% H</w:t>
            </w:r>
          </w:p>
          <w:p w14:paraId="4DDD1B15" w14:textId="77777777" w:rsidR="00D27DDC" w:rsidRDefault="00D27DDC" w:rsidP="00D27DDC">
            <w:pPr>
              <w:pStyle w:val="Tablesmalltext"/>
              <w:jc w:val="center"/>
            </w:pPr>
            <w:r>
              <w:t>100% R</w:t>
            </w:r>
          </w:p>
        </w:tc>
        <w:tc>
          <w:tcPr>
            <w:tcW w:w="522" w:type="pct"/>
          </w:tcPr>
          <w:p w14:paraId="3664C3AE" w14:textId="77777777" w:rsidR="00D27DDC" w:rsidRDefault="00D27DDC" w:rsidP="00D27DDC">
            <w:pPr>
              <w:pStyle w:val="Tablesmalltext"/>
              <w:jc w:val="center"/>
            </w:pPr>
            <w:r>
              <w:t>S,I</w:t>
            </w:r>
          </w:p>
          <w:p w14:paraId="52B3B5E3" w14:textId="77777777" w:rsidR="00D27DDC" w:rsidRDefault="00D27DDC" w:rsidP="00D27DDC">
            <w:pPr>
              <w:pStyle w:val="Tablesmalltext"/>
              <w:jc w:val="center"/>
            </w:pPr>
            <w:r>
              <w:t>R</w:t>
            </w:r>
          </w:p>
        </w:tc>
      </w:tr>
      <w:tr w:rsidR="00D27DDC" w14:paraId="54599792" w14:textId="77777777" w:rsidTr="00523E3C">
        <w:tc>
          <w:tcPr>
            <w:tcW w:w="391" w:type="pct"/>
            <w:shd w:val="clear" w:color="auto" w:fill="FFFFCC"/>
          </w:tcPr>
          <w:p w14:paraId="196DE6C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83A0188" w14:textId="77777777" w:rsidR="00D27DDC" w:rsidRDefault="00D27DDC" w:rsidP="00D27DDC">
            <w:pPr>
              <w:pStyle w:val="Tablesmalltext"/>
            </w:pPr>
            <w:r w:rsidRPr="00730D0F">
              <w:rPr>
                <w:color w:val="000000"/>
                <w:lang w:val="en-AU" w:eastAsia="en-AU"/>
              </w:rPr>
              <w:t>7.2.2.5 Remove cording and as much matting, bark and slash as possible from landings before rehabilitation works occur.</w:t>
            </w:r>
          </w:p>
        </w:tc>
      </w:tr>
      <w:tr w:rsidR="00D27DDC" w14:paraId="7E380743" w14:textId="77777777" w:rsidTr="00D27DDC">
        <w:tc>
          <w:tcPr>
            <w:tcW w:w="391" w:type="pct"/>
          </w:tcPr>
          <w:p w14:paraId="0C189BB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32.07</w:t>
            </w:r>
          </w:p>
        </w:tc>
        <w:tc>
          <w:tcPr>
            <w:tcW w:w="3488" w:type="pct"/>
          </w:tcPr>
          <w:p w14:paraId="271AE053" w14:textId="77777777" w:rsidR="00D27DDC" w:rsidRPr="00730D0F" w:rsidRDefault="00D27DDC" w:rsidP="00D27DDC">
            <w:pPr>
              <w:pStyle w:val="Tablesmalltext"/>
              <w:rPr>
                <w:color w:val="000000"/>
                <w:lang w:val="en-AU" w:eastAsia="en-AU"/>
              </w:rPr>
            </w:pPr>
            <w:r w:rsidRPr="00730D0F">
              <w:rPr>
                <w:color w:val="000000"/>
                <w:lang w:val="en-AU" w:eastAsia="en-AU"/>
              </w:rPr>
              <w:t>ITAO have cording, matting, bark and slash been removed from landings as much as reasonably practicable before coupe regeneration works?</w:t>
            </w:r>
          </w:p>
        </w:tc>
        <w:tc>
          <w:tcPr>
            <w:tcW w:w="599" w:type="pct"/>
          </w:tcPr>
          <w:p w14:paraId="4D1C9B01" w14:textId="77777777" w:rsidR="00D27DDC" w:rsidRDefault="00D27DDC" w:rsidP="00D27DDC">
            <w:pPr>
              <w:pStyle w:val="Tablesmalltext"/>
              <w:jc w:val="center"/>
            </w:pPr>
            <w:r>
              <w:t>100% H</w:t>
            </w:r>
          </w:p>
          <w:p w14:paraId="5D7360CF" w14:textId="77777777" w:rsidR="00D27DDC" w:rsidRDefault="00D27DDC" w:rsidP="00D27DDC">
            <w:pPr>
              <w:pStyle w:val="Tablesmalltext"/>
              <w:jc w:val="center"/>
            </w:pPr>
            <w:r>
              <w:t>90% R</w:t>
            </w:r>
          </w:p>
        </w:tc>
        <w:tc>
          <w:tcPr>
            <w:tcW w:w="522" w:type="pct"/>
          </w:tcPr>
          <w:p w14:paraId="2E55D12C" w14:textId="77777777" w:rsidR="00D27DDC" w:rsidRDefault="00D27DDC" w:rsidP="00D27DDC">
            <w:pPr>
              <w:pStyle w:val="Tablesmalltext"/>
              <w:jc w:val="center"/>
            </w:pPr>
            <w:r>
              <w:t>I</w:t>
            </w:r>
          </w:p>
          <w:p w14:paraId="2D465502" w14:textId="77777777" w:rsidR="00D27DDC" w:rsidRDefault="00D27DDC" w:rsidP="00D27DDC">
            <w:pPr>
              <w:pStyle w:val="Tablesmalltext"/>
              <w:jc w:val="center"/>
            </w:pPr>
            <w:r>
              <w:t>R</w:t>
            </w:r>
          </w:p>
        </w:tc>
      </w:tr>
      <w:tr w:rsidR="00D27DDC" w14:paraId="0E86285E" w14:textId="77777777" w:rsidTr="00523E3C">
        <w:tc>
          <w:tcPr>
            <w:tcW w:w="391" w:type="pct"/>
            <w:shd w:val="clear" w:color="auto" w:fill="FFFFCC"/>
          </w:tcPr>
          <w:p w14:paraId="467B97D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0E7DE350" w14:textId="77777777" w:rsidR="00D27DDC" w:rsidRDefault="00D27DDC" w:rsidP="00D27DDC">
            <w:pPr>
              <w:pStyle w:val="Tablesmalltext"/>
            </w:pPr>
            <w:r w:rsidRPr="00730D0F">
              <w:rPr>
                <w:color w:val="000000"/>
                <w:lang w:val="en-AU" w:eastAsia="en-AU"/>
              </w:rPr>
              <w:t>7.2.2.6 Rip/cultivate any snig track, landing or other area where machinery has compacted the soil.  Ripping of snig tracks should be extended for at least 30 m from the landing.</w:t>
            </w:r>
          </w:p>
        </w:tc>
      </w:tr>
      <w:tr w:rsidR="00D27DDC" w14:paraId="09D16FE2" w14:textId="77777777" w:rsidTr="00D27DDC">
        <w:tc>
          <w:tcPr>
            <w:tcW w:w="391" w:type="pct"/>
          </w:tcPr>
          <w:p w14:paraId="4BC7496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32.08</w:t>
            </w:r>
          </w:p>
        </w:tc>
        <w:tc>
          <w:tcPr>
            <w:tcW w:w="3488" w:type="pct"/>
          </w:tcPr>
          <w:p w14:paraId="37570706" w14:textId="77777777" w:rsidR="00D27DDC" w:rsidRPr="00730D0F" w:rsidRDefault="00D27DDC" w:rsidP="00D27DDC">
            <w:pPr>
              <w:pStyle w:val="Tablesmalltext"/>
              <w:rPr>
                <w:color w:val="000000"/>
                <w:lang w:val="en-AU" w:eastAsia="en-AU"/>
              </w:rPr>
            </w:pPr>
            <w:r w:rsidRPr="00730D0F">
              <w:rPr>
                <w:color w:val="000000"/>
                <w:lang w:val="en-AU" w:eastAsia="en-AU"/>
              </w:rPr>
              <w:t>Has coupe infrastructure that has been compacted by machinery been ripped or cultivated to assist rehabilitation?</w:t>
            </w:r>
          </w:p>
        </w:tc>
        <w:tc>
          <w:tcPr>
            <w:tcW w:w="599" w:type="pct"/>
          </w:tcPr>
          <w:p w14:paraId="20B54387" w14:textId="77777777" w:rsidR="00D27DDC" w:rsidRDefault="00D27DDC" w:rsidP="00D27DDC">
            <w:pPr>
              <w:pStyle w:val="Tablesmalltext"/>
              <w:jc w:val="center"/>
            </w:pPr>
            <w:r>
              <w:t>92% H</w:t>
            </w:r>
          </w:p>
          <w:p w14:paraId="64EC5D6B" w14:textId="77777777" w:rsidR="00D27DDC" w:rsidRDefault="00D27DDC" w:rsidP="00D27DDC">
            <w:pPr>
              <w:pStyle w:val="Tablesmalltext"/>
              <w:jc w:val="center"/>
            </w:pPr>
            <w:r>
              <w:t>100% R</w:t>
            </w:r>
          </w:p>
        </w:tc>
        <w:tc>
          <w:tcPr>
            <w:tcW w:w="522" w:type="pct"/>
          </w:tcPr>
          <w:p w14:paraId="5AC8C7BB" w14:textId="77777777" w:rsidR="00D27DDC" w:rsidRDefault="00D27DDC" w:rsidP="00D27DDC">
            <w:pPr>
              <w:pStyle w:val="Tablesmalltext"/>
              <w:jc w:val="center"/>
            </w:pPr>
            <w:r>
              <w:t>W,I</w:t>
            </w:r>
          </w:p>
          <w:p w14:paraId="63A3466B" w14:textId="77777777" w:rsidR="00D27DDC" w:rsidRDefault="00D27DDC" w:rsidP="00D27DDC">
            <w:pPr>
              <w:pStyle w:val="Tablesmalltext"/>
              <w:jc w:val="center"/>
            </w:pPr>
            <w:r>
              <w:t>R</w:t>
            </w:r>
          </w:p>
        </w:tc>
      </w:tr>
      <w:tr w:rsidR="00D27DDC" w14:paraId="28C3603D" w14:textId="77777777" w:rsidTr="00D27DDC">
        <w:tc>
          <w:tcPr>
            <w:tcW w:w="391" w:type="pct"/>
          </w:tcPr>
          <w:p w14:paraId="42BDF1F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32.09</w:t>
            </w:r>
          </w:p>
        </w:tc>
        <w:tc>
          <w:tcPr>
            <w:tcW w:w="3488" w:type="pct"/>
          </w:tcPr>
          <w:p w14:paraId="0BF95C4B" w14:textId="77777777" w:rsidR="00D27DDC" w:rsidRPr="00730D0F" w:rsidRDefault="00D27DDC" w:rsidP="00D27DDC">
            <w:pPr>
              <w:pStyle w:val="Tablesmalltext"/>
              <w:rPr>
                <w:color w:val="000000"/>
                <w:lang w:val="en-AU" w:eastAsia="en-AU"/>
              </w:rPr>
            </w:pPr>
            <w:r w:rsidRPr="00730D0F">
              <w:rPr>
                <w:color w:val="000000"/>
                <w:lang w:val="en-AU" w:eastAsia="en-AU"/>
              </w:rPr>
              <w:t>Have snig tracks within 30 m of the landing been ripped?</w:t>
            </w:r>
          </w:p>
        </w:tc>
        <w:tc>
          <w:tcPr>
            <w:tcW w:w="599" w:type="pct"/>
          </w:tcPr>
          <w:p w14:paraId="78565381" w14:textId="77777777" w:rsidR="00D27DDC" w:rsidRDefault="00D27DDC" w:rsidP="00D27DDC">
            <w:pPr>
              <w:pStyle w:val="Tablesmalltext"/>
              <w:jc w:val="center"/>
            </w:pPr>
            <w:r>
              <w:t>38% H</w:t>
            </w:r>
          </w:p>
          <w:p w14:paraId="22CE66CA" w14:textId="77777777" w:rsidR="00D27DDC" w:rsidRDefault="00D27DDC" w:rsidP="00D27DDC">
            <w:pPr>
              <w:pStyle w:val="Tablesmalltext"/>
              <w:jc w:val="center"/>
            </w:pPr>
            <w:r>
              <w:t>90% R</w:t>
            </w:r>
          </w:p>
        </w:tc>
        <w:tc>
          <w:tcPr>
            <w:tcW w:w="522" w:type="pct"/>
          </w:tcPr>
          <w:p w14:paraId="634A0EA6" w14:textId="77777777" w:rsidR="00D27DDC" w:rsidRDefault="00D27DDC" w:rsidP="00D27DDC">
            <w:pPr>
              <w:pStyle w:val="Tablesmalltext"/>
              <w:jc w:val="center"/>
            </w:pPr>
            <w:r>
              <w:t>W,I</w:t>
            </w:r>
          </w:p>
          <w:p w14:paraId="2B20EA25" w14:textId="77777777" w:rsidR="00D27DDC" w:rsidRDefault="00D27DDC" w:rsidP="00D27DDC">
            <w:pPr>
              <w:pStyle w:val="Tablesmalltext"/>
              <w:jc w:val="center"/>
            </w:pPr>
            <w:r>
              <w:t>R</w:t>
            </w:r>
          </w:p>
        </w:tc>
      </w:tr>
      <w:tr w:rsidR="00D27DDC" w14:paraId="15010CF3" w14:textId="77777777" w:rsidTr="00523E3C">
        <w:tc>
          <w:tcPr>
            <w:tcW w:w="391" w:type="pct"/>
            <w:shd w:val="clear" w:color="auto" w:fill="FFFFCC"/>
          </w:tcPr>
          <w:p w14:paraId="6A4FD2FC"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35DEAB0" w14:textId="77777777" w:rsidR="00D27DDC" w:rsidRDefault="00D27DDC" w:rsidP="00D27DDC">
            <w:pPr>
              <w:pStyle w:val="Tablesmalltext"/>
            </w:pPr>
            <w:r w:rsidRPr="00730D0F">
              <w:rPr>
                <w:color w:val="000000"/>
                <w:lang w:val="en-AU" w:eastAsia="en-AU"/>
              </w:rPr>
              <w:t>7.2.2.7 Where removed and stockpiled, replace topsoil to a consistent depth across the landing</w:t>
            </w:r>
          </w:p>
        </w:tc>
      </w:tr>
      <w:tr w:rsidR="00D27DDC" w14:paraId="7903A0FD" w14:textId="77777777" w:rsidTr="00D27DDC">
        <w:tc>
          <w:tcPr>
            <w:tcW w:w="391" w:type="pct"/>
          </w:tcPr>
          <w:p w14:paraId="645A83C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32.10</w:t>
            </w:r>
          </w:p>
        </w:tc>
        <w:tc>
          <w:tcPr>
            <w:tcW w:w="3488" w:type="pct"/>
          </w:tcPr>
          <w:p w14:paraId="7F7EE174" w14:textId="77777777" w:rsidR="00D27DDC" w:rsidRPr="00730D0F" w:rsidRDefault="00D27DDC" w:rsidP="00D27DDC">
            <w:pPr>
              <w:pStyle w:val="Tablesmalltext"/>
              <w:rPr>
                <w:color w:val="000000"/>
                <w:lang w:val="en-AU" w:eastAsia="en-AU"/>
              </w:rPr>
            </w:pPr>
            <w:r w:rsidRPr="00730D0F">
              <w:rPr>
                <w:color w:val="000000"/>
                <w:lang w:val="en-AU" w:eastAsia="en-AU"/>
              </w:rPr>
              <w:t>For landings whose topsoil has been removed and stockpiled, has topsoil been replaced to a consistent depth across the landing?</w:t>
            </w:r>
          </w:p>
        </w:tc>
        <w:tc>
          <w:tcPr>
            <w:tcW w:w="599" w:type="pct"/>
          </w:tcPr>
          <w:p w14:paraId="419C0FC2" w14:textId="77777777" w:rsidR="00D27DDC" w:rsidRDefault="00D27DDC" w:rsidP="00D27DDC">
            <w:pPr>
              <w:pStyle w:val="Tablesmalltext"/>
              <w:jc w:val="center"/>
            </w:pPr>
            <w:r>
              <w:t>95% H</w:t>
            </w:r>
          </w:p>
          <w:p w14:paraId="1B155F9E" w14:textId="77777777" w:rsidR="00D27DDC" w:rsidRDefault="00D27DDC" w:rsidP="00D27DDC">
            <w:pPr>
              <w:pStyle w:val="Tablesmalltext"/>
              <w:jc w:val="center"/>
            </w:pPr>
            <w:r>
              <w:t>100% R</w:t>
            </w:r>
          </w:p>
        </w:tc>
        <w:tc>
          <w:tcPr>
            <w:tcW w:w="522" w:type="pct"/>
          </w:tcPr>
          <w:p w14:paraId="1E01F795" w14:textId="77777777" w:rsidR="00D27DDC" w:rsidRDefault="00D27DDC" w:rsidP="00D27DDC">
            <w:pPr>
              <w:pStyle w:val="Tablesmalltext"/>
              <w:jc w:val="center"/>
            </w:pPr>
            <w:r>
              <w:t>W,I</w:t>
            </w:r>
          </w:p>
          <w:p w14:paraId="4C83D809" w14:textId="77777777" w:rsidR="00D27DDC" w:rsidRDefault="00D27DDC" w:rsidP="00D27DDC">
            <w:pPr>
              <w:pStyle w:val="Tablesmalltext"/>
              <w:jc w:val="center"/>
            </w:pPr>
            <w:r>
              <w:t>R</w:t>
            </w:r>
          </w:p>
        </w:tc>
      </w:tr>
      <w:tr w:rsidR="00D27DDC" w14:paraId="2BC607A5" w14:textId="77777777" w:rsidTr="00523E3C">
        <w:tc>
          <w:tcPr>
            <w:tcW w:w="391" w:type="pct"/>
            <w:shd w:val="clear" w:color="auto" w:fill="FFFFCC"/>
          </w:tcPr>
          <w:p w14:paraId="1B44144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DCBBAB2" w14:textId="77777777" w:rsidR="00D27DDC" w:rsidRDefault="00D27DDC" w:rsidP="00D27DDC">
            <w:pPr>
              <w:pStyle w:val="Tablesmalltext"/>
            </w:pPr>
            <w:r w:rsidRPr="00730D0F">
              <w:rPr>
                <w:i/>
                <w:iCs/>
                <w:color w:val="000000"/>
                <w:lang w:val="en-AU" w:eastAsia="en-AU"/>
              </w:rPr>
              <w:t>MSP 7.2.3 Boundary Trails</w:t>
            </w:r>
          </w:p>
        </w:tc>
      </w:tr>
      <w:tr w:rsidR="00D27DDC" w14:paraId="4C71007F" w14:textId="77777777" w:rsidTr="00523E3C">
        <w:tc>
          <w:tcPr>
            <w:tcW w:w="391" w:type="pct"/>
            <w:shd w:val="clear" w:color="auto" w:fill="FFFFCC"/>
          </w:tcPr>
          <w:p w14:paraId="67201BA2"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55D0F5C2" w14:textId="77777777" w:rsidR="00D27DDC" w:rsidRDefault="00D27DDC" w:rsidP="00D27DDC">
            <w:pPr>
              <w:pStyle w:val="Tablesmalltext"/>
            </w:pPr>
            <w:r w:rsidRPr="00730D0F">
              <w:rPr>
                <w:color w:val="000000"/>
                <w:lang w:val="en-AU" w:eastAsia="en-AU"/>
              </w:rPr>
              <w:t>7.2.3.4 Rehabilitate boundary trails as soon as practical after any regeneration burns and before commencement of any relevant closure periods.</w:t>
            </w:r>
          </w:p>
        </w:tc>
      </w:tr>
      <w:tr w:rsidR="00D27DDC" w14:paraId="299C905E" w14:textId="77777777" w:rsidTr="00D27DDC">
        <w:tc>
          <w:tcPr>
            <w:tcW w:w="391" w:type="pct"/>
          </w:tcPr>
          <w:p w14:paraId="262CECFE"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32.11</w:t>
            </w:r>
          </w:p>
        </w:tc>
        <w:tc>
          <w:tcPr>
            <w:tcW w:w="3488" w:type="pct"/>
          </w:tcPr>
          <w:p w14:paraId="248C927C" w14:textId="77777777" w:rsidR="00D27DDC" w:rsidRPr="00730D0F" w:rsidRDefault="00D27DDC" w:rsidP="00D27DDC">
            <w:pPr>
              <w:pStyle w:val="Tablesmalltext"/>
              <w:rPr>
                <w:color w:val="000000"/>
                <w:lang w:val="en-AU" w:eastAsia="en-AU"/>
              </w:rPr>
            </w:pPr>
            <w:r w:rsidRPr="00730D0F">
              <w:rPr>
                <w:color w:val="000000"/>
                <w:lang w:val="en-AU" w:eastAsia="en-AU"/>
              </w:rPr>
              <w:t>Have any boundary trails been rehabilitated as soon as reasonably practicable following regeneration burning?</w:t>
            </w:r>
          </w:p>
        </w:tc>
        <w:tc>
          <w:tcPr>
            <w:tcW w:w="599" w:type="pct"/>
          </w:tcPr>
          <w:p w14:paraId="3FDC5A17" w14:textId="77777777" w:rsidR="00D27DDC" w:rsidRDefault="00D27DDC" w:rsidP="00D27DDC">
            <w:pPr>
              <w:pStyle w:val="Tablesmalltext"/>
              <w:jc w:val="center"/>
            </w:pPr>
            <w:r>
              <w:t>81% H</w:t>
            </w:r>
          </w:p>
          <w:p w14:paraId="0379034B" w14:textId="77777777" w:rsidR="00D27DDC" w:rsidRDefault="00D27DDC" w:rsidP="00D27DDC">
            <w:pPr>
              <w:pStyle w:val="Tablesmalltext"/>
              <w:jc w:val="center"/>
            </w:pPr>
            <w:r>
              <w:t>100% R</w:t>
            </w:r>
          </w:p>
        </w:tc>
        <w:tc>
          <w:tcPr>
            <w:tcW w:w="522" w:type="pct"/>
          </w:tcPr>
          <w:p w14:paraId="54800D0A" w14:textId="77777777" w:rsidR="00D27DDC" w:rsidRDefault="00D27DDC" w:rsidP="00D27DDC">
            <w:pPr>
              <w:pStyle w:val="Tablesmalltext"/>
              <w:jc w:val="center"/>
            </w:pPr>
            <w:r>
              <w:t>S,W,I</w:t>
            </w:r>
          </w:p>
          <w:p w14:paraId="4F812CB2" w14:textId="77777777" w:rsidR="00D27DDC" w:rsidRDefault="00D27DDC" w:rsidP="00D27DDC">
            <w:pPr>
              <w:pStyle w:val="Tablesmalltext"/>
              <w:jc w:val="center"/>
            </w:pPr>
            <w:r>
              <w:t>R</w:t>
            </w:r>
          </w:p>
        </w:tc>
      </w:tr>
      <w:tr w:rsidR="00D27DDC" w14:paraId="6AA985C7" w14:textId="77777777" w:rsidTr="00523E3C">
        <w:tc>
          <w:tcPr>
            <w:tcW w:w="391" w:type="pct"/>
            <w:shd w:val="clear" w:color="auto" w:fill="FFFFCC"/>
          </w:tcPr>
          <w:p w14:paraId="765B289B"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231C6EF" w14:textId="77777777" w:rsidR="00D27DDC" w:rsidRDefault="00D27DDC" w:rsidP="00D27DDC">
            <w:pPr>
              <w:pStyle w:val="Tablesmalltext"/>
            </w:pPr>
            <w:r w:rsidRPr="00730D0F">
              <w:rPr>
                <w:color w:val="000000"/>
                <w:lang w:val="en-AU" w:eastAsia="en-AU"/>
              </w:rPr>
              <w:t>2.5.2.5 Tracks must have effective drainage to prevent soil erosion. Cross-drains, where used, must be spaced and angled as appropriate to the soil erosion hazard, to disperse surface run-off and prevent discharge of turbid water into streams or drainage lines.</w:t>
            </w:r>
          </w:p>
        </w:tc>
      </w:tr>
      <w:tr w:rsidR="00D27DDC" w14:paraId="09CE5AA0" w14:textId="77777777" w:rsidTr="00D27DDC">
        <w:tc>
          <w:tcPr>
            <w:tcW w:w="391" w:type="pct"/>
          </w:tcPr>
          <w:p w14:paraId="047E240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32.12</w:t>
            </w:r>
          </w:p>
        </w:tc>
        <w:tc>
          <w:tcPr>
            <w:tcW w:w="3488" w:type="pct"/>
          </w:tcPr>
          <w:p w14:paraId="7638AFE6" w14:textId="77777777" w:rsidR="00D27DDC" w:rsidRPr="00730D0F" w:rsidRDefault="00D27DDC" w:rsidP="00D27DDC">
            <w:pPr>
              <w:pStyle w:val="Tablesmalltext"/>
              <w:rPr>
                <w:color w:val="000000"/>
                <w:lang w:val="en-AU" w:eastAsia="en-AU"/>
              </w:rPr>
            </w:pPr>
            <w:r w:rsidRPr="00730D0F">
              <w:rPr>
                <w:color w:val="000000"/>
                <w:lang w:val="en-AU" w:eastAsia="en-AU"/>
              </w:rPr>
              <w:t>Is snig track and boundary track drainage spacing consistent with soil erosion hazard and slope as per MSP Table 21?</w:t>
            </w:r>
          </w:p>
        </w:tc>
        <w:tc>
          <w:tcPr>
            <w:tcW w:w="599" w:type="pct"/>
          </w:tcPr>
          <w:p w14:paraId="77C113D2" w14:textId="77777777" w:rsidR="00D27DDC" w:rsidRDefault="00D27DDC" w:rsidP="00D27DDC">
            <w:pPr>
              <w:pStyle w:val="Tablesmalltext"/>
              <w:jc w:val="center"/>
            </w:pPr>
            <w:r>
              <w:t>57% H</w:t>
            </w:r>
          </w:p>
          <w:p w14:paraId="45225680" w14:textId="77777777" w:rsidR="00D27DDC" w:rsidRDefault="00D27DDC" w:rsidP="00D27DDC">
            <w:pPr>
              <w:pStyle w:val="Tablesmalltext"/>
              <w:jc w:val="center"/>
            </w:pPr>
            <w:r>
              <w:t>89% R</w:t>
            </w:r>
          </w:p>
        </w:tc>
        <w:tc>
          <w:tcPr>
            <w:tcW w:w="522" w:type="pct"/>
          </w:tcPr>
          <w:p w14:paraId="515D460A" w14:textId="77777777" w:rsidR="00D27DDC" w:rsidRDefault="00D27DDC" w:rsidP="00D27DDC">
            <w:pPr>
              <w:pStyle w:val="Tablesmalltext"/>
              <w:jc w:val="center"/>
            </w:pPr>
            <w:r>
              <w:t>S,W,I</w:t>
            </w:r>
          </w:p>
          <w:p w14:paraId="0254C9CC" w14:textId="77777777" w:rsidR="00D27DDC" w:rsidRDefault="00D27DDC" w:rsidP="00D27DDC">
            <w:pPr>
              <w:pStyle w:val="Tablesmalltext"/>
              <w:jc w:val="center"/>
            </w:pPr>
            <w:r>
              <w:t>R</w:t>
            </w:r>
          </w:p>
        </w:tc>
      </w:tr>
      <w:tr w:rsidR="00D27DDC" w14:paraId="68144667" w14:textId="77777777" w:rsidTr="00D27DDC">
        <w:tc>
          <w:tcPr>
            <w:tcW w:w="391" w:type="pct"/>
          </w:tcPr>
          <w:p w14:paraId="4C77527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32.13</w:t>
            </w:r>
          </w:p>
        </w:tc>
        <w:tc>
          <w:tcPr>
            <w:tcW w:w="3488" w:type="pct"/>
          </w:tcPr>
          <w:p w14:paraId="18A4763F" w14:textId="77777777" w:rsidR="00D27DDC" w:rsidRPr="00730D0F" w:rsidRDefault="00D27DDC" w:rsidP="00D27DDC">
            <w:pPr>
              <w:pStyle w:val="Tablesmalltext"/>
              <w:rPr>
                <w:color w:val="000000"/>
                <w:lang w:val="en-AU" w:eastAsia="en-AU"/>
              </w:rPr>
            </w:pPr>
            <w:r w:rsidRPr="00730D0F">
              <w:rPr>
                <w:color w:val="000000"/>
                <w:lang w:val="en-AU" w:eastAsia="en-AU"/>
              </w:rPr>
              <w:t>ITAO has the snig track drainage been constructed to disperse surface run-off and prevent discharge of turbid water into streams?</w:t>
            </w:r>
          </w:p>
        </w:tc>
        <w:tc>
          <w:tcPr>
            <w:tcW w:w="599" w:type="pct"/>
          </w:tcPr>
          <w:p w14:paraId="78590834" w14:textId="77777777" w:rsidR="00D27DDC" w:rsidRDefault="00D27DDC" w:rsidP="00D27DDC">
            <w:pPr>
              <w:pStyle w:val="Tablesmalltext"/>
              <w:jc w:val="center"/>
            </w:pPr>
            <w:r>
              <w:t>97% H</w:t>
            </w:r>
          </w:p>
          <w:p w14:paraId="0A9CB160" w14:textId="77777777" w:rsidR="00D27DDC" w:rsidRDefault="00D27DDC" w:rsidP="00D27DDC">
            <w:pPr>
              <w:pStyle w:val="Tablesmalltext"/>
              <w:jc w:val="center"/>
            </w:pPr>
            <w:r>
              <w:t>100% R</w:t>
            </w:r>
          </w:p>
        </w:tc>
        <w:tc>
          <w:tcPr>
            <w:tcW w:w="522" w:type="pct"/>
          </w:tcPr>
          <w:p w14:paraId="384D545E" w14:textId="77777777" w:rsidR="00D27DDC" w:rsidRDefault="00D27DDC" w:rsidP="00D27DDC">
            <w:pPr>
              <w:pStyle w:val="Tablesmalltext"/>
              <w:jc w:val="center"/>
            </w:pPr>
            <w:r>
              <w:t>W,I</w:t>
            </w:r>
          </w:p>
          <w:p w14:paraId="09AA5F3C" w14:textId="77777777" w:rsidR="00D27DDC" w:rsidRDefault="00D27DDC" w:rsidP="00D27DDC">
            <w:pPr>
              <w:pStyle w:val="Tablesmalltext"/>
              <w:jc w:val="center"/>
            </w:pPr>
            <w:r>
              <w:t>R</w:t>
            </w:r>
          </w:p>
        </w:tc>
      </w:tr>
      <w:tr w:rsidR="00D27DDC" w:rsidRPr="00831739" w14:paraId="233EC21D" w14:textId="77777777" w:rsidTr="00D27DDC">
        <w:tc>
          <w:tcPr>
            <w:tcW w:w="391" w:type="pct"/>
            <w:shd w:val="clear" w:color="auto" w:fill="FFEBD0" w:themeFill="accent4" w:themeFillTint="33"/>
          </w:tcPr>
          <w:p w14:paraId="6CDDD3CD" w14:textId="77777777" w:rsidR="00D27DDC" w:rsidRPr="00831739" w:rsidRDefault="00D27DDC" w:rsidP="00D27DDC">
            <w:pPr>
              <w:pStyle w:val="Tablesmalltext"/>
              <w:jc w:val="center"/>
              <w:rPr>
                <w:rFonts w:ascii="Calibri" w:hAnsi="Calibri" w:cs="Times New Roman"/>
                <w:b/>
                <w:color w:val="000000"/>
                <w:sz w:val="18"/>
                <w:szCs w:val="18"/>
                <w:lang w:val="en-AU" w:eastAsia="en-AU"/>
              </w:rPr>
            </w:pPr>
            <w:r w:rsidRPr="00831739">
              <w:rPr>
                <w:rFonts w:ascii="Calibri" w:hAnsi="Calibri" w:cs="Times New Roman"/>
                <w:b/>
                <w:color w:val="000000"/>
                <w:sz w:val="18"/>
                <w:szCs w:val="18"/>
                <w:lang w:val="en-AU" w:eastAsia="en-AU"/>
              </w:rPr>
              <w:t>C</w:t>
            </w:r>
          </w:p>
        </w:tc>
        <w:tc>
          <w:tcPr>
            <w:tcW w:w="4609" w:type="pct"/>
            <w:gridSpan w:val="3"/>
            <w:shd w:val="clear" w:color="auto" w:fill="FFEBD0" w:themeFill="accent4" w:themeFillTint="33"/>
          </w:tcPr>
          <w:p w14:paraId="15135F61" w14:textId="77777777" w:rsidR="00D27DDC" w:rsidRPr="00831739" w:rsidRDefault="00D27DDC" w:rsidP="00D27DDC">
            <w:pPr>
              <w:pStyle w:val="Tablesmalltext"/>
              <w:rPr>
                <w:b/>
              </w:rPr>
            </w:pPr>
            <w:r w:rsidRPr="00831739">
              <w:rPr>
                <w:b/>
                <w:color w:val="000000"/>
                <w:lang w:val="en-AU" w:eastAsia="en-AU"/>
              </w:rPr>
              <w:t xml:space="preserve">2.6 - Forest Regeneration and Management </w:t>
            </w:r>
          </w:p>
        </w:tc>
      </w:tr>
      <w:tr w:rsidR="00D27DDC" w14:paraId="0D8CF8AB" w14:textId="77777777" w:rsidTr="00D27DDC">
        <w:tc>
          <w:tcPr>
            <w:tcW w:w="391" w:type="pct"/>
            <w:shd w:val="clear" w:color="auto" w:fill="FFEBD0" w:themeFill="accent4" w:themeFillTint="33"/>
          </w:tcPr>
          <w:p w14:paraId="39A99D0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3AF96B0F" w14:textId="77777777" w:rsidR="00D27DDC" w:rsidRDefault="00D27DDC" w:rsidP="00D27DDC">
            <w:pPr>
              <w:pStyle w:val="Tablesmalltext"/>
            </w:pPr>
            <w:r w:rsidRPr="00730D0F">
              <w:rPr>
                <w:color w:val="000000"/>
                <w:lang w:val="en-AU" w:eastAsia="en-AU"/>
              </w:rPr>
              <w:t>2.6.1 Regeneration</w:t>
            </w:r>
          </w:p>
        </w:tc>
      </w:tr>
      <w:tr w:rsidR="00D27DDC" w14:paraId="69637635" w14:textId="77777777" w:rsidTr="00D27DDC">
        <w:tc>
          <w:tcPr>
            <w:tcW w:w="391" w:type="pct"/>
            <w:shd w:val="clear" w:color="auto" w:fill="FFEBD0" w:themeFill="accent4" w:themeFillTint="33"/>
          </w:tcPr>
          <w:p w14:paraId="742C5FE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6568326D" w14:textId="77777777" w:rsidR="00D27DDC" w:rsidRDefault="00D27DDC" w:rsidP="00D27DDC">
            <w:pPr>
              <w:pStyle w:val="Tablesmalltext"/>
            </w:pPr>
            <w:r w:rsidRPr="00730D0F">
              <w:rPr>
                <w:color w:val="000000"/>
                <w:lang w:val="en-AU" w:eastAsia="en-AU"/>
              </w:rPr>
              <w:t>2.6.1.1 Planning and management of timber harvesting operations must comply with relevant regeneration measures specific within the Management Standards and Procedures</w:t>
            </w:r>
          </w:p>
        </w:tc>
      </w:tr>
      <w:tr w:rsidR="00D27DDC" w14:paraId="6CC5C8A6" w14:textId="77777777" w:rsidTr="00D27DDC">
        <w:tc>
          <w:tcPr>
            <w:tcW w:w="391" w:type="pct"/>
            <w:shd w:val="clear" w:color="auto" w:fill="FFEBD0" w:themeFill="accent4" w:themeFillTint="33"/>
          </w:tcPr>
          <w:p w14:paraId="27BABDB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lastRenderedPageBreak/>
              <w:t>C</w:t>
            </w:r>
          </w:p>
        </w:tc>
        <w:tc>
          <w:tcPr>
            <w:tcW w:w="4609" w:type="pct"/>
            <w:gridSpan w:val="3"/>
            <w:shd w:val="clear" w:color="auto" w:fill="FFEBD0" w:themeFill="accent4" w:themeFillTint="33"/>
          </w:tcPr>
          <w:p w14:paraId="420C4BD4" w14:textId="77777777" w:rsidR="00D27DDC" w:rsidRDefault="00D27DDC" w:rsidP="00D27DDC">
            <w:pPr>
              <w:pStyle w:val="Tablesmalltext"/>
            </w:pPr>
            <w:r w:rsidRPr="00730D0F">
              <w:rPr>
                <w:color w:val="000000"/>
                <w:lang w:val="en-AU" w:eastAsia="en-AU"/>
              </w:rPr>
              <w:t>2.6.1.4 Following timber harvesting operations, State forest must be regenerated with overstorey species native to the area, wherever possible using the same provenances, or if not available, from an ecologically similar locality.</w:t>
            </w:r>
          </w:p>
        </w:tc>
      </w:tr>
      <w:tr w:rsidR="00D27DDC" w14:paraId="0584DF72" w14:textId="77777777" w:rsidTr="00523E3C">
        <w:tc>
          <w:tcPr>
            <w:tcW w:w="391" w:type="pct"/>
            <w:shd w:val="clear" w:color="auto" w:fill="FFFFCC"/>
          </w:tcPr>
          <w:p w14:paraId="7AAF70D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37885DD7" w14:textId="77777777" w:rsidR="00D27DDC" w:rsidRDefault="00D27DDC" w:rsidP="00D27DDC">
            <w:pPr>
              <w:pStyle w:val="Tablesmalltext"/>
            </w:pPr>
            <w:r w:rsidRPr="00730D0F">
              <w:rPr>
                <w:color w:val="000000"/>
                <w:lang w:val="en-AU" w:eastAsia="en-AU"/>
              </w:rPr>
              <w:t>9.1.1.1 For even-aged stands, conduct stocking surveys 15-30 months after sowing/seedfall or planting</w:t>
            </w:r>
          </w:p>
        </w:tc>
      </w:tr>
      <w:tr w:rsidR="00D27DDC" w14:paraId="502B5E7E" w14:textId="77777777" w:rsidTr="00523E3C">
        <w:tc>
          <w:tcPr>
            <w:tcW w:w="391" w:type="pct"/>
            <w:shd w:val="clear" w:color="auto" w:fill="FFFFCC"/>
          </w:tcPr>
          <w:p w14:paraId="557CBFD3"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2DD7F053" w14:textId="77777777" w:rsidR="00D27DDC" w:rsidRDefault="00D27DDC" w:rsidP="00D27DDC">
            <w:pPr>
              <w:pStyle w:val="Tablesmalltext"/>
            </w:pPr>
            <w:r w:rsidRPr="00730D0F">
              <w:rPr>
                <w:color w:val="000000"/>
                <w:lang w:val="en-AU" w:eastAsia="en-AU"/>
              </w:rPr>
              <w:t>9.1.1.2 Successfully stocked even</w:t>
            </w:r>
            <w:r w:rsidRPr="00730D0F">
              <w:rPr>
                <w:rFonts w:ascii="Cambria Math" w:hAnsi="Cambria Math" w:cs="Cambria Math"/>
                <w:color w:val="000000"/>
                <w:lang w:val="en-AU" w:eastAsia="en-AU"/>
              </w:rPr>
              <w:t>‐</w:t>
            </w:r>
            <w:r w:rsidRPr="00730D0F">
              <w:rPr>
                <w:color w:val="000000"/>
                <w:lang w:val="en-AU" w:eastAsia="en-AU"/>
              </w:rPr>
              <w:t xml:space="preserve">aged regenerating forests must have:  (a) at least 1 acceptable seedling in 65 % of 2.27 m radius (16 m2) plots placed on a 20 m by 80 m systematic grid or at least 1 acceptable seedling in at least 55 % of 2.27 m radius (16 m2) plots placed on a 20 m by 40 m systematic grid; and  (b) no discrete area greater than 1 ha with less than 400 stems per hectare.  </w:t>
            </w:r>
          </w:p>
        </w:tc>
      </w:tr>
      <w:tr w:rsidR="00D27DDC" w14:paraId="18481326" w14:textId="77777777" w:rsidTr="00523E3C">
        <w:tc>
          <w:tcPr>
            <w:tcW w:w="391" w:type="pct"/>
            <w:shd w:val="clear" w:color="auto" w:fill="FFFFCC"/>
          </w:tcPr>
          <w:p w14:paraId="2AD4E66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44980D6E" w14:textId="77777777" w:rsidR="00D27DDC" w:rsidRDefault="00D27DDC" w:rsidP="00D27DDC">
            <w:pPr>
              <w:pStyle w:val="Tablesmalltext"/>
            </w:pPr>
            <w:r w:rsidRPr="00730D0F">
              <w:rPr>
                <w:color w:val="000000"/>
                <w:lang w:val="en-AU" w:eastAsia="en-AU"/>
              </w:rPr>
              <w:t>9.1.1.7 For both even-aged and uneven-aged silviculture, acceptable species composition for regeneration includes at least 10 acceptable seedlings of each eucalypt species present on the site before harvesting</w:t>
            </w:r>
          </w:p>
        </w:tc>
      </w:tr>
      <w:tr w:rsidR="00D27DDC" w14:paraId="46715D5D" w14:textId="77777777" w:rsidTr="00D27DDC">
        <w:tc>
          <w:tcPr>
            <w:tcW w:w="391" w:type="pct"/>
          </w:tcPr>
          <w:p w14:paraId="201358A5"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33.01</w:t>
            </w:r>
          </w:p>
        </w:tc>
        <w:tc>
          <w:tcPr>
            <w:tcW w:w="3488" w:type="pct"/>
            <w:vAlign w:val="center"/>
          </w:tcPr>
          <w:p w14:paraId="213C827E" w14:textId="77777777" w:rsidR="00D27DDC" w:rsidRPr="00730D0F" w:rsidRDefault="00D27DDC" w:rsidP="00D27DDC">
            <w:pPr>
              <w:pStyle w:val="Tablesmalltext"/>
              <w:rPr>
                <w:color w:val="000000"/>
                <w:lang w:val="en-AU" w:eastAsia="en-AU"/>
              </w:rPr>
            </w:pPr>
            <w:r w:rsidRPr="00730D0F">
              <w:rPr>
                <w:color w:val="000000"/>
                <w:lang w:val="en-AU" w:eastAsia="en-AU"/>
              </w:rPr>
              <w:t>Was the initial stocking survey conducted within 15-30 months of regeneration?</w:t>
            </w:r>
          </w:p>
        </w:tc>
        <w:tc>
          <w:tcPr>
            <w:tcW w:w="599" w:type="pct"/>
          </w:tcPr>
          <w:p w14:paraId="2966D95E" w14:textId="77777777" w:rsidR="00D27DDC" w:rsidRDefault="00D27DDC" w:rsidP="00D27DDC">
            <w:pPr>
              <w:pStyle w:val="Tablesmalltext"/>
              <w:jc w:val="center"/>
            </w:pPr>
            <w:r>
              <w:t>100%</w:t>
            </w:r>
          </w:p>
        </w:tc>
        <w:tc>
          <w:tcPr>
            <w:tcW w:w="522" w:type="pct"/>
          </w:tcPr>
          <w:p w14:paraId="69ADAA76" w14:textId="77777777" w:rsidR="00D27DDC" w:rsidRDefault="00D27DDC" w:rsidP="00D27DDC">
            <w:pPr>
              <w:pStyle w:val="Tablesmalltext"/>
              <w:jc w:val="center"/>
            </w:pPr>
            <w:r>
              <w:t>R</w:t>
            </w:r>
          </w:p>
        </w:tc>
      </w:tr>
      <w:tr w:rsidR="00D27DDC" w14:paraId="6E981E46" w14:textId="77777777" w:rsidTr="00D27DDC">
        <w:tc>
          <w:tcPr>
            <w:tcW w:w="391" w:type="pct"/>
          </w:tcPr>
          <w:p w14:paraId="0617933A"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33.02</w:t>
            </w:r>
          </w:p>
        </w:tc>
        <w:tc>
          <w:tcPr>
            <w:tcW w:w="3488" w:type="pct"/>
          </w:tcPr>
          <w:p w14:paraId="5177D4C3" w14:textId="77777777" w:rsidR="00D27DDC" w:rsidRPr="00730D0F" w:rsidRDefault="00D27DDC" w:rsidP="00D27DDC">
            <w:pPr>
              <w:pStyle w:val="Tablesmalltext"/>
              <w:rPr>
                <w:color w:val="000000"/>
                <w:lang w:val="en-AU" w:eastAsia="en-AU"/>
              </w:rPr>
            </w:pPr>
            <w:r w:rsidRPr="00730D0F">
              <w:rPr>
                <w:color w:val="000000"/>
                <w:lang w:val="en-AU" w:eastAsia="en-AU"/>
              </w:rPr>
              <w:t>Has the coupe been successfully restocked as per MSP 9.1.1.2 and 9.1.1.7?</w:t>
            </w:r>
          </w:p>
        </w:tc>
        <w:tc>
          <w:tcPr>
            <w:tcW w:w="599" w:type="pct"/>
          </w:tcPr>
          <w:p w14:paraId="7D2A1B9F" w14:textId="77777777" w:rsidR="00D27DDC" w:rsidRDefault="00D27DDC" w:rsidP="00D27DDC">
            <w:pPr>
              <w:pStyle w:val="Tablesmalltext"/>
              <w:jc w:val="center"/>
            </w:pPr>
            <w:r>
              <w:t>70%</w:t>
            </w:r>
          </w:p>
        </w:tc>
        <w:tc>
          <w:tcPr>
            <w:tcW w:w="522" w:type="pct"/>
          </w:tcPr>
          <w:p w14:paraId="53729A59" w14:textId="77777777" w:rsidR="00D27DDC" w:rsidRDefault="00D27DDC" w:rsidP="00D27DDC">
            <w:pPr>
              <w:pStyle w:val="Tablesmalltext"/>
              <w:jc w:val="center"/>
            </w:pPr>
            <w:r>
              <w:t>R</w:t>
            </w:r>
          </w:p>
        </w:tc>
      </w:tr>
      <w:tr w:rsidR="00D27DDC" w14:paraId="310CB0C1" w14:textId="77777777" w:rsidTr="00D27DDC">
        <w:tc>
          <w:tcPr>
            <w:tcW w:w="391" w:type="pct"/>
          </w:tcPr>
          <w:p w14:paraId="5CCE4A61"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33.03</w:t>
            </w:r>
          </w:p>
        </w:tc>
        <w:tc>
          <w:tcPr>
            <w:tcW w:w="3488" w:type="pct"/>
          </w:tcPr>
          <w:p w14:paraId="71085B41" w14:textId="77777777" w:rsidR="00D27DDC" w:rsidRPr="00730D0F" w:rsidRDefault="00D27DDC" w:rsidP="00D27DDC">
            <w:pPr>
              <w:pStyle w:val="Tablesmalltext"/>
              <w:rPr>
                <w:color w:val="000000"/>
                <w:lang w:val="en-AU" w:eastAsia="en-AU"/>
              </w:rPr>
            </w:pPr>
            <w:r w:rsidRPr="00730D0F">
              <w:rPr>
                <w:color w:val="000000"/>
                <w:lang w:val="en-AU" w:eastAsia="en-AU"/>
              </w:rPr>
              <w:t>Was the seed used for regeneration of the same provenance, or if that is not available, from an ecologically similar location?</w:t>
            </w:r>
          </w:p>
        </w:tc>
        <w:tc>
          <w:tcPr>
            <w:tcW w:w="599" w:type="pct"/>
          </w:tcPr>
          <w:p w14:paraId="68A1BBA8" w14:textId="77777777" w:rsidR="00D27DDC" w:rsidRDefault="00D27DDC" w:rsidP="00D27DDC">
            <w:pPr>
              <w:pStyle w:val="Tablesmalltext"/>
              <w:jc w:val="center"/>
            </w:pPr>
            <w:r>
              <w:t>100%</w:t>
            </w:r>
          </w:p>
        </w:tc>
        <w:tc>
          <w:tcPr>
            <w:tcW w:w="522" w:type="pct"/>
          </w:tcPr>
          <w:p w14:paraId="1FA8FD5E" w14:textId="77777777" w:rsidR="00D27DDC" w:rsidRDefault="00D27DDC" w:rsidP="00D27DDC">
            <w:pPr>
              <w:pStyle w:val="Tablesmalltext"/>
              <w:jc w:val="center"/>
            </w:pPr>
            <w:r>
              <w:t>R</w:t>
            </w:r>
          </w:p>
        </w:tc>
      </w:tr>
      <w:tr w:rsidR="00D27DDC" w14:paraId="1E65E3A9" w14:textId="77777777" w:rsidTr="00D27DDC">
        <w:tc>
          <w:tcPr>
            <w:tcW w:w="391" w:type="pct"/>
            <w:shd w:val="clear" w:color="auto" w:fill="FFEBD0" w:themeFill="accent4" w:themeFillTint="33"/>
          </w:tcPr>
          <w:p w14:paraId="4EE5990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592C953B" w14:textId="77777777" w:rsidR="00D27DDC" w:rsidRDefault="00D27DDC" w:rsidP="00D27DDC">
            <w:pPr>
              <w:pStyle w:val="Tablesmalltext"/>
            </w:pPr>
            <w:r w:rsidRPr="00730D0F">
              <w:rPr>
                <w:color w:val="000000"/>
                <w:lang w:val="en-AU" w:eastAsia="en-AU"/>
              </w:rPr>
              <w:t>2.6.1.7 Harvested coupes must be regenerated as soon as practical, including follow up or remedial action in the event of regeneration failure.</w:t>
            </w:r>
          </w:p>
        </w:tc>
      </w:tr>
      <w:tr w:rsidR="00D27DDC" w14:paraId="0F4BB603" w14:textId="77777777" w:rsidTr="00523E3C">
        <w:tc>
          <w:tcPr>
            <w:tcW w:w="391" w:type="pct"/>
            <w:shd w:val="clear" w:color="auto" w:fill="FFFFCC"/>
          </w:tcPr>
          <w:p w14:paraId="45DB7B19"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M</w:t>
            </w:r>
          </w:p>
        </w:tc>
        <w:tc>
          <w:tcPr>
            <w:tcW w:w="4609" w:type="pct"/>
            <w:gridSpan w:val="3"/>
            <w:shd w:val="clear" w:color="auto" w:fill="FFFFCC"/>
          </w:tcPr>
          <w:p w14:paraId="100E4A79" w14:textId="77777777" w:rsidR="00D27DDC" w:rsidRDefault="00D27DDC" w:rsidP="00D27DDC">
            <w:pPr>
              <w:pStyle w:val="Tablesmalltext"/>
            </w:pPr>
            <w:r w:rsidRPr="00730D0F">
              <w:rPr>
                <w:color w:val="000000"/>
                <w:lang w:val="en-AU" w:eastAsia="en-AU"/>
              </w:rPr>
              <w:t>9.1.1.8 Where stocking, health or early growth is inadequate, remedial work must be conducted as soon as practicable and within 5 years of the previous regeneration attempt to obtain adequate regeneration. Further assessment must be undertaken following remedial treatment to ensure that it has been successfully regenerated.</w:t>
            </w:r>
          </w:p>
        </w:tc>
      </w:tr>
      <w:tr w:rsidR="00D27DDC" w14:paraId="1E05538C" w14:textId="77777777" w:rsidTr="00D27DDC">
        <w:tc>
          <w:tcPr>
            <w:tcW w:w="391" w:type="pct"/>
          </w:tcPr>
          <w:p w14:paraId="66925174"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33.04</w:t>
            </w:r>
          </w:p>
        </w:tc>
        <w:tc>
          <w:tcPr>
            <w:tcW w:w="3488" w:type="pct"/>
          </w:tcPr>
          <w:p w14:paraId="164BAA1B" w14:textId="77777777" w:rsidR="00D27DDC" w:rsidRPr="00730D0F" w:rsidRDefault="00D27DDC" w:rsidP="00D27DDC">
            <w:pPr>
              <w:pStyle w:val="Tablesmalltext"/>
              <w:rPr>
                <w:color w:val="000000"/>
                <w:lang w:val="en-AU" w:eastAsia="en-AU"/>
              </w:rPr>
            </w:pPr>
            <w:r w:rsidRPr="00730D0F">
              <w:rPr>
                <w:color w:val="000000"/>
                <w:lang w:val="en-AU" w:eastAsia="en-AU"/>
              </w:rPr>
              <w:t>If initial regeneration or early growth was inadequate, ITAO was remedial work conducted as soon as reasonably practicable and within 5 years of the previous regeneration attempt?</w:t>
            </w:r>
          </w:p>
        </w:tc>
        <w:tc>
          <w:tcPr>
            <w:tcW w:w="599" w:type="pct"/>
          </w:tcPr>
          <w:p w14:paraId="6FC994EA" w14:textId="77777777" w:rsidR="00D27DDC" w:rsidRDefault="00D27DDC" w:rsidP="00D27DDC">
            <w:pPr>
              <w:pStyle w:val="Tablesmalltext"/>
              <w:jc w:val="center"/>
            </w:pPr>
            <w:r>
              <w:t>100%</w:t>
            </w:r>
          </w:p>
        </w:tc>
        <w:tc>
          <w:tcPr>
            <w:tcW w:w="522" w:type="pct"/>
          </w:tcPr>
          <w:p w14:paraId="2362BD4F" w14:textId="77777777" w:rsidR="00D27DDC" w:rsidRDefault="00D27DDC" w:rsidP="00D27DDC">
            <w:pPr>
              <w:pStyle w:val="Tablesmalltext"/>
              <w:jc w:val="center"/>
            </w:pPr>
            <w:r>
              <w:t>R</w:t>
            </w:r>
          </w:p>
        </w:tc>
      </w:tr>
      <w:tr w:rsidR="00D27DDC" w14:paraId="5BE8493F" w14:textId="77777777" w:rsidTr="00D27DDC">
        <w:tc>
          <w:tcPr>
            <w:tcW w:w="391" w:type="pct"/>
          </w:tcPr>
          <w:p w14:paraId="4D62DF26"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33.05</w:t>
            </w:r>
          </w:p>
        </w:tc>
        <w:tc>
          <w:tcPr>
            <w:tcW w:w="3488" w:type="pct"/>
          </w:tcPr>
          <w:p w14:paraId="6517A4F8" w14:textId="77777777" w:rsidR="00D27DDC" w:rsidRPr="00730D0F" w:rsidRDefault="00D27DDC" w:rsidP="00D27DDC">
            <w:pPr>
              <w:pStyle w:val="Tablesmalltext"/>
              <w:rPr>
                <w:color w:val="000000"/>
                <w:lang w:val="en-AU" w:eastAsia="en-AU"/>
              </w:rPr>
            </w:pPr>
            <w:r w:rsidRPr="00730D0F">
              <w:rPr>
                <w:color w:val="000000"/>
                <w:lang w:val="en-AU" w:eastAsia="en-AU"/>
              </w:rPr>
              <w:t>Was remedial stocking effort followed up by regeneration surveys within 15-30 months?</w:t>
            </w:r>
          </w:p>
        </w:tc>
        <w:tc>
          <w:tcPr>
            <w:tcW w:w="599" w:type="pct"/>
          </w:tcPr>
          <w:p w14:paraId="5720BB13" w14:textId="77777777" w:rsidR="00D27DDC" w:rsidRDefault="00D27DDC" w:rsidP="00D27DDC">
            <w:pPr>
              <w:pStyle w:val="Tablesmalltext"/>
              <w:jc w:val="center"/>
            </w:pPr>
            <w:r>
              <w:t>100%</w:t>
            </w:r>
          </w:p>
        </w:tc>
        <w:tc>
          <w:tcPr>
            <w:tcW w:w="522" w:type="pct"/>
          </w:tcPr>
          <w:p w14:paraId="1DB5A0D8" w14:textId="77777777" w:rsidR="00D27DDC" w:rsidRDefault="00D27DDC" w:rsidP="00D27DDC">
            <w:pPr>
              <w:pStyle w:val="Tablesmalltext"/>
              <w:jc w:val="center"/>
            </w:pPr>
            <w:r>
              <w:t>R</w:t>
            </w:r>
          </w:p>
        </w:tc>
      </w:tr>
      <w:tr w:rsidR="00D27DDC" w14:paraId="0CE6B464" w14:textId="77777777" w:rsidTr="00D27DDC">
        <w:tc>
          <w:tcPr>
            <w:tcW w:w="391" w:type="pct"/>
            <w:shd w:val="clear" w:color="auto" w:fill="F4F4F4" w:themeFill="accent6" w:themeFillTint="33"/>
          </w:tcPr>
          <w:p w14:paraId="794EDA5D"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4F4F4" w:themeFill="accent6" w:themeFillTint="33"/>
          </w:tcPr>
          <w:p w14:paraId="611C11E0" w14:textId="77777777" w:rsidR="00D27DDC" w:rsidRDefault="00D27DDC" w:rsidP="00D27DDC">
            <w:pPr>
              <w:pStyle w:val="Tablesmalltext"/>
            </w:pPr>
            <w:r w:rsidRPr="00730D0F">
              <w:rPr>
                <w:color w:val="000000"/>
                <w:lang w:val="en-AU" w:eastAsia="en-AU"/>
              </w:rPr>
              <w:t>2.6.1.8 All practical measures must be taken to protect areas excluded from harvesting from the impacts of burns and other regeneration activities.</w:t>
            </w:r>
          </w:p>
        </w:tc>
      </w:tr>
      <w:tr w:rsidR="00D27DDC" w14:paraId="1F03F8EB" w14:textId="77777777" w:rsidTr="00D27DDC">
        <w:tc>
          <w:tcPr>
            <w:tcW w:w="391" w:type="pct"/>
            <w:shd w:val="clear" w:color="auto" w:fill="F4F4F4" w:themeFill="accent6" w:themeFillTint="33"/>
          </w:tcPr>
          <w:p w14:paraId="09A31708"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4F4F4" w:themeFill="accent6" w:themeFillTint="33"/>
          </w:tcPr>
          <w:p w14:paraId="50B731F2" w14:textId="77777777" w:rsidR="00D27DDC" w:rsidRDefault="00D27DDC" w:rsidP="00D27DDC">
            <w:pPr>
              <w:pStyle w:val="Tablesmalltext"/>
            </w:pPr>
            <w:r w:rsidRPr="00730D0F">
              <w:rPr>
                <w:color w:val="000000"/>
                <w:lang w:val="en-AU" w:eastAsia="en-AU"/>
              </w:rPr>
              <w:t>2.6.1.9 Where mechanical disturbance is used, it must be undertaken with due consideration of erosion risks and the proximity of waterways (refer to Section 2.2).</w:t>
            </w:r>
          </w:p>
        </w:tc>
      </w:tr>
      <w:tr w:rsidR="00D27DDC" w14:paraId="549C3EEE" w14:textId="77777777" w:rsidTr="00D27DDC">
        <w:tc>
          <w:tcPr>
            <w:tcW w:w="391" w:type="pct"/>
          </w:tcPr>
          <w:p w14:paraId="76710757"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sidRPr="00730D0F">
              <w:rPr>
                <w:rFonts w:ascii="Calibri" w:hAnsi="Calibri" w:cs="Times New Roman"/>
                <w:color w:val="000000"/>
                <w:sz w:val="18"/>
                <w:szCs w:val="18"/>
                <w:lang w:val="en-AU" w:eastAsia="en-AU"/>
              </w:rPr>
              <w:t>34.01</w:t>
            </w:r>
          </w:p>
        </w:tc>
        <w:tc>
          <w:tcPr>
            <w:tcW w:w="3488" w:type="pct"/>
          </w:tcPr>
          <w:p w14:paraId="693388BE" w14:textId="77777777" w:rsidR="00D27DDC" w:rsidRPr="00730D0F" w:rsidRDefault="00D27DDC" w:rsidP="00D27DDC">
            <w:pPr>
              <w:pStyle w:val="Tablesmalltext"/>
              <w:rPr>
                <w:color w:val="000000"/>
                <w:lang w:val="en-AU" w:eastAsia="en-AU"/>
              </w:rPr>
            </w:pPr>
            <w:r w:rsidRPr="00730D0F">
              <w:rPr>
                <w:color w:val="000000"/>
                <w:lang w:val="en-AU" w:eastAsia="en-AU"/>
              </w:rPr>
              <w:t>ITAO have all practical measures been taken to protect harvesting exclusion areas, including waterways, during burns and other regeneration activities?</w:t>
            </w:r>
          </w:p>
        </w:tc>
        <w:tc>
          <w:tcPr>
            <w:tcW w:w="599" w:type="pct"/>
          </w:tcPr>
          <w:p w14:paraId="7911CFD7" w14:textId="77777777" w:rsidR="00D27DDC" w:rsidRDefault="00D27DDC" w:rsidP="00D27DDC">
            <w:pPr>
              <w:pStyle w:val="Tablesmalltext"/>
              <w:jc w:val="center"/>
            </w:pPr>
            <w:r>
              <w:t>90%</w:t>
            </w:r>
          </w:p>
        </w:tc>
        <w:tc>
          <w:tcPr>
            <w:tcW w:w="522" w:type="pct"/>
          </w:tcPr>
          <w:p w14:paraId="3B5F5DBF" w14:textId="77777777" w:rsidR="00D27DDC" w:rsidRDefault="00D27DDC" w:rsidP="00D27DDC">
            <w:pPr>
              <w:pStyle w:val="Tablesmalltext"/>
              <w:jc w:val="center"/>
            </w:pPr>
            <w:r>
              <w:t>R</w:t>
            </w:r>
          </w:p>
        </w:tc>
      </w:tr>
      <w:tr w:rsidR="00D27DDC" w14:paraId="4DA80DD0" w14:textId="77777777" w:rsidTr="00D27DDC">
        <w:tc>
          <w:tcPr>
            <w:tcW w:w="391" w:type="pct"/>
            <w:shd w:val="clear" w:color="auto" w:fill="FFEBD0" w:themeFill="accent4" w:themeFillTint="33"/>
          </w:tcPr>
          <w:p w14:paraId="09270270" w14:textId="77777777" w:rsidR="00D27DDC" w:rsidRPr="00730D0F" w:rsidRDefault="00D27DDC" w:rsidP="00D27DDC">
            <w:pPr>
              <w:pStyle w:val="Tablesmalltext"/>
              <w:jc w:val="center"/>
              <w:rPr>
                <w:rFonts w:ascii="Calibri" w:hAnsi="Calibri" w:cs="Times New Roman"/>
                <w:color w:val="000000"/>
                <w:sz w:val="18"/>
                <w:szCs w:val="18"/>
                <w:lang w:val="en-AU" w:eastAsia="en-AU"/>
              </w:rPr>
            </w:pPr>
            <w:r>
              <w:rPr>
                <w:rFonts w:ascii="Calibri" w:hAnsi="Calibri" w:cs="Times New Roman"/>
                <w:color w:val="000000"/>
                <w:sz w:val="18"/>
                <w:szCs w:val="18"/>
                <w:lang w:val="en-AU" w:eastAsia="en-AU"/>
              </w:rPr>
              <w:t>C</w:t>
            </w:r>
          </w:p>
        </w:tc>
        <w:tc>
          <w:tcPr>
            <w:tcW w:w="4609" w:type="pct"/>
            <w:gridSpan w:val="3"/>
            <w:shd w:val="clear" w:color="auto" w:fill="FFEBD0" w:themeFill="accent4" w:themeFillTint="33"/>
          </w:tcPr>
          <w:p w14:paraId="38952B39" w14:textId="77777777" w:rsidR="00D27DDC" w:rsidRDefault="00D27DDC" w:rsidP="00D27DDC">
            <w:pPr>
              <w:pStyle w:val="Tablesmalltext"/>
            </w:pPr>
            <w:r w:rsidRPr="00730D0F">
              <w:rPr>
                <w:color w:val="000000"/>
                <w:lang w:val="en-AU" w:eastAsia="en-AU"/>
              </w:rPr>
              <w:t>2.5.2.3 (rehabilitation of coupe infrastructure) and 2.4.6.2 (permanent road closure) are also to be assessed at each coupe surveyed for regeneration.</w:t>
            </w:r>
          </w:p>
        </w:tc>
      </w:tr>
    </w:tbl>
    <w:p w14:paraId="4326B1D0" w14:textId="77777777" w:rsidR="00D27DDC" w:rsidRDefault="00D27DDC" w:rsidP="00D27DDC">
      <w:pPr>
        <w:pStyle w:val="Tablesmalltext"/>
      </w:pPr>
      <w:r>
        <w:t>Notes:</w:t>
      </w:r>
    </w:p>
    <w:p w14:paraId="3E805CD1" w14:textId="77777777" w:rsidR="00D27DDC" w:rsidRDefault="00D27DDC" w:rsidP="00E74AFC">
      <w:pPr>
        <w:pStyle w:val="Tablesmalltext"/>
        <w:numPr>
          <w:ilvl w:val="0"/>
          <w:numId w:val="90"/>
        </w:numPr>
      </w:pPr>
      <w:r>
        <w:t>Source: C – Code, M – MSPs, P – PS. Numbers indicate the number of the specific audit compliance criterion</w:t>
      </w:r>
    </w:p>
    <w:p w14:paraId="5D75991D" w14:textId="77777777" w:rsidR="00D27DDC" w:rsidRDefault="00D27DDC" w:rsidP="00E74AFC">
      <w:pPr>
        <w:pStyle w:val="Tablesmalltext"/>
        <w:numPr>
          <w:ilvl w:val="0"/>
          <w:numId w:val="90"/>
        </w:numPr>
      </w:pPr>
      <w:r>
        <w:t>Theme: audit theme or sub-theme. S – soil, W – water quality and river heatlh, B – biodiversity, D – road design, C – road construction, M – road maintenance and closures, I – infrastructure, P – coupe planning, R – regeneration</w:t>
      </w:r>
    </w:p>
    <w:p w14:paraId="037FC98D" w14:textId="77777777" w:rsidR="00D27DDC" w:rsidRDefault="00D27DDC" w:rsidP="00E74AFC">
      <w:pPr>
        <w:pStyle w:val="Tablesmalltext"/>
        <w:numPr>
          <w:ilvl w:val="0"/>
          <w:numId w:val="90"/>
        </w:numPr>
      </w:pPr>
      <w:r>
        <w:t>ITAO: abbreviation for in the auditor’s opinion</w:t>
      </w:r>
    </w:p>
    <w:p w14:paraId="5863DBCC" w14:textId="77777777" w:rsidR="00D27DDC" w:rsidRDefault="00D27DDC" w:rsidP="00D27DDC">
      <w:pPr>
        <w:pStyle w:val="Para4roman"/>
        <w:numPr>
          <w:ilvl w:val="0"/>
          <w:numId w:val="0"/>
        </w:numPr>
      </w:pPr>
    </w:p>
    <w:p w14:paraId="09F3F615" w14:textId="77777777" w:rsidR="00D27DDC" w:rsidRDefault="00D27DDC" w:rsidP="00D27DDC">
      <w:pPr>
        <w:pStyle w:val="Heading9"/>
      </w:pPr>
      <w:bookmarkStart w:id="174" w:name="_Ref13845696"/>
      <w:bookmarkStart w:id="175" w:name="_Toc26891672"/>
      <w:bookmarkStart w:id="176" w:name="_Toc33202322"/>
      <w:bookmarkStart w:id="177" w:name="_Ref13844823"/>
      <w:r>
        <w:lastRenderedPageBreak/>
        <w:t>Environmental impact assessment tool</w:t>
      </w:r>
      <w:bookmarkEnd w:id="174"/>
      <w:bookmarkEnd w:id="175"/>
      <w:bookmarkEnd w:id="176"/>
    </w:p>
    <w:bookmarkEnd w:id="177"/>
    <w:p w14:paraId="6F34365A" w14:textId="77777777" w:rsidR="00D27DDC" w:rsidRDefault="00D27DDC" w:rsidP="00D27DDC">
      <w:pPr>
        <w:pStyle w:val="Para0"/>
      </w:pPr>
      <w:r>
        <w:t xml:space="preserve">The assessment of risk of harm to the environment resulting from any instance of non-conformance with the regulatory framework for timber harvesting is assessed using an environmental impact assessment (EIA) tool provided by DELWP. </w:t>
      </w:r>
    </w:p>
    <w:p w14:paraId="411619C6" w14:textId="77777777" w:rsidR="00D27DDC" w:rsidRDefault="00D27DDC" w:rsidP="00D27DDC">
      <w:pPr>
        <w:pStyle w:val="Appendixsubheading1"/>
      </w:pPr>
      <w:bookmarkStart w:id="178" w:name="_Toc497680386"/>
      <w:bookmarkStart w:id="179" w:name="_Toc497680399"/>
      <w:bookmarkStart w:id="180" w:name="_Toc497856975"/>
      <w:bookmarkStart w:id="181" w:name="_Toc500947594"/>
      <w:bookmarkStart w:id="182" w:name="_Toc500947605"/>
      <w:bookmarkStart w:id="183" w:name="_Toc500947616"/>
      <w:bookmarkStart w:id="184" w:name="_Toc500947755"/>
      <w:bookmarkStart w:id="185" w:name="_Toc500947766"/>
      <w:bookmarkStart w:id="186" w:name="_Toc500947777"/>
      <w:bookmarkStart w:id="187" w:name="_Toc500947788"/>
      <w:bookmarkStart w:id="188" w:name="_Toc500947799"/>
      <w:bookmarkStart w:id="189" w:name="_Toc500947810"/>
      <w:bookmarkStart w:id="190" w:name="_Toc501003423"/>
      <w:bookmarkStart w:id="191" w:name="_Toc501003434"/>
      <w:bookmarkStart w:id="192" w:name="_Toc510699089"/>
      <w:bookmarkStart w:id="193" w:name="_Toc510699100"/>
      <w:bookmarkStart w:id="194" w:name="_Toc510699111"/>
      <w:bookmarkStart w:id="195" w:name="_Toc510732036"/>
      <w:bookmarkStart w:id="196" w:name="_Toc510732047"/>
      <w:bookmarkStart w:id="197" w:name="_Toc511246267"/>
      <w:bookmarkStart w:id="198" w:name="_Toc511246278"/>
      <w:bookmarkStart w:id="199" w:name="_Toc511246289"/>
      <w:bookmarkStart w:id="200" w:name="_Toc511246300"/>
      <w:bookmarkStart w:id="201" w:name="_Toc511246311"/>
      <w:bookmarkStart w:id="202" w:name="_Toc11919246"/>
      <w:bookmarkStart w:id="203" w:name="_Toc26891673"/>
      <w:bookmarkStart w:id="204" w:name="_Toc33202323"/>
      <w:r>
        <w:t>Extent and location of impact</w:t>
      </w:r>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p>
    <w:p w14:paraId="07E79D2C" w14:textId="77777777" w:rsidR="00D27DDC" w:rsidRDefault="00D27DDC" w:rsidP="00D27DDC">
      <w:pPr>
        <w:pStyle w:val="Para0"/>
      </w:pPr>
      <w:r>
        <w:t xml:space="preserve">The first criterion (Table C.1) considers the extent and location of the potential impact resulting from a non-compliance incident. </w:t>
      </w:r>
    </w:p>
    <w:p w14:paraId="5B854519" w14:textId="77777777" w:rsidR="00D27DDC" w:rsidRDefault="00D27DDC" w:rsidP="00D27DDC">
      <w:pPr>
        <w:pStyle w:val="Caption"/>
      </w:pPr>
      <w:r>
        <w:t>Table C.1 Extent and location of impact assessment criteria and scoring</w:t>
      </w:r>
    </w:p>
    <w:tbl>
      <w:tblPr>
        <w:tblStyle w:val="TableGrid10"/>
        <w:tblW w:w="9889"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9180"/>
        <w:gridCol w:w="709"/>
      </w:tblGrid>
      <w:tr w:rsidR="00D27DDC" w:rsidRPr="00D27DDC" w14:paraId="4AE9D856" w14:textId="77777777" w:rsidTr="00D27DDC">
        <w:trPr>
          <w:tblHeader/>
        </w:trPr>
        <w:tc>
          <w:tcPr>
            <w:tcW w:w="9180" w:type="dxa"/>
            <w:shd w:val="clear" w:color="auto" w:fill="E5E5E5" w:themeFill="background2"/>
            <w:hideMark/>
          </w:tcPr>
          <w:p w14:paraId="22B8BF0E" w14:textId="77777777" w:rsidR="00D27DDC" w:rsidRPr="00D27DDC" w:rsidRDefault="00D27DDC" w:rsidP="00D27DDC">
            <w:pPr>
              <w:pStyle w:val="Tablesmalltext"/>
              <w:rPr>
                <w:b/>
              </w:rPr>
            </w:pPr>
            <w:r w:rsidRPr="00D27DDC">
              <w:rPr>
                <w:b/>
              </w:rPr>
              <w:t>Extent and location of impact</w:t>
            </w:r>
          </w:p>
        </w:tc>
        <w:tc>
          <w:tcPr>
            <w:tcW w:w="709" w:type="dxa"/>
            <w:shd w:val="clear" w:color="auto" w:fill="E5E5E5" w:themeFill="background2"/>
            <w:hideMark/>
          </w:tcPr>
          <w:p w14:paraId="24862FF0" w14:textId="77777777" w:rsidR="00D27DDC" w:rsidRPr="00D27DDC" w:rsidRDefault="00D27DDC" w:rsidP="00D27DDC">
            <w:pPr>
              <w:pStyle w:val="Tablesmalltext"/>
              <w:jc w:val="center"/>
              <w:rPr>
                <w:b/>
              </w:rPr>
            </w:pPr>
            <w:r w:rsidRPr="00D27DDC">
              <w:rPr>
                <w:b/>
              </w:rPr>
              <w:t>Score</w:t>
            </w:r>
          </w:p>
        </w:tc>
      </w:tr>
      <w:tr w:rsidR="00D27DDC" w:rsidRPr="00C337DA" w14:paraId="4A28481B" w14:textId="77777777" w:rsidTr="00D27DDC">
        <w:tc>
          <w:tcPr>
            <w:tcW w:w="9180" w:type="dxa"/>
            <w:hideMark/>
          </w:tcPr>
          <w:p w14:paraId="081D4665" w14:textId="77777777" w:rsidR="00D27DDC" w:rsidRPr="004F1591" w:rsidRDefault="00D27DDC" w:rsidP="00D27DDC">
            <w:pPr>
              <w:pStyle w:val="Tablesmalltext"/>
              <w:rPr>
                <w:rFonts w:eastAsia="Times New Roman"/>
              </w:rPr>
            </w:pPr>
            <w:r>
              <w:t>Impact affects 0-10% marked harvesting area. ≤100/80 m ICR not correctly drained (low-med/high soil erosion hazard)</w:t>
            </w:r>
          </w:p>
        </w:tc>
        <w:tc>
          <w:tcPr>
            <w:tcW w:w="709" w:type="dxa"/>
            <w:hideMark/>
          </w:tcPr>
          <w:p w14:paraId="66223A6D" w14:textId="77777777" w:rsidR="00D27DDC" w:rsidRPr="00C337DA" w:rsidRDefault="00D27DDC" w:rsidP="00D27DDC">
            <w:pPr>
              <w:pStyle w:val="Tablesmalltext"/>
              <w:jc w:val="center"/>
              <w:rPr>
                <w:rFonts w:eastAsia="Times New Roman"/>
              </w:rPr>
            </w:pPr>
            <w:r w:rsidRPr="00C337DA">
              <w:t>1</w:t>
            </w:r>
          </w:p>
        </w:tc>
      </w:tr>
      <w:tr w:rsidR="00D27DDC" w:rsidRPr="00C337DA" w14:paraId="10EDE4D6" w14:textId="77777777" w:rsidTr="00D27DDC">
        <w:tc>
          <w:tcPr>
            <w:tcW w:w="9180" w:type="dxa"/>
            <w:hideMark/>
          </w:tcPr>
          <w:p w14:paraId="06630BDA" w14:textId="77777777" w:rsidR="00D27DDC" w:rsidRPr="004F1591" w:rsidRDefault="00D27DDC" w:rsidP="00D27DDC">
            <w:pPr>
              <w:pStyle w:val="Tablesmalltext"/>
              <w:rPr>
                <w:rFonts w:eastAsia="Times New Roman"/>
              </w:rPr>
            </w:pPr>
            <w:r>
              <w:t>Impact affects 11-25% marked harvesting area. 101-150/81-100 m ICR not correctly drained (low-med/high soil erosion hazard)</w:t>
            </w:r>
          </w:p>
        </w:tc>
        <w:tc>
          <w:tcPr>
            <w:tcW w:w="709" w:type="dxa"/>
            <w:hideMark/>
          </w:tcPr>
          <w:p w14:paraId="20CA6E15" w14:textId="77777777" w:rsidR="00D27DDC" w:rsidRPr="00C337DA" w:rsidRDefault="00D27DDC" w:rsidP="00D27DDC">
            <w:pPr>
              <w:pStyle w:val="Tablesmalltext"/>
              <w:jc w:val="center"/>
              <w:rPr>
                <w:rFonts w:eastAsia="Times New Roman"/>
              </w:rPr>
            </w:pPr>
            <w:r w:rsidRPr="00C337DA">
              <w:t>2</w:t>
            </w:r>
          </w:p>
        </w:tc>
      </w:tr>
      <w:tr w:rsidR="00D27DDC" w:rsidRPr="00C337DA" w14:paraId="285339EE" w14:textId="77777777" w:rsidTr="00D27DDC">
        <w:tc>
          <w:tcPr>
            <w:tcW w:w="9180" w:type="dxa"/>
            <w:hideMark/>
          </w:tcPr>
          <w:p w14:paraId="1170AAFB" w14:textId="77777777" w:rsidR="00D27DDC" w:rsidRPr="004F1591" w:rsidRDefault="00D27DDC" w:rsidP="00D27DDC">
            <w:pPr>
              <w:pStyle w:val="Tablesmalltext"/>
              <w:rPr>
                <w:rFonts w:eastAsia="Times New Roman"/>
              </w:rPr>
            </w:pPr>
            <w:r>
              <w:t>Impact affects 26-50% marked harvesting area. 151-200/101-130 m ICR not correctly drained (low-med/high soil erosion hazard). Single or localised incidence of unplanned or unauthorised disturbance within drainage line filter area (e.g. entry of harvesting machine) affecting &lt;10% of filter area.</w:t>
            </w:r>
          </w:p>
        </w:tc>
        <w:tc>
          <w:tcPr>
            <w:tcW w:w="709" w:type="dxa"/>
            <w:hideMark/>
          </w:tcPr>
          <w:p w14:paraId="2A5C0C5E" w14:textId="77777777" w:rsidR="00D27DDC" w:rsidRPr="00C337DA" w:rsidRDefault="00D27DDC" w:rsidP="00D27DDC">
            <w:pPr>
              <w:pStyle w:val="Tablesmalltext"/>
              <w:jc w:val="center"/>
              <w:rPr>
                <w:rFonts w:eastAsia="Times New Roman"/>
              </w:rPr>
            </w:pPr>
            <w:r w:rsidRPr="00C337DA">
              <w:t>3</w:t>
            </w:r>
          </w:p>
        </w:tc>
      </w:tr>
      <w:tr w:rsidR="00D27DDC" w:rsidRPr="00C337DA" w14:paraId="15DADEAE" w14:textId="77777777" w:rsidTr="00D27DDC">
        <w:tc>
          <w:tcPr>
            <w:tcW w:w="9180" w:type="dxa"/>
            <w:hideMark/>
          </w:tcPr>
          <w:p w14:paraId="1BE239C1" w14:textId="77777777" w:rsidR="00D27DDC" w:rsidRPr="004F1591" w:rsidRDefault="00D27DDC" w:rsidP="00D27DDC">
            <w:pPr>
              <w:pStyle w:val="Tablesmalltext"/>
              <w:rPr>
                <w:rFonts w:eastAsia="Times New Roman"/>
              </w:rPr>
            </w:pPr>
            <w:r>
              <w:t>Impact affects &gt;50% marked harvesting area. &gt;200/130 m ICR not correctly drained (low-med/high soil erosion hazard). Multiple and/or widespread (&gt;10% of filter area) unauthorised disturbance within drainage line filter area. Localised (&lt;10% of filter or buffer area) unauthorised disturbance to temporary stream filter or buffer (e.g. single entry of harvesting machine, escape of regeneration burn).  Non-compliant waterway crossing disturbs temporary stream within 10 m of the crossing.</w:t>
            </w:r>
          </w:p>
        </w:tc>
        <w:tc>
          <w:tcPr>
            <w:tcW w:w="709" w:type="dxa"/>
            <w:hideMark/>
          </w:tcPr>
          <w:p w14:paraId="50CE4FDE" w14:textId="77777777" w:rsidR="00D27DDC" w:rsidRPr="00C337DA" w:rsidRDefault="00D27DDC" w:rsidP="00D27DDC">
            <w:pPr>
              <w:pStyle w:val="Tablesmalltext"/>
              <w:jc w:val="center"/>
              <w:rPr>
                <w:rFonts w:eastAsia="Times New Roman"/>
              </w:rPr>
            </w:pPr>
            <w:r w:rsidRPr="00C337DA">
              <w:t>4</w:t>
            </w:r>
          </w:p>
        </w:tc>
      </w:tr>
      <w:tr w:rsidR="00D27DDC" w:rsidRPr="00C337DA" w14:paraId="019B1EBC" w14:textId="77777777" w:rsidTr="00D27DDC">
        <w:trPr>
          <w:trHeight w:val="1002"/>
        </w:trPr>
        <w:tc>
          <w:tcPr>
            <w:tcW w:w="9180" w:type="dxa"/>
            <w:hideMark/>
          </w:tcPr>
          <w:p w14:paraId="089D6353" w14:textId="77777777" w:rsidR="00D27DDC" w:rsidRPr="004F1591" w:rsidRDefault="00D27DDC" w:rsidP="00D27DDC">
            <w:pPr>
              <w:pStyle w:val="Tablesmalltext"/>
              <w:rPr>
                <w:rFonts w:eastAsia="Times New Roman"/>
              </w:rPr>
            </w:pPr>
            <w:r>
              <w:t>Impact involves disturbance (including regeneration burn escape) or harvesting of small area (within gross coupe area) extending ≤10m into an area that should have been excluded from harvesting (e.g. threatened species habitat, rainforest, riparian buffer).  Non-compliant waterway crossing disturbs permanent stream within 10 m of the crossing or a temporary stream &gt;10 m from the crossing.</w:t>
            </w:r>
          </w:p>
        </w:tc>
        <w:tc>
          <w:tcPr>
            <w:tcW w:w="709" w:type="dxa"/>
            <w:hideMark/>
          </w:tcPr>
          <w:p w14:paraId="18F81DC7" w14:textId="77777777" w:rsidR="00D27DDC" w:rsidRPr="00AD7B9E" w:rsidRDefault="00D27DDC" w:rsidP="00D27DDC">
            <w:pPr>
              <w:pStyle w:val="Tablesmalltext"/>
              <w:jc w:val="center"/>
            </w:pPr>
            <w:r w:rsidRPr="00C337DA">
              <w:t>5</w:t>
            </w:r>
          </w:p>
        </w:tc>
      </w:tr>
      <w:tr w:rsidR="00D27DDC" w:rsidRPr="00C337DA" w14:paraId="289C341A" w14:textId="77777777" w:rsidTr="00D27DDC">
        <w:tc>
          <w:tcPr>
            <w:tcW w:w="9180" w:type="dxa"/>
            <w:hideMark/>
          </w:tcPr>
          <w:p w14:paraId="36F6B1B1" w14:textId="77777777" w:rsidR="00D27DDC" w:rsidRPr="004F1591" w:rsidRDefault="00D27DDC" w:rsidP="00D27DDC">
            <w:pPr>
              <w:pStyle w:val="Tablesmalltext"/>
              <w:rPr>
                <w:rFonts w:eastAsia="Times New Roman"/>
              </w:rPr>
            </w:pPr>
            <w:r>
              <w:t>Impact involves disturbance (including regeneration burn escape) or harvesting 10-100 m into area (within gross coupe area) that should have been excluded from harvesting (e.g. threatened species habitat, rainforest, riparian buffer).  Non-compliant waterway crossing disturbs permanent stream &gt;10 m of the crossing.</w:t>
            </w:r>
          </w:p>
        </w:tc>
        <w:tc>
          <w:tcPr>
            <w:tcW w:w="709" w:type="dxa"/>
            <w:hideMark/>
          </w:tcPr>
          <w:p w14:paraId="310BB143" w14:textId="77777777" w:rsidR="00D27DDC" w:rsidRPr="00C337DA" w:rsidRDefault="00D27DDC" w:rsidP="00D27DDC">
            <w:pPr>
              <w:pStyle w:val="Tablesmalltext"/>
              <w:jc w:val="center"/>
              <w:rPr>
                <w:rFonts w:eastAsia="Times New Roman"/>
              </w:rPr>
            </w:pPr>
            <w:r w:rsidRPr="00C337DA">
              <w:t>6</w:t>
            </w:r>
          </w:p>
        </w:tc>
      </w:tr>
      <w:tr w:rsidR="00D27DDC" w:rsidRPr="00C337DA" w14:paraId="59305968" w14:textId="77777777" w:rsidTr="00D27DDC">
        <w:tc>
          <w:tcPr>
            <w:tcW w:w="9180" w:type="dxa"/>
            <w:hideMark/>
          </w:tcPr>
          <w:p w14:paraId="0B879E58" w14:textId="77777777" w:rsidR="00D27DDC" w:rsidRPr="004F1591" w:rsidRDefault="00D27DDC" w:rsidP="00D27DDC">
            <w:pPr>
              <w:pStyle w:val="Tablesmalltext"/>
              <w:rPr>
                <w:rFonts w:eastAsia="Times New Roman"/>
              </w:rPr>
            </w:pPr>
            <w:r>
              <w:t>Impact involves disturbance or harvesting (within gross coupe area) extending &gt;100m into an area that should have been excluded from harvesting (e.g. threatened species habitat, rainforest, riparian buffer) or extends beyond the coupe into an area which should not have been harvested.</w:t>
            </w:r>
          </w:p>
        </w:tc>
        <w:tc>
          <w:tcPr>
            <w:tcW w:w="709" w:type="dxa"/>
            <w:hideMark/>
          </w:tcPr>
          <w:p w14:paraId="6CD241B9" w14:textId="77777777" w:rsidR="00D27DDC" w:rsidRPr="00C337DA" w:rsidRDefault="00D27DDC" w:rsidP="00D27DDC">
            <w:pPr>
              <w:pStyle w:val="Tablesmalltext"/>
              <w:jc w:val="center"/>
              <w:rPr>
                <w:rFonts w:eastAsia="Times New Roman"/>
              </w:rPr>
            </w:pPr>
            <w:r w:rsidRPr="00C337DA">
              <w:t>7</w:t>
            </w:r>
          </w:p>
        </w:tc>
      </w:tr>
    </w:tbl>
    <w:p w14:paraId="2EE2C6B8" w14:textId="77777777" w:rsidR="00D27DDC" w:rsidRDefault="00D27DDC" w:rsidP="00D27DDC">
      <w:pPr>
        <w:pStyle w:val="Appendixsubheading1"/>
      </w:pPr>
      <w:bookmarkStart w:id="205" w:name="_Toc497680387"/>
      <w:bookmarkStart w:id="206" w:name="_Toc497680400"/>
      <w:bookmarkStart w:id="207" w:name="_Toc497856976"/>
      <w:bookmarkStart w:id="208" w:name="_Toc500947595"/>
      <w:bookmarkStart w:id="209" w:name="_Toc500947606"/>
      <w:bookmarkStart w:id="210" w:name="_Toc500947617"/>
      <w:bookmarkStart w:id="211" w:name="_Toc500947756"/>
      <w:bookmarkStart w:id="212" w:name="_Toc500947767"/>
      <w:bookmarkStart w:id="213" w:name="_Toc500947778"/>
      <w:bookmarkStart w:id="214" w:name="_Toc500947789"/>
      <w:bookmarkStart w:id="215" w:name="_Toc500947800"/>
      <w:bookmarkStart w:id="216" w:name="_Toc500947811"/>
      <w:bookmarkStart w:id="217" w:name="_Toc501003424"/>
      <w:bookmarkStart w:id="218" w:name="_Toc501003435"/>
      <w:bookmarkStart w:id="219" w:name="_Toc510699090"/>
      <w:bookmarkStart w:id="220" w:name="_Toc510699101"/>
      <w:bookmarkStart w:id="221" w:name="_Toc510699112"/>
      <w:bookmarkStart w:id="222" w:name="_Toc510732037"/>
      <w:bookmarkStart w:id="223" w:name="_Toc510732048"/>
      <w:bookmarkStart w:id="224" w:name="_Toc511246268"/>
      <w:bookmarkStart w:id="225" w:name="_Toc511246279"/>
      <w:bookmarkStart w:id="226" w:name="_Toc511246290"/>
      <w:bookmarkStart w:id="227" w:name="_Toc511246301"/>
      <w:bookmarkStart w:id="228" w:name="_Toc511246312"/>
      <w:bookmarkStart w:id="229" w:name="_Toc11919247"/>
      <w:bookmarkStart w:id="230" w:name="_Toc26891674"/>
      <w:bookmarkStart w:id="231" w:name="_Toc33202324"/>
      <w:r>
        <w:t>Extent and duration of recovery</w: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p>
    <w:p w14:paraId="4CEE55D0" w14:textId="77777777" w:rsidR="00D27DDC" w:rsidRPr="009E61B3" w:rsidRDefault="00D27DDC" w:rsidP="00D27DDC">
      <w:pPr>
        <w:pStyle w:val="Para0"/>
      </w:pPr>
      <w:r>
        <w:t>The second criterion considers the expected duration of impact and its likelihood of recovery, as per Table C.2.</w:t>
      </w:r>
    </w:p>
    <w:p w14:paraId="6E5EE5A6" w14:textId="77777777" w:rsidR="00D27DDC" w:rsidRDefault="00D27DDC" w:rsidP="00D27DDC">
      <w:pPr>
        <w:pStyle w:val="Caption"/>
      </w:pPr>
      <w:r>
        <w:t>Table C.2 Assessment of the duration and extent of recovery</w:t>
      </w:r>
    </w:p>
    <w:tbl>
      <w:tblPr>
        <w:tblStyle w:val="Table1"/>
        <w:tblW w:w="9776" w:type="dxa"/>
        <w:tblLook w:val="04A0" w:firstRow="1" w:lastRow="0" w:firstColumn="1" w:lastColumn="0" w:noHBand="0" w:noVBand="1"/>
      </w:tblPr>
      <w:tblGrid>
        <w:gridCol w:w="9067"/>
        <w:gridCol w:w="709"/>
      </w:tblGrid>
      <w:tr w:rsidR="00D27DDC" w:rsidRPr="00D27DDC" w14:paraId="3BF21196" w14:textId="77777777" w:rsidTr="00D27D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tcBorders>
              <w:bottom w:val="single" w:sz="4" w:space="0" w:color="808080"/>
            </w:tcBorders>
            <w:shd w:val="clear" w:color="auto" w:fill="E5E5E5" w:themeFill="background2"/>
          </w:tcPr>
          <w:p w14:paraId="499D1062" w14:textId="77777777" w:rsidR="00D27DDC" w:rsidRPr="00D27DDC" w:rsidRDefault="00D27DDC" w:rsidP="00D27DDC">
            <w:pPr>
              <w:pStyle w:val="Tablesmalltext"/>
              <w:rPr>
                <w:color w:val="auto"/>
              </w:rPr>
            </w:pPr>
            <w:r w:rsidRPr="00D27DDC">
              <w:rPr>
                <w:color w:val="auto"/>
              </w:rPr>
              <w:t>Duration and recovery from impacts</w:t>
            </w:r>
          </w:p>
        </w:tc>
        <w:tc>
          <w:tcPr>
            <w:tcW w:w="709" w:type="dxa"/>
            <w:shd w:val="clear" w:color="auto" w:fill="E5E5E5" w:themeFill="background2"/>
          </w:tcPr>
          <w:p w14:paraId="298A5BD7" w14:textId="77777777" w:rsidR="00D27DDC" w:rsidRPr="00D27DDC" w:rsidRDefault="00D27DDC" w:rsidP="00D27DDC">
            <w:pPr>
              <w:pStyle w:val="Tablesmalltext"/>
              <w:cnfStyle w:val="100000000000" w:firstRow="1" w:lastRow="0" w:firstColumn="0" w:lastColumn="0" w:oddVBand="0" w:evenVBand="0" w:oddHBand="0" w:evenHBand="0" w:firstRowFirstColumn="0" w:firstRowLastColumn="0" w:lastRowFirstColumn="0" w:lastRowLastColumn="0"/>
              <w:rPr>
                <w:color w:val="auto"/>
              </w:rPr>
            </w:pPr>
            <w:r w:rsidRPr="00D27DDC">
              <w:rPr>
                <w:color w:val="auto"/>
              </w:rPr>
              <w:t>Score</w:t>
            </w:r>
          </w:p>
        </w:tc>
      </w:tr>
      <w:tr w:rsidR="00D27DDC" w14:paraId="06FEB6C3" w14:textId="77777777" w:rsidTr="00D27DDC">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50997019" w14:textId="77777777" w:rsidR="00D27DDC" w:rsidRDefault="00D27DDC" w:rsidP="00D27DDC">
            <w:pPr>
              <w:pStyle w:val="Tablesmalltext"/>
            </w:pPr>
            <w:r>
              <w:rPr>
                <w:rFonts w:ascii="Calibri" w:hAnsi="Calibri"/>
                <w:color w:val="000000"/>
                <w:sz w:val="18"/>
                <w:szCs w:val="18"/>
              </w:rPr>
              <w:t>Near full recovery from impact or disturbance within 1 year</w:t>
            </w:r>
          </w:p>
        </w:tc>
        <w:tc>
          <w:tcPr>
            <w:tcW w:w="709" w:type="dxa"/>
          </w:tcPr>
          <w:p w14:paraId="296E494C"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1</w:t>
            </w:r>
          </w:p>
        </w:tc>
      </w:tr>
      <w:tr w:rsidR="00D27DDC" w14:paraId="2759004B" w14:textId="77777777" w:rsidTr="00D27DDC">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74B61B9F" w14:textId="77777777" w:rsidR="00D27DDC" w:rsidRPr="00DC2616" w:rsidRDefault="00D27DDC" w:rsidP="00D27DDC">
            <w:pPr>
              <w:pStyle w:val="Tablesmalltext"/>
            </w:pPr>
            <w:r>
              <w:rPr>
                <w:rFonts w:ascii="Calibri" w:hAnsi="Calibri"/>
                <w:color w:val="000000"/>
                <w:sz w:val="18"/>
                <w:szCs w:val="18"/>
              </w:rPr>
              <w:t>Near full recovery from impact or disturbance within 1-3 years</w:t>
            </w:r>
          </w:p>
        </w:tc>
        <w:tc>
          <w:tcPr>
            <w:tcW w:w="709" w:type="dxa"/>
          </w:tcPr>
          <w:p w14:paraId="094E993A"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2</w:t>
            </w:r>
          </w:p>
        </w:tc>
      </w:tr>
      <w:tr w:rsidR="00D27DDC" w14:paraId="0517AD96" w14:textId="77777777" w:rsidTr="00D27DDC">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1C6CF5E5" w14:textId="77777777" w:rsidR="00D27DDC" w:rsidRPr="00DC2616" w:rsidRDefault="00D27DDC" w:rsidP="00D27DDC">
            <w:pPr>
              <w:pStyle w:val="Tablesmalltext"/>
            </w:pPr>
            <w:r>
              <w:rPr>
                <w:rFonts w:ascii="Calibri" w:hAnsi="Calibri"/>
                <w:color w:val="000000"/>
                <w:sz w:val="18"/>
                <w:szCs w:val="18"/>
              </w:rPr>
              <w:t>Near full recovery from impact or disturbance within 3-10 years</w:t>
            </w:r>
          </w:p>
        </w:tc>
        <w:tc>
          <w:tcPr>
            <w:tcW w:w="709" w:type="dxa"/>
          </w:tcPr>
          <w:p w14:paraId="1B2211F5"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3</w:t>
            </w:r>
          </w:p>
        </w:tc>
      </w:tr>
      <w:tr w:rsidR="00D27DDC" w14:paraId="494CB4D1" w14:textId="77777777" w:rsidTr="00D27DDC">
        <w:tc>
          <w:tcPr>
            <w:cnfStyle w:val="001000000000" w:firstRow="0" w:lastRow="0" w:firstColumn="1" w:lastColumn="0" w:oddVBand="0" w:evenVBand="0" w:oddHBand="0" w:evenHBand="0" w:firstRowFirstColumn="0" w:firstRowLastColumn="0" w:lastRowFirstColumn="0" w:lastRowLastColumn="0"/>
            <w:tcW w:w="9067" w:type="dxa"/>
            <w:shd w:val="clear" w:color="auto" w:fill="auto"/>
          </w:tcPr>
          <w:p w14:paraId="786B1534" w14:textId="77777777" w:rsidR="00D27DDC" w:rsidRDefault="00D27DDC" w:rsidP="00D27DDC">
            <w:pPr>
              <w:pStyle w:val="Tablesmalltext"/>
            </w:pPr>
            <w:r>
              <w:rPr>
                <w:rFonts w:ascii="Calibri" w:hAnsi="Calibri"/>
                <w:color w:val="000000"/>
                <w:sz w:val="18"/>
                <w:szCs w:val="18"/>
              </w:rPr>
              <w:t>Near full recovery unlikely within harvest cycle.</w:t>
            </w:r>
          </w:p>
        </w:tc>
        <w:tc>
          <w:tcPr>
            <w:tcW w:w="709" w:type="dxa"/>
          </w:tcPr>
          <w:p w14:paraId="3F195132"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4</w:t>
            </w:r>
          </w:p>
        </w:tc>
      </w:tr>
    </w:tbl>
    <w:p w14:paraId="1EC1A4F9" w14:textId="77777777" w:rsidR="00D27DDC" w:rsidRDefault="00D27DDC" w:rsidP="00D27DDC">
      <w:pPr>
        <w:pStyle w:val="Appendixsubheading1"/>
        <w:keepNext/>
      </w:pPr>
      <w:bookmarkStart w:id="232" w:name="_Toc497680388"/>
      <w:bookmarkStart w:id="233" w:name="_Toc497680401"/>
      <w:bookmarkStart w:id="234" w:name="_Toc497856977"/>
      <w:bookmarkStart w:id="235" w:name="_Toc500947596"/>
      <w:bookmarkStart w:id="236" w:name="_Toc500947607"/>
      <w:bookmarkStart w:id="237" w:name="_Toc500947618"/>
      <w:bookmarkStart w:id="238" w:name="_Toc500947757"/>
      <w:bookmarkStart w:id="239" w:name="_Toc500947768"/>
      <w:bookmarkStart w:id="240" w:name="_Toc500947779"/>
      <w:bookmarkStart w:id="241" w:name="_Toc500947790"/>
      <w:bookmarkStart w:id="242" w:name="_Toc500947801"/>
      <w:bookmarkStart w:id="243" w:name="_Toc500947812"/>
      <w:bookmarkStart w:id="244" w:name="_Toc501003425"/>
      <w:bookmarkStart w:id="245" w:name="_Toc501003436"/>
      <w:bookmarkStart w:id="246" w:name="_Toc510699091"/>
      <w:bookmarkStart w:id="247" w:name="_Toc510699102"/>
      <w:bookmarkStart w:id="248" w:name="_Toc510699113"/>
      <w:bookmarkStart w:id="249" w:name="_Toc510732038"/>
      <w:bookmarkStart w:id="250" w:name="_Toc510732049"/>
      <w:bookmarkStart w:id="251" w:name="_Toc511246269"/>
      <w:bookmarkStart w:id="252" w:name="_Toc511246280"/>
      <w:bookmarkStart w:id="253" w:name="_Toc511246291"/>
      <w:bookmarkStart w:id="254" w:name="_Toc511246302"/>
      <w:bookmarkStart w:id="255" w:name="_Toc511246313"/>
      <w:bookmarkStart w:id="256" w:name="_Toc11919248"/>
      <w:bookmarkStart w:id="257" w:name="_Toc26891675"/>
      <w:bookmarkStart w:id="258" w:name="_Toc33202325"/>
      <w:r>
        <w:lastRenderedPageBreak/>
        <w:t>Asset</w:t>
      </w:r>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p>
    <w:p w14:paraId="05E29F48" w14:textId="77777777" w:rsidR="00D27DDC" w:rsidRDefault="00D27DDC" w:rsidP="00D27DDC">
      <w:pPr>
        <w:pStyle w:val="Para0"/>
      </w:pPr>
      <w:r>
        <w:t>The third criterion (Table C.3) assesses the consequence or significance of the environmental risk resulting from non-compliance with the regulatory framework.</w:t>
      </w:r>
    </w:p>
    <w:p w14:paraId="620530D2" w14:textId="77777777" w:rsidR="00D27DDC" w:rsidRDefault="00D27DDC" w:rsidP="00D27DDC">
      <w:pPr>
        <w:pStyle w:val="Caption"/>
      </w:pPr>
      <w:r>
        <w:t>Table C.3 Asset or value significance score</w:t>
      </w:r>
    </w:p>
    <w:tbl>
      <w:tblPr>
        <w:tblStyle w:val="Table1"/>
        <w:tblW w:w="0" w:type="auto"/>
        <w:tblLook w:val="04A0" w:firstRow="1" w:lastRow="0" w:firstColumn="1" w:lastColumn="0" w:noHBand="0" w:noVBand="1"/>
      </w:tblPr>
      <w:tblGrid>
        <w:gridCol w:w="8784"/>
        <w:gridCol w:w="851"/>
      </w:tblGrid>
      <w:tr w:rsidR="00D27DDC" w:rsidRPr="00D27DDC" w14:paraId="0065F422" w14:textId="77777777" w:rsidTr="00D27D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84" w:type="dxa"/>
            <w:tcBorders>
              <w:bottom w:val="single" w:sz="4" w:space="0" w:color="808080"/>
            </w:tcBorders>
            <w:shd w:val="clear" w:color="auto" w:fill="E5E5E5" w:themeFill="background2"/>
          </w:tcPr>
          <w:p w14:paraId="7C2ED3CF" w14:textId="77777777" w:rsidR="00D27DDC" w:rsidRPr="00D27DDC" w:rsidRDefault="00D27DDC" w:rsidP="00D27DDC">
            <w:pPr>
              <w:pStyle w:val="Tablesmalltext"/>
              <w:rPr>
                <w:color w:val="auto"/>
              </w:rPr>
            </w:pPr>
            <w:r w:rsidRPr="00D27DDC">
              <w:rPr>
                <w:color w:val="auto"/>
              </w:rPr>
              <w:t>Asset or value</w:t>
            </w:r>
          </w:p>
        </w:tc>
        <w:tc>
          <w:tcPr>
            <w:tcW w:w="851" w:type="dxa"/>
            <w:shd w:val="clear" w:color="auto" w:fill="E5E5E5" w:themeFill="background2"/>
          </w:tcPr>
          <w:p w14:paraId="2B809F24" w14:textId="77777777" w:rsidR="00D27DDC" w:rsidRPr="00D27DDC" w:rsidRDefault="00D27DDC" w:rsidP="00D27DDC">
            <w:pPr>
              <w:pStyle w:val="Tablesmalltext"/>
              <w:jc w:val="center"/>
              <w:cnfStyle w:val="100000000000" w:firstRow="1" w:lastRow="0" w:firstColumn="0" w:lastColumn="0" w:oddVBand="0" w:evenVBand="0" w:oddHBand="0" w:evenHBand="0" w:firstRowFirstColumn="0" w:firstRowLastColumn="0" w:lastRowFirstColumn="0" w:lastRowLastColumn="0"/>
              <w:rPr>
                <w:color w:val="auto"/>
              </w:rPr>
            </w:pPr>
            <w:r w:rsidRPr="00D27DDC">
              <w:rPr>
                <w:color w:val="auto"/>
              </w:rPr>
              <w:t>Score</w:t>
            </w:r>
          </w:p>
        </w:tc>
      </w:tr>
      <w:tr w:rsidR="00D27DDC" w14:paraId="43824644" w14:textId="77777777" w:rsidTr="00D27DDC">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62537DD6" w14:textId="77777777" w:rsidR="00D27DDC" w:rsidRDefault="00D27DDC" w:rsidP="00D27DDC">
            <w:pPr>
              <w:pStyle w:val="Tablesmalltext"/>
            </w:pPr>
            <w:r>
              <w:t>General forest</w:t>
            </w:r>
          </w:p>
        </w:tc>
        <w:tc>
          <w:tcPr>
            <w:tcW w:w="851" w:type="dxa"/>
          </w:tcPr>
          <w:p w14:paraId="380F7181"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1</w:t>
            </w:r>
          </w:p>
        </w:tc>
      </w:tr>
      <w:tr w:rsidR="00D27DDC" w14:paraId="5CC132DB" w14:textId="77777777" w:rsidTr="00D27DDC">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77CE87D3" w14:textId="77777777" w:rsidR="00D27DDC" w:rsidRDefault="00D27DDC" w:rsidP="00D27DDC">
            <w:pPr>
              <w:pStyle w:val="Tablesmalltext"/>
            </w:pPr>
            <w:r>
              <w:t>Filters</w:t>
            </w:r>
          </w:p>
        </w:tc>
        <w:tc>
          <w:tcPr>
            <w:tcW w:w="851" w:type="dxa"/>
          </w:tcPr>
          <w:p w14:paraId="493DA3C9"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2</w:t>
            </w:r>
          </w:p>
        </w:tc>
      </w:tr>
      <w:tr w:rsidR="00D27DDC" w14:paraId="59979315" w14:textId="77777777" w:rsidTr="00D27DDC">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7AC8D76B" w14:textId="77777777" w:rsidR="00D27DDC" w:rsidRDefault="00D27DDC" w:rsidP="00D27DDC">
            <w:pPr>
              <w:pStyle w:val="Tablesmalltext"/>
            </w:pPr>
            <w:r>
              <w:t>Landscape buffers, representative Special Protection Zones (based on modelled values)</w:t>
            </w:r>
          </w:p>
        </w:tc>
        <w:tc>
          <w:tcPr>
            <w:tcW w:w="851" w:type="dxa"/>
          </w:tcPr>
          <w:p w14:paraId="05FD183D"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3</w:t>
            </w:r>
          </w:p>
        </w:tc>
      </w:tr>
      <w:tr w:rsidR="00D27DDC" w14:paraId="1D69CB1D" w14:textId="77777777" w:rsidTr="00D27DDC">
        <w:tc>
          <w:tcPr>
            <w:cnfStyle w:val="001000000000" w:firstRow="0" w:lastRow="0" w:firstColumn="1" w:lastColumn="0" w:oddVBand="0" w:evenVBand="0" w:oddHBand="0" w:evenHBand="0" w:firstRowFirstColumn="0" w:firstRowLastColumn="0" w:lastRowFirstColumn="0" w:lastRowLastColumn="0"/>
            <w:tcW w:w="8784" w:type="dxa"/>
            <w:shd w:val="clear" w:color="auto" w:fill="auto"/>
          </w:tcPr>
          <w:p w14:paraId="26F26BF1" w14:textId="77777777" w:rsidR="00D27DDC" w:rsidRPr="00DC2616" w:rsidRDefault="00D27DDC" w:rsidP="00D27DDC">
            <w:pPr>
              <w:pStyle w:val="Tablesmalltext"/>
            </w:pPr>
            <w:r w:rsidRPr="005B376B">
              <w:t>Riparian Buffers, Rainforest and Rainforest Buffers, Special Protection Zones; other protected forest values such as threatened species habitat; National Parks or other formally acknowledged reserves.</w:t>
            </w:r>
          </w:p>
        </w:tc>
        <w:tc>
          <w:tcPr>
            <w:tcW w:w="851" w:type="dxa"/>
          </w:tcPr>
          <w:p w14:paraId="3D23B1D3"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4</w:t>
            </w:r>
          </w:p>
        </w:tc>
      </w:tr>
    </w:tbl>
    <w:p w14:paraId="7EA1DABE" w14:textId="77777777" w:rsidR="00D27DDC" w:rsidRDefault="00D27DDC" w:rsidP="00D27DDC">
      <w:pPr>
        <w:pStyle w:val="Appendixsubheading1"/>
      </w:pPr>
      <w:bookmarkStart w:id="259" w:name="_Toc425495670"/>
      <w:bookmarkStart w:id="260" w:name="_Toc425495683"/>
      <w:bookmarkStart w:id="261" w:name="_Toc426093519"/>
      <w:bookmarkStart w:id="262" w:name="_Toc426093532"/>
      <w:bookmarkStart w:id="263" w:name="_Toc426093545"/>
      <w:bookmarkStart w:id="264" w:name="_Toc426122834"/>
      <w:bookmarkStart w:id="265" w:name="_Toc426125974"/>
      <w:bookmarkStart w:id="266" w:name="_Toc426125987"/>
      <w:bookmarkStart w:id="267" w:name="_Toc427153742"/>
      <w:bookmarkStart w:id="268" w:name="_Toc427153755"/>
      <w:bookmarkStart w:id="269" w:name="_Toc427153768"/>
      <w:bookmarkStart w:id="270" w:name="_Toc435173782"/>
      <w:bookmarkStart w:id="271" w:name="_Toc435173790"/>
      <w:bookmarkStart w:id="272" w:name="_Toc435173798"/>
      <w:bookmarkStart w:id="273" w:name="_Toc435173806"/>
      <w:bookmarkStart w:id="274" w:name="_Toc435173814"/>
      <w:bookmarkStart w:id="275" w:name="_Toc435173822"/>
      <w:bookmarkStart w:id="276" w:name="_Toc436207703"/>
      <w:bookmarkStart w:id="277" w:name="_Toc436207711"/>
      <w:bookmarkStart w:id="278" w:name="_Toc436207719"/>
      <w:bookmarkStart w:id="279" w:name="_Toc436207727"/>
      <w:bookmarkStart w:id="280" w:name="_Toc436207735"/>
      <w:bookmarkStart w:id="281" w:name="_Toc436211927"/>
      <w:bookmarkStart w:id="282" w:name="_Toc436211934"/>
      <w:bookmarkStart w:id="283" w:name="_Toc436248040"/>
      <w:bookmarkStart w:id="284" w:name="_Toc436248047"/>
      <w:bookmarkStart w:id="285" w:name="_Toc436248054"/>
      <w:bookmarkStart w:id="286" w:name="_Toc436399696"/>
      <w:bookmarkStart w:id="287" w:name="_Toc436399703"/>
      <w:bookmarkStart w:id="288" w:name="_Toc439255375"/>
      <w:bookmarkStart w:id="289" w:name="_Toc439255385"/>
      <w:bookmarkStart w:id="290" w:name="_Toc439255395"/>
      <w:bookmarkStart w:id="291" w:name="_Toc439259072"/>
      <w:bookmarkStart w:id="292" w:name="_Toc439259082"/>
      <w:bookmarkStart w:id="293" w:name="_Toc439260485"/>
      <w:bookmarkStart w:id="294" w:name="_Toc439260495"/>
      <w:bookmarkStart w:id="295" w:name="_Toc444146109"/>
      <w:bookmarkStart w:id="296" w:name="_Toc444146119"/>
      <w:bookmarkStart w:id="297" w:name="_Toc444146129"/>
      <w:bookmarkStart w:id="298" w:name="_Toc444599193"/>
      <w:bookmarkStart w:id="299" w:name="_Toc444599201"/>
      <w:bookmarkStart w:id="300" w:name="_Toc444599209"/>
      <w:bookmarkStart w:id="301" w:name="_Toc444599251"/>
      <w:bookmarkStart w:id="302" w:name="_Toc444599259"/>
      <w:bookmarkStart w:id="303" w:name="_Toc444601528"/>
      <w:bookmarkStart w:id="304" w:name="_Toc444701284"/>
      <w:bookmarkStart w:id="305" w:name="_Toc444701296"/>
      <w:bookmarkStart w:id="306" w:name="_Toc444701308"/>
      <w:bookmarkStart w:id="307" w:name="_Toc444701352"/>
      <w:bookmarkStart w:id="308" w:name="_Toc444701364"/>
      <w:bookmarkStart w:id="309" w:name="_Toc496126128"/>
      <w:bookmarkStart w:id="310" w:name="_Toc496126140"/>
      <w:bookmarkStart w:id="311" w:name="_Toc496126152"/>
      <w:bookmarkStart w:id="312" w:name="_Toc496126256"/>
      <w:bookmarkStart w:id="313" w:name="_Toc496126268"/>
      <w:bookmarkStart w:id="314" w:name="_Toc496126280"/>
      <w:bookmarkStart w:id="315" w:name="_Toc496126302"/>
      <w:bookmarkStart w:id="316" w:name="_Toc496126314"/>
      <w:bookmarkStart w:id="317" w:name="_Toc496126326"/>
      <w:bookmarkStart w:id="318" w:name="_Toc497680389"/>
      <w:bookmarkStart w:id="319" w:name="_Toc497680402"/>
      <w:bookmarkStart w:id="320" w:name="_Toc497856978"/>
      <w:bookmarkStart w:id="321" w:name="_Toc500947597"/>
      <w:bookmarkStart w:id="322" w:name="_Toc500947608"/>
      <w:bookmarkStart w:id="323" w:name="_Toc500947619"/>
      <w:bookmarkStart w:id="324" w:name="_Toc500947758"/>
      <w:bookmarkStart w:id="325" w:name="_Toc500947769"/>
      <w:bookmarkStart w:id="326" w:name="_Toc500947780"/>
      <w:bookmarkStart w:id="327" w:name="_Toc500947791"/>
      <w:bookmarkStart w:id="328" w:name="_Toc500947802"/>
      <w:bookmarkStart w:id="329" w:name="_Toc500947813"/>
      <w:bookmarkStart w:id="330" w:name="_Toc501003426"/>
      <w:bookmarkStart w:id="331" w:name="_Toc501003437"/>
      <w:bookmarkStart w:id="332" w:name="_Toc510699092"/>
      <w:bookmarkStart w:id="333" w:name="_Toc510699103"/>
      <w:bookmarkStart w:id="334" w:name="_Toc510699114"/>
      <w:bookmarkStart w:id="335" w:name="_Toc510732039"/>
      <w:bookmarkStart w:id="336" w:name="_Toc510732050"/>
      <w:bookmarkStart w:id="337" w:name="_Toc511246270"/>
      <w:bookmarkStart w:id="338" w:name="_Toc511246281"/>
      <w:bookmarkStart w:id="339" w:name="_Toc511246292"/>
      <w:bookmarkStart w:id="340" w:name="_Toc511246303"/>
      <w:bookmarkStart w:id="341" w:name="_Toc511246314"/>
      <w:bookmarkStart w:id="342" w:name="_Toc11919249"/>
      <w:bookmarkStart w:id="343" w:name="_Toc26891676"/>
      <w:bookmarkStart w:id="344" w:name="_Toc33202326"/>
      <w:r>
        <w:t xml:space="preserve">Overall environmental </w:t>
      </w:r>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r>
        <w:t>risk</w:t>
      </w:r>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2251A89B" w14:textId="77777777" w:rsidR="00D27DDC" w:rsidRDefault="00D27DDC" w:rsidP="00D27DDC">
      <w:pPr>
        <w:pStyle w:val="Para0"/>
      </w:pPr>
      <w:r>
        <w:t xml:space="preserve">Overall environmental risk associated the non-compliance issue is taken as the sum scores for the criteria in Tables C.1-C.3. This is ranked in five classes as per Table C.4. </w:t>
      </w:r>
    </w:p>
    <w:p w14:paraId="31BE0645" w14:textId="77777777" w:rsidR="00D27DDC" w:rsidRDefault="00D27DDC" w:rsidP="00D27DDC">
      <w:pPr>
        <w:pStyle w:val="Caption"/>
        <w:keepNext w:val="0"/>
      </w:pPr>
      <w:r>
        <w:t>Table C.4 Ranking of EIA scores</w:t>
      </w:r>
    </w:p>
    <w:tbl>
      <w:tblPr>
        <w:tblStyle w:val="Table1"/>
        <w:tblW w:w="0" w:type="auto"/>
        <w:tblLook w:val="04A0" w:firstRow="1" w:lastRow="0" w:firstColumn="1" w:lastColumn="0" w:noHBand="0" w:noVBand="1"/>
      </w:tblPr>
      <w:tblGrid>
        <w:gridCol w:w="2405"/>
        <w:gridCol w:w="2268"/>
      </w:tblGrid>
      <w:tr w:rsidR="00D27DDC" w:rsidRPr="00D27DDC" w14:paraId="0D27FD23" w14:textId="77777777" w:rsidTr="00D27D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left w:val="single" w:sz="4" w:space="0" w:color="auto"/>
              <w:bottom w:val="single" w:sz="4" w:space="0" w:color="auto"/>
            </w:tcBorders>
            <w:shd w:val="clear" w:color="auto" w:fill="E5E5E5" w:themeFill="background2"/>
          </w:tcPr>
          <w:p w14:paraId="6203553D" w14:textId="77777777" w:rsidR="00D27DDC" w:rsidRPr="00D27DDC" w:rsidRDefault="00D27DDC" w:rsidP="00D27DDC">
            <w:pPr>
              <w:pStyle w:val="Tablesmalltext"/>
              <w:rPr>
                <w:color w:val="auto"/>
              </w:rPr>
            </w:pPr>
            <w:r w:rsidRPr="00D27DDC">
              <w:rPr>
                <w:color w:val="auto"/>
              </w:rPr>
              <w:t>EIA class</w:t>
            </w:r>
          </w:p>
        </w:tc>
        <w:tc>
          <w:tcPr>
            <w:tcW w:w="2268" w:type="dxa"/>
            <w:tcBorders>
              <w:top w:val="single" w:sz="4" w:space="0" w:color="auto"/>
              <w:bottom w:val="single" w:sz="4" w:space="0" w:color="auto"/>
              <w:right w:val="single" w:sz="4" w:space="0" w:color="auto"/>
            </w:tcBorders>
            <w:shd w:val="clear" w:color="auto" w:fill="E5E5E5" w:themeFill="background2"/>
          </w:tcPr>
          <w:p w14:paraId="34E9ECA3" w14:textId="77777777" w:rsidR="00D27DDC" w:rsidRPr="00D27DDC" w:rsidRDefault="00D27DDC" w:rsidP="00D27DDC">
            <w:pPr>
              <w:pStyle w:val="Tablesmalltext"/>
              <w:jc w:val="center"/>
              <w:cnfStyle w:val="100000000000" w:firstRow="1" w:lastRow="0" w:firstColumn="0" w:lastColumn="0" w:oddVBand="0" w:evenVBand="0" w:oddHBand="0" w:evenHBand="0" w:firstRowFirstColumn="0" w:firstRowLastColumn="0" w:lastRowFirstColumn="0" w:lastRowLastColumn="0"/>
              <w:rPr>
                <w:color w:val="auto"/>
              </w:rPr>
            </w:pPr>
            <w:r w:rsidRPr="00D27DDC">
              <w:rPr>
                <w:color w:val="auto"/>
              </w:rPr>
              <w:t>Overall score</w:t>
            </w:r>
          </w:p>
        </w:tc>
      </w:tr>
      <w:tr w:rsidR="00D27DDC" w14:paraId="02557ADC" w14:textId="77777777" w:rsidTr="00D27DDC">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tcBorders>
            <w:shd w:val="clear" w:color="auto" w:fill="auto"/>
          </w:tcPr>
          <w:p w14:paraId="5226EBF9" w14:textId="77777777" w:rsidR="00D27DDC" w:rsidRDefault="00D27DDC" w:rsidP="00D27DDC">
            <w:pPr>
              <w:pStyle w:val="Tablesmalltext"/>
            </w:pPr>
            <w:r>
              <w:t>Negligible</w:t>
            </w:r>
          </w:p>
        </w:tc>
        <w:tc>
          <w:tcPr>
            <w:tcW w:w="2268" w:type="dxa"/>
            <w:tcBorders>
              <w:top w:val="single" w:sz="4" w:space="0" w:color="auto"/>
            </w:tcBorders>
          </w:tcPr>
          <w:p w14:paraId="3A379B81"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3-4</w:t>
            </w:r>
          </w:p>
        </w:tc>
      </w:tr>
      <w:tr w:rsidR="00D27DDC" w14:paraId="3A157F6A" w14:textId="77777777" w:rsidTr="00D27DDC">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2456F8FB" w14:textId="77777777" w:rsidR="00D27DDC" w:rsidRDefault="00D27DDC" w:rsidP="00D27DDC">
            <w:pPr>
              <w:pStyle w:val="Tablesmalltext"/>
            </w:pPr>
            <w:r>
              <w:t>Minor</w:t>
            </w:r>
          </w:p>
        </w:tc>
        <w:tc>
          <w:tcPr>
            <w:tcW w:w="2268" w:type="dxa"/>
          </w:tcPr>
          <w:p w14:paraId="379A6B5C"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5-7</w:t>
            </w:r>
          </w:p>
        </w:tc>
      </w:tr>
      <w:tr w:rsidR="00D27DDC" w14:paraId="4A423734" w14:textId="77777777" w:rsidTr="00D27DDC">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65C5DAED" w14:textId="77777777" w:rsidR="00D27DDC" w:rsidRDefault="00D27DDC" w:rsidP="00D27DDC">
            <w:pPr>
              <w:pStyle w:val="Tablesmalltext"/>
            </w:pPr>
            <w:r>
              <w:t>Moderate</w:t>
            </w:r>
          </w:p>
        </w:tc>
        <w:tc>
          <w:tcPr>
            <w:tcW w:w="2268" w:type="dxa"/>
          </w:tcPr>
          <w:p w14:paraId="726C92A2"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8-10</w:t>
            </w:r>
          </w:p>
        </w:tc>
      </w:tr>
      <w:tr w:rsidR="00D27DDC" w14:paraId="7A0A7EB3" w14:textId="77777777" w:rsidTr="00D27DDC">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694CA486" w14:textId="77777777" w:rsidR="00D27DDC" w:rsidRPr="00DC2616" w:rsidRDefault="00D27DDC" w:rsidP="00D27DDC">
            <w:pPr>
              <w:pStyle w:val="Tablesmalltext"/>
            </w:pPr>
            <w:r>
              <w:t>Major</w:t>
            </w:r>
          </w:p>
        </w:tc>
        <w:tc>
          <w:tcPr>
            <w:tcW w:w="2268" w:type="dxa"/>
          </w:tcPr>
          <w:p w14:paraId="3C509254"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11-13</w:t>
            </w:r>
          </w:p>
        </w:tc>
      </w:tr>
      <w:tr w:rsidR="00D27DDC" w14:paraId="4443E337" w14:textId="77777777" w:rsidTr="00D27DDC">
        <w:tc>
          <w:tcPr>
            <w:cnfStyle w:val="001000000000" w:firstRow="0" w:lastRow="0" w:firstColumn="1" w:lastColumn="0" w:oddVBand="0" w:evenVBand="0" w:oddHBand="0" w:evenHBand="0" w:firstRowFirstColumn="0" w:firstRowLastColumn="0" w:lastRowFirstColumn="0" w:lastRowLastColumn="0"/>
            <w:tcW w:w="2405" w:type="dxa"/>
            <w:shd w:val="clear" w:color="auto" w:fill="auto"/>
          </w:tcPr>
          <w:p w14:paraId="7FAB7F3A" w14:textId="77777777" w:rsidR="00D27DDC" w:rsidRDefault="00D27DDC" w:rsidP="00D27DDC">
            <w:pPr>
              <w:pStyle w:val="Tablesmalltext"/>
            </w:pPr>
            <w:r>
              <w:t>Severe</w:t>
            </w:r>
          </w:p>
        </w:tc>
        <w:tc>
          <w:tcPr>
            <w:tcW w:w="2268" w:type="dxa"/>
          </w:tcPr>
          <w:p w14:paraId="713CCAFB" w14:textId="77777777" w:rsidR="00D27DDC" w:rsidRDefault="00D27DDC" w:rsidP="00D27DDC">
            <w:pPr>
              <w:pStyle w:val="Tablesmalltext"/>
              <w:jc w:val="center"/>
              <w:cnfStyle w:val="000000000000" w:firstRow="0" w:lastRow="0" w:firstColumn="0" w:lastColumn="0" w:oddVBand="0" w:evenVBand="0" w:oddHBand="0" w:evenHBand="0" w:firstRowFirstColumn="0" w:firstRowLastColumn="0" w:lastRowFirstColumn="0" w:lastRowLastColumn="0"/>
            </w:pPr>
            <w:r>
              <w:t>14-15</w:t>
            </w:r>
          </w:p>
        </w:tc>
      </w:tr>
    </w:tbl>
    <w:p w14:paraId="7B707B56" w14:textId="77777777" w:rsidR="00D27DDC" w:rsidRPr="005B376B" w:rsidRDefault="00D27DDC" w:rsidP="00D27DDC">
      <w:pPr>
        <w:pStyle w:val="Para0"/>
      </w:pPr>
    </w:p>
    <w:p w14:paraId="25388196" w14:textId="77777777" w:rsidR="00D27DDC" w:rsidRDefault="00D27DDC" w:rsidP="00D27DDC">
      <w:pPr>
        <w:pStyle w:val="Para0"/>
      </w:pPr>
    </w:p>
    <w:p w14:paraId="03D02E57" w14:textId="77777777" w:rsidR="00D27DDC" w:rsidRDefault="00D27DDC" w:rsidP="00D27DDC">
      <w:pPr>
        <w:pStyle w:val="Heading9"/>
      </w:pPr>
      <w:bookmarkStart w:id="345" w:name="_Ref21343207"/>
      <w:bookmarkStart w:id="346" w:name="_Toc26891677"/>
      <w:bookmarkStart w:id="347" w:name="_Toc33202327"/>
      <w:r w:rsidRPr="003468F4">
        <w:lastRenderedPageBreak/>
        <w:t>Incidents leading to assessments of non-</w:t>
      </w:r>
      <w:r>
        <w:t>conformance</w:t>
      </w:r>
      <w:r w:rsidRPr="003468F4">
        <w:t xml:space="preserve"> with audit criteria and the regulatory framework for timber harvesting</w:t>
      </w:r>
      <w:bookmarkEnd w:id="345"/>
      <w:bookmarkEnd w:id="346"/>
      <w:bookmarkEnd w:id="347"/>
    </w:p>
    <w:p w14:paraId="648E60B9" w14:textId="77777777" w:rsidR="00D27DDC" w:rsidRPr="003468F4" w:rsidRDefault="00D27DDC" w:rsidP="00D27DDC">
      <w:pPr>
        <w:pStyle w:val="Para0"/>
      </w:pPr>
      <w:r>
        <w:t>This appendix describes the incidents resulting in non-conformances with audit criteria and their link to the regulatory framework for timber harvesting. The analysis only considers non-conformances with potential environmental impact.</w:t>
      </w:r>
    </w:p>
    <w:p w14:paraId="45217DFC" w14:textId="77777777" w:rsidR="00D27DDC" w:rsidRDefault="00D27DDC" w:rsidP="00D27DDC">
      <w:pPr>
        <w:pStyle w:val="Appendixsubheading1"/>
      </w:pPr>
      <w:bookmarkStart w:id="348" w:name="_Toc26891678"/>
      <w:bookmarkStart w:id="349" w:name="_Toc33202328"/>
      <w:r>
        <w:t>Harvesting coupes</w:t>
      </w:r>
      <w:bookmarkEnd w:id="348"/>
      <w:bookmarkEnd w:id="349"/>
    </w:p>
    <w:tbl>
      <w:tblPr>
        <w:tblW w:w="9982" w:type="dxa"/>
        <w:tblInd w:w="-5"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579"/>
        <w:gridCol w:w="1406"/>
        <w:gridCol w:w="754"/>
        <w:gridCol w:w="4349"/>
        <w:gridCol w:w="1731"/>
        <w:gridCol w:w="1163"/>
      </w:tblGrid>
      <w:tr w:rsidR="00D27DDC" w:rsidRPr="00D27DDC" w14:paraId="191FF03E" w14:textId="77777777" w:rsidTr="00523E3C">
        <w:trPr>
          <w:trHeight w:val="300"/>
          <w:tblHeader/>
        </w:trPr>
        <w:tc>
          <w:tcPr>
            <w:tcW w:w="579" w:type="dxa"/>
            <w:shd w:val="clear" w:color="auto" w:fill="E5E5E5" w:themeFill="background2"/>
            <w:noWrap/>
            <w:vAlign w:val="center"/>
            <w:hideMark/>
          </w:tcPr>
          <w:p w14:paraId="30EB1227" w14:textId="77777777" w:rsidR="00D27DDC" w:rsidRPr="00D27DDC" w:rsidRDefault="00D27DDC" w:rsidP="00D27DDC">
            <w:pPr>
              <w:pStyle w:val="Tablesmalltext"/>
              <w:jc w:val="center"/>
              <w:rPr>
                <w:rFonts w:eastAsia="Times New Roman"/>
                <w:b/>
                <w:lang w:val="en-AU" w:eastAsia="en-AU"/>
              </w:rPr>
            </w:pPr>
            <w:r w:rsidRPr="00D27DDC">
              <w:rPr>
                <w:rFonts w:eastAsia="Times New Roman"/>
                <w:b/>
                <w:lang w:val="en-AU" w:eastAsia="en-AU"/>
              </w:rPr>
              <w:t>#</w:t>
            </w:r>
          </w:p>
        </w:tc>
        <w:tc>
          <w:tcPr>
            <w:tcW w:w="1406" w:type="dxa"/>
            <w:shd w:val="clear" w:color="auto" w:fill="E5E5E5" w:themeFill="background2"/>
            <w:noWrap/>
            <w:vAlign w:val="center"/>
            <w:hideMark/>
          </w:tcPr>
          <w:p w14:paraId="45242155" w14:textId="77777777" w:rsidR="00D27DDC" w:rsidRPr="00D27DDC" w:rsidRDefault="00D27DDC" w:rsidP="00D27DDC">
            <w:pPr>
              <w:pStyle w:val="Tablesmalltext"/>
              <w:rPr>
                <w:rFonts w:eastAsia="Times New Roman"/>
                <w:b/>
                <w:lang w:val="en-AU" w:eastAsia="en-AU"/>
              </w:rPr>
            </w:pPr>
            <w:r w:rsidRPr="00D27DDC">
              <w:rPr>
                <w:rFonts w:eastAsia="Times New Roman"/>
                <w:b/>
                <w:lang w:val="en-AU" w:eastAsia="en-AU"/>
              </w:rPr>
              <w:t>Name</w:t>
            </w:r>
          </w:p>
        </w:tc>
        <w:tc>
          <w:tcPr>
            <w:tcW w:w="754" w:type="dxa"/>
            <w:shd w:val="clear" w:color="auto" w:fill="E5E5E5" w:themeFill="background2"/>
            <w:vAlign w:val="center"/>
          </w:tcPr>
          <w:p w14:paraId="161F9871" w14:textId="77777777" w:rsidR="00D27DDC" w:rsidRPr="00D27DDC" w:rsidRDefault="00D27DDC" w:rsidP="00D27DDC">
            <w:pPr>
              <w:pStyle w:val="Tablesmalltext"/>
              <w:jc w:val="center"/>
              <w:rPr>
                <w:rFonts w:eastAsia="Times New Roman"/>
                <w:b/>
                <w:vertAlign w:val="superscript"/>
                <w:lang w:val="en-AU" w:eastAsia="en-AU"/>
              </w:rPr>
            </w:pPr>
            <w:r w:rsidRPr="00D27DDC">
              <w:rPr>
                <w:rFonts w:eastAsia="Times New Roman"/>
                <w:b/>
                <w:lang w:val="en-AU" w:eastAsia="en-AU"/>
              </w:rPr>
              <w:t>Area</w:t>
            </w:r>
            <w:r w:rsidRPr="00D27DDC">
              <w:rPr>
                <w:rFonts w:eastAsia="Times New Roman"/>
                <w:b/>
                <w:vertAlign w:val="superscript"/>
                <w:lang w:val="en-AU" w:eastAsia="en-AU"/>
              </w:rPr>
              <w:t>1</w:t>
            </w:r>
          </w:p>
        </w:tc>
        <w:tc>
          <w:tcPr>
            <w:tcW w:w="4349" w:type="dxa"/>
            <w:shd w:val="clear" w:color="auto" w:fill="E5E5E5" w:themeFill="background2"/>
            <w:vAlign w:val="center"/>
          </w:tcPr>
          <w:p w14:paraId="5527E35E" w14:textId="77777777" w:rsidR="00D27DDC" w:rsidRPr="00D27DDC" w:rsidRDefault="00D27DDC" w:rsidP="00D27DDC">
            <w:pPr>
              <w:pStyle w:val="Tablesmalltext"/>
              <w:rPr>
                <w:rFonts w:eastAsia="Times New Roman"/>
                <w:b/>
                <w:vertAlign w:val="superscript"/>
                <w:lang w:val="en-AU" w:eastAsia="en-AU"/>
              </w:rPr>
            </w:pPr>
            <w:r w:rsidRPr="00D27DDC">
              <w:rPr>
                <w:rFonts w:eastAsia="Times New Roman"/>
                <w:b/>
                <w:lang w:val="en-AU" w:eastAsia="en-AU"/>
              </w:rPr>
              <w:t>Non-compliance incident resulting in actual or potential environmental impact (EI)</w:t>
            </w:r>
          </w:p>
        </w:tc>
        <w:tc>
          <w:tcPr>
            <w:tcW w:w="1731" w:type="dxa"/>
            <w:shd w:val="clear" w:color="auto" w:fill="E5E5E5" w:themeFill="background2"/>
            <w:vAlign w:val="center"/>
          </w:tcPr>
          <w:p w14:paraId="764A6F74" w14:textId="77777777" w:rsidR="00D27DDC" w:rsidRPr="00D27DDC" w:rsidRDefault="00D27DDC" w:rsidP="00D27DDC">
            <w:pPr>
              <w:pStyle w:val="Tablesmalltext"/>
              <w:jc w:val="center"/>
              <w:rPr>
                <w:rFonts w:eastAsia="Times New Roman"/>
                <w:b/>
                <w:lang w:val="en-AU" w:eastAsia="en-AU"/>
              </w:rPr>
            </w:pPr>
            <w:r w:rsidRPr="00D27DDC">
              <w:rPr>
                <w:rFonts w:eastAsia="Times New Roman"/>
                <w:b/>
                <w:lang w:val="en-AU" w:eastAsia="en-AU"/>
              </w:rPr>
              <w:t>Audit criteria</w:t>
            </w:r>
            <w:r w:rsidRPr="00D27DDC">
              <w:rPr>
                <w:rFonts w:eastAsia="Times New Roman"/>
                <w:b/>
                <w:vertAlign w:val="superscript"/>
                <w:lang w:val="en-AU" w:eastAsia="en-AU"/>
              </w:rPr>
              <w:t>2</w:t>
            </w:r>
            <w:r w:rsidRPr="00D27DDC">
              <w:rPr>
                <w:rFonts w:eastAsia="Times New Roman"/>
                <w:b/>
                <w:lang w:val="en-AU" w:eastAsia="en-AU"/>
              </w:rPr>
              <w:t xml:space="preserve"> | Compliance element</w:t>
            </w:r>
            <w:r w:rsidRPr="00D27DDC">
              <w:rPr>
                <w:rFonts w:eastAsia="Times New Roman"/>
                <w:b/>
                <w:vertAlign w:val="superscript"/>
                <w:lang w:val="en-AU" w:eastAsia="en-AU"/>
              </w:rPr>
              <w:t>3</w:t>
            </w:r>
          </w:p>
        </w:tc>
        <w:tc>
          <w:tcPr>
            <w:tcW w:w="1163" w:type="dxa"/>
            <w:shd w:val="clear" w:color="auto" w:fill="E5E5E5" w:themeFill="background2"/>
            <w:vAlign w:val="center"/>
          </w:tcPr>
          <w:p w14:paraId="20A29AF8" w14:textId="77777777" w:rsidR="00D27DDC" w:rsidRPr="00D27DDC" w:rsidRDefault="00D27DDC" w:rsidP="00D27DDC">
            <w:pPr>
              <w:pStyle w:val="Tablesmalltext"/>
              <w:jc w:val="center"/>
              <w:rPr>
                <w:rFonts w:eastAsia="Times New Roman"/>
                <w:b/>
                <w:vertAlign w:val="superscript"/>
                <w:lang w:val="en-AU" w:eastAsia="en-AU"/>
              </w:rPr>
            </w:pPr>
            <w:r w:rsidRPr="00D27DDC">
              <w:rPr>
                <w:rFonts w:eastAsia="Times New Roman"/>
                <w:b/>
                <w:lang w:val="en-AU" w:eastAsia="en-AU"/>
              </w:rPr>
              <w:t>EI rating</w:t>
            </w:r>
            <w:r w:rsidRPr="00D27DDC">
              <w:rPr>
                <w:rFonts w:eastAsia="Times New Roman"/>
                <w:b/>
                <w:vertAlign w:val="superscript"/>
                <w:lang w:val="en-AU" w:eastAsia="en-AU"/>
              </w:rPr>
              <w:t>4</w:t>
            </w:r>
          </w:p>
        </w:tc>
      </w:tr>
      <w:tr w:rsidR="00D27DDC" w:rsidRPr="00A95DC0" w14:paraId="42ED9C39" w14:textId="77777777" w:rsidTr="00523E3C">
        <w:tc>
          <w:tcPr>
            <w:tcW w:w="579" w:type="dxa"/>
            <w:shd w:val="clear" w:color="auto" w:fill="auto"/>
            <w:noWrap/>
            <w:hideMark/>
          </w:tcPr>
          <w:p w14:paraId="79502D52"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w:t>
            </w:r>
          </w:p>
        </w:tc>
        <w:tc>
          <w:tcPr>
            <w:tcW w:w="1406" w:type="dxa"/>
            <w:shd w:val="clear" w:color="auto" w:fill="auto"/>
            <w:noWrap/>
          </w:tcPr>
          <w:p w14:paraId="13E7A8D7" w14:textId="77777777" w:rsidR="00D27DDC" w:rsidRPr="008B4F4B" w:rsidRDefault="00D27DDC" w:rsidP="00D27DDC">
            <w:pPr>
              <w:pStyle w:val="Tablesmalltext"/>
              <w:rPr>
                <w:rFonts w:eastAsia="Times New Roman"/>
                <w:lang w:val="en-AU" w:eastAsia="en-AU"/>
              </w:rPr>
            </w:pPr>
            <w:r w:rsidRPr="003172EE">
              <w:t>Corkscrew</w:t>
            </w:r>
          </w:p>
        </w:tc>
        <w:tc>
          <w:tcPr>
            <w:tcW w:w="754" w:type="dxa"/>
            <w:shd w:val="clear" w:color="auto" w:fill="auto"/>
          </w:tcPr>
          <w:p w14:paraId="3944F1EF"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51.65</w:t>
            </w:r>
          </w:p>
        </w:tc>
        <w:tc>
          <w:tcPr>
            <w:tcW w:w="4349" w:type="dxa"/>
          </w:tcPr>
          <w:p w14:paraId="25022FA6" w14:textId="77777777" w:rsidR="00D27DDC" w:rsidRPr="00A95DC0" w:rsidRDefault="00D27DDC" w:rsidP="00D27DDC">
            <w:pPr>
              <w:pStyle w:val="Tablesmalltext"/>
            </w:pPr>
            <w:r>
              <w:t>Silt trap on in-coupe road not maintained. Silt trap now filled and bypassed by road drainage</w:t>
            </w:r>
          </w:p>
        </w:tc>
        <w:tc>
          <w:tcPr>
            <w:tcW w:w="1731" w:type="dxa"/>
          </w:tcPr>
          <w:p w14:paraId="5FEAB444" w14:textId="77777777" w:rsidR="00D27DDC" w:rsidRPr="00A95DC0" w:rsidRDefault="00D27DDC" w:rsidP="00D27DDC">
            <w:pPr>
              <w:pStyle w:val="Tablesmalltext"/>
            </w:pPr>
            <w:r>
              <w:t>7.07 |</w:t>
            </w:r>
            <w:r>
              <w:br/>
              <w:t>M2.2.1.8/12</w:t>
            </w:r>
          </w:p>
        </w:tc>
        <w:tc>
          <w:tcPr>
            <w:tcW w:w="1163" w:type="dxa"/>
          </w:tcPr>
          <w:p w14:paraId="4A12810D" w14:textId="77777777" w:rsidR="00D27DDC" w:rsidRPr="00A95DC0" w:rsidRDefault="00D27DDC" w:rsidP="00D27DDC">
            <w:pPr>
              <w:pStyle w:val="Tablesmalltext"/>
              <w:jc w:val="center"/>
            </w:pPr>
            <w:r>
              <w:t>Minor</w:t>
            </w:r>
          </w:p>
        </w:tc>
      </w:tr>
      <w:tr w:rsidR="00D27DDC" w:rsidRPr="00A95DC0" w14:paraId="5C74EA4F" w14:textId="77777777" w:rsidTr="00523E3C">
        <w:tc>
          <w:tcPr>
            <w:tcW w:w="579" w:type="dxa"/>
            <w:shd w:val="clear" w:color="auto" w:fill="auto"/>
            <w:noWrap/>
            <w:hideMark/>
          </w:tcPr>
          <w:p w14:paraId="308F2201"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2</w:t>
            </w:r>
          </w:p>
        </w:tc>
        <w:tc>
          <w:tcPr>
            <w:tcW w:w="1406" w:type="dxa"/>
            <w:shd w:val="clear" w:color="auto" w:fill="auto"/>
            <w:noWrap/>
          </w:tcPr>
          <w:p w14:paraId="7E185E65" w14:textId="77777777" w:rsidR="00D27DDC" w:rsidRPr="008B4F4B" w:rsidRDefault="00D27DDC" w:rsidP="00D27DDC">
            <w:pPr>
              <w:pStyle w:val="Tablesmalltext"/>
              <w:rPr>
                <w:rFonts w:eastAsia="Times New Roman"/>
                <w:lang w:val="en-AU" w:eastAsia="en-AU"/>
              </w:rPr>
            </w:pPr>
            <w:r w:rsidRPr="003172EE">
              <w:t>Floater</w:t>
            </w:r>
          </w:p>
        </w:tc>
        <w:tc>
          <w:tcPr>
            <w:tcW w:w="754" w:type="dxa"/>
            <w:shd w:val="clear" w:color="auto" w:fill="auto"/>
          </w:tcPr>
          <w:p w14:paraId="07EA4753"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51.19</w:t>
            </w:r>
          </w:p>
        </w:tc>
        <w:tc>
          <w:tcPr>
            <w:tcW w:w="4349" w:type="dxa"/>
          </w:tcPr>
          <w:p w14:paraId="41BEEDBB" w14:textId="77777777" w:rsidR="00D27DDC" w:rsidRPr="00A95DC0" w:rsidRDefault="00D27DDC" w:rsidP="00D27DDC">
            <w:pPr>
              <w:pStyle w:val="Tablesmalltext"/>
            </w:pPr>
            <w:r>
              <w:t>Snig track-boundary track drain spacings exceed limits for slope and soil erosion hazard class</w:t>
            </w:r>
          </w:p>
        </w:tc>
        <w:tc>
          <w:tcPr>
            <w:tcW w:w="1731" w:type="dxa"/>
          </w:tcPr>
          <w:p w14:paraId="54B2E9B6" w14:textId="77777777" w:rsidR="00D27DDC" w:rsidRPr="00A95DC0" w:rsidRDefault="00D27DDC" w:rsidP="00D27DDC">
            <w:pPr>
              <w:pStyle w:val="Tablesmalltext"/>
            </w:pPr>
            <w:r>
              <w:t>32.12 |</w:t>
            </w:r>
            <w:r>
              <w:br/>
              <w:t>C2.5.2.5</w:t>
            </w:r>
          </w:p>
        </w:tc>
        <w:tc>
          <w:tcPr>
            <w:tcW w:w="1163" w:type="dxa"/>
          </w:tcPr>
          <w:p w14:paraId="6EBCCF98" w14:textId="77777777" w:rsidR="00D27DDC" w:rsidRPr="00A95DC0" w:rsidRDefault="00D27DDC" w:rsidP="00D27DDC">
            <w:pPr>
              <w:pStyle w:val="Tablesmalltext"/>
              <w:jc w:val="center"/>
            </w:pPr>
            <w:r>
              <w:t>Minor</w:t>
            </w:r>
          </w:p>
        </w:tc>
      </w:tr>
      <w:tr w:rsidR="00D27DDC" w:rsidRPr="00A95DC0" w14:paraId="00A5D1CD" w14:textId="77777777" w:rsidTr="00523E3C">
        <w:trPr>
          <w:trHeight w:val="105"/>
        </w:trPr>
        <w:tc>
          <w:tcPr>
            <w:tcW w:w="579" w:type="dxa"/>
            <w:vMerge w:val="restart"/>
            <w:shd w:val="clear" w:color="auto" w:fill="auto"/>
            <w:noWrap/>
            <w:hideMark/>
          </w:tcPr>
          <w:p w14:paraId="0C4DCEB7"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3</w:t>
            </w:r>
          </w:p>
        </w:tc>
        <w:tc>
          <w:tcPr>
            <w:tcW w:w="1406" w:type="dxa"/>
            <w:vMerge w:val="restart"/>
            <w:shd w:val="clear" w:color="auto" w:fill="auto"/>
            <w:noWrap/>
          </w:tcPr>
          <w:p w14:paraId="1FFFF92E" w14:textId="77777777" w:rsidR="00D27DDC" w:rsidRPr="008B4F4B" w:rsidRDefault="00D27DDC" w:rsidP="00D27DDC">
            <w:pPr>
              <w:pStyle w:val="Tablesmalltext"/>
              <w:rPr>
                <w:rFonts w:eastAsia="Times New Roman"/>
                <w:lang w:val="en-AU" w:eastAsia="en-AU"/>
              </w:rPr>
            </w:pPr>
            <w:r w:rsidRPr="003172EE">
              <w:t>Funnel Web</w:t>
            </w:r>
          </w:p>
        </w:tc>
        <w:tc>
          <w:tcPr>
            <w:tcW w:w="754" w:type="dxa"/>
            <w:vMerge w:val="restart"/>
            <w:shd w:val="clear" w:color="auto" w:fill="auto"/>
          </w:tcPr>
          <w:p w14:paraId="3A07241E"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44.01</w:t>
            </w:r>
          </w:p>
        </w:tc>
        <w:tc>
          <w:tcPr>
            <w:tcW w:w="4349" w:type="dxa"/>
          </w:tcPr>
          <w:p w14:paraId="3F015489" w14:textId="77777777" w:rsidR="00D27DDC" w:rsidRPr="00A95DC0" w:rsidRDefault="00D27DDC" w:rsidP="00D27DDC">
            <w:pPr>
              <w:pStyle w:val="Tablesmalltext"/>
            </w:pPr>
            <w:r>
              <w:t>Slump on waterway embankment depositing sediment into waterway</w:t>
            </w:r>
          </w:p>
        </w:tc>
        <w:tc>
          <w:tcPr>
            <w:tcW w:w="1731" w:type="dxa"/>
          </w:tcPr>
          <w:p w14:paraId="3114EA1B" w14:textId="77777777" w:rsidR="00D27DDC" w:rsidRPr="00A95DC0" w:rsidRDefault="00D27DDC" w:rsidP="00D27DDC">
            <w:pPr>
              <w:pStyle w:val="Tablesmalltext"/>
            </w:pPr>
            <w:r>
              <w:t>25.01/04 |</w:t>
            </w:r>
            <w:r>
              <w:br/>
              <w:t>C2.4.3.3, M6.2.2.3</w:t>
            </w:r>
          </w:p>
        </w:tc>
        <w:tc>
          <w:tcPr>
            <w:tcW w:w="1163" w:type="dxa"/>
          </w:tcPr>
          <w:p w14:paraId="0A65DB96" w14:textId="77777777" w:rsidR="00D27DDC" w:rsidRPr="00A95DC0" w:rsidRDefault="00D27DDC" w:rsidP="00D27DDC">
            <w:pPr>
              <w:pStyle w:val="Tablesmalltext"/>
              <w:jc w:val="center"/>
            </w:pPr>
            <w:r>
              <w:t>Minor</w:t>
            </w:r>
          </w:p>
        </w:tc>
      </w:tr>
      <w:tr w:rsidR="00D27DDC" w:rsidRPr="00A95DC0" w14:paraId="474164B7" w14:textId="77777777" w:rsidTr="00523E3C">
        <w:trPr>
          <w:trHeight w:val="105"/>
        </w:trPr>
        <w:tc>
          <w:tcPr>
            <w:tcW w:w="579" w:type="dxa"/>
            <w:vMerge/>
            <w:shd w:val="clear" w:color="auto" w:fill="auto"/>
            <w:noWrap/>
          </w:tcPr>
          <w:p w14:paraId="746E63CF"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49F80133" w14:textId="77777777" w:rsidR="00D27DDC" w:rsidRPr="003172EE" w:rsidRDefault="00D27DDC" w:rsidP="00D27DDC">
            <w:pPr>
              <w:pStyle w:val="Tablesmalltext"/>
            </w:pPr>
          </w:p>
        </w:tc>
        <w:tc>
          <w:tcPr>
            <w:tcW w:w="754" w:type="dxa"/>
            <w:vMerge/>
            <w:shd w:val="clear" w:color="auto" w:fill="auto"/>
          </w:tcPr>
          <w:p w14:paraId="4A52D06D" w14:textId="77777777" w:rsidR="00D27DDC" w:rsidRDefault="00D27DDC" w:rsidP="00D27DDC">
            <w:pPr>
              <w:pStyle w:val="Tablesmalltext"/>
              <w:jc w:val="center"/>
              <w:rPr>
                <w:rFonts w:eastAsia="Times New Roman"/>
                <w:lang w:val="en-AU" w:eastAsia="en-AU"/>
              </w:rPr>
            </w:pPr>
          </w:p>
        </w:tc>
        <w:tc>
          <w:tcPr>
            <w:tcW w:w="4349" w:type="dxa"/>
          </w:tcPr>
          <w:p w14:paraId="6612C9B3" w14:textId="77777777" w:rsidR="00D27DDC" w:rsidRDefault="00D27DDC" w:rsidP="00D27DDC">
            <w:pPr>
              <w:pStyle w:val="Tablesmalltext"/>
            </w:pPr>
            <w:r>
              <w:t>Base of retained tree partly covered with soil from waterway crossing embankment.</w:t>
            </w:r>
          </w:p>
        </w:tc>
        <w:tc>
          <w:tcPr>
            <w:tcW w:w="1731" w:type="dxa"/>
          </w:tcPr>
          <w:p w14:paraId="79D0CBA3" w14:textId="77777777" w:rsidR="00D27DDC" w:rsidRDefault="00D27DDC" w:rsidP="00D27DDC">
            <w:pPr>
              <w:pStyle w:val="Tablesmalltext"/>
            </w:pPr>
            <w:r>
              <w:t>25.02 |</w:t>
            </w:r>
            <w:r>
              <w:br/>
              <w:t>M6.2.2.1</w:t>
            </w:r>
          </w:p>
        </w:tc>
        <w:tc>
          <w:tcPr>
            <w:tcW w:w="1163" w:type="dxa"/>
          </w:tcPr>
          <w:p w14:paraId="5A2136D5" w14:textId="77777777" w:rsidR="00D27DDC" w:rsidRDefault="00D27DDC" w:rsidP="00D27DDC">
            <w:pPr>
              <w:pStyle w:val="Tablesmalltext"/>
              <w:jc w:val="center"/>
            </w:pPr>
            <w:r>
              <w:t>Minor</w:t>
            </w:r>
          </w:p>
        </w:tc>
      </w:tr>
      <w:tr w:rsidR="00D27DDC" w:rsidRPr="00A95DC0" w14:paraId="3F6B855A" w14:textId="77777777" w:rsidTr="00523E3C">
        <w:trPr>
          <w:trHeight w:val="650"/>
        </w:trPr>
        <w:tc>
          <w:tcPr>
            <w:tcW w:w="579" w:type="dxa"/>
            <w:vMerge/>
            <w:shd w:val="clear" w:color="auto" w:fill="auto"/>
            <w:noWrap/>
          </w:tcPr>
          <w:p w14:paraId="32C1AA6E"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4AB411A8" w14:textId="77777777" w:rsidR="00D27DDC" w:rsidRPr="003172EE" w:rsidRDefault="00D27DDC" w:rsidP="00D27DDC">
            <w:pPr>
              <w:pStyle w:val="Tablesmalltext"/>
            </w:pPr>
          </w:p>
        </w:tc>
        <w:tc>
          <w:tcPr>
            <w:tcW w:w="754" w:type="dxa"/>
            <w:vMerge/>
            <w:shd w:val="clear" w:color="auto" w:fill="auto"/>
          </w:tcPr>
          <w:p w14:paraId="79162FBF" w14:textId="77777777" w:rsidR="00D27DDC" w:rsidRDefault="00D27DDC" w:rsidP="00D27DDC">
            <w:pPr>
              <w:pStyle w:val="Tablesmalltext"/>
              <w:jc w:val="center"/>
              <w:rPr>
                <w:rFonts w:eastAsia="Times New Roman"/>
                <w:lang w:val="en-AU" w:eastAsia="en-AU"/>
              </w:rPr>
            </w:pPr>
          </w:p>
        </w:tc>
        <w:tc>
          <w:tcPr>
            <w:tcW w:w="4349" w:type="dxa"/>
          </w:tcPr>
          <w:p w14:paraId="6332AACB" w14:textId="77777777" w:rsidR="00D27DDC" w:rsidRPr="00A95DC0" w:rsidRDefault="00D27DDC" w:rsidP="00D27DDC">
            <w:pPr>
              <w:pStyle w:val="Tablesmalltext"/>
            </w:pPr>
            <w:r>
              <w:t>Snig track drain spacings exceed limits for slope and soil erosion hazard class</w:t>
            </w:r>
          </w:p>
        </w:tc>
        <w:tc>
          <w:tcPr>
            <w:tcW w:w="1731" w:type="dxa"/>
          </w:tcPr>
          <w:p w14:paraId="29CF2A0E" w14:textId="77777777" w:rsidR="00D27DDC" w:rsidRPr="00A95DC0" w:rsidRDefault="00D27DDC" w:rsidP="00D27DDC">
            <w:pPr>
              <w:pStyle w:val="Tablesmalltext"/>
            </w:pPr>
            <w:r>
              <w:t>32.12 |</w:t>
            </w:r>
            <w:r>
              <w:br/>
              <w:t>C2.5.2.5</w:t>
            </w:r>
          </w:p>
        </w:tc>
        <w:tc>
          <w:tcPr>
            <w:tcW w:w="1163" w:type="dxa"/>
          </w:tcPr>
          <w:p w14:paraId="0B8D1BAD" w14:textId="77777777" w:rsidR="00D27DDC" w:rsidRPr="00A95DC0" w:rsidRDefault="00D27DDC" w:rsidP="00D27DDC">
            <w:pPr>
              <w:pStyle w:val="Tablesmalltext"/>
              <w:jc w:val="center"/>
            </w:pPr>
            <w:r>
              <w:t>Negligible</w:t>
            </w:r>
          </w:p>
        </w:tc>
      </w:tr>
      <w:tr w:rsidR="00D27DDC" w:rsidRPr="00A95DC0" w14:paraId="4BE1ED7F" w14:textId="77777777" w:rsidTr="00523E3C">
        <w:trPr>
          <w:trHeight w:val="158"/>
        </w:trPr>
        <w:tc>
          <w:tcPr>
            <w:tcW w:w="579" w:type="dxa"/>
            <w:vMerge w:val="restart"/>
            <w:shd w:val="clear" w:color="auto" w:fill="auto"/>
            <w:noWrap/>
            <w:hideMark/>
          </w:tcPr>
          <w:p w14:paraId="1AE7AECE"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4</w:t>
            </w:r>
          </w:p>
        </w:tc>
        <w:tc>
          <w:tcPr>
            <w:tcW w:w="1406" w:type="dxa"/>
            <w:vMerge w:val="restart"/>
            <w:shd w:val="clear" w:color="auto" w:fill="auto"/>
            <w:noWrap/>
          </w:tcPr>
          <w:p w14:paraId="4529D7E6" w14:textId="77777777" w:rsidR="00D27DDC" w:rsidRPr="008B4F4B" w:rsidRDefault="00D27DDC" w:rsidP="00D27DDC">
            <w:pPr>
              <w:pStyle w:val="Tablesmalltext"/>
              <w:rPr>
                <w:rFonts w:eastAsia="Times New Roman"/>
                <w:lang w:val="en-AU" w:eastAsia="en-AU"/>
              </w:rPr>
            </w:pPr>
            <w:r w:rsidRPr="003172EE">
              <w:t>Black Widow</w:t>
            </w:r>
          </w:p>
        </w:tc>
        <w:tc>
          <w:tcPr>
            <w:tcW w:w="754" w:type="dxa"/>
            <w:vMerge w:val="restart"/>
            <w:shd w:val="clear" w:color="auto" w:fill="auto"/>
          </w:tcPr>
          <w:p w14:paraId="714C5BD5"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39.70</w:t>
            </w:r>
          </w:p>
        </w:tc>
        <w:tc>
          <w:tcPr>
            <w:tcW w:w="4349" w:type="dxa"/>
            <w:shd w:val="clear" w:color="auto" w:fill="auto"/>
          </w:tcPr>
          <w:p w14:paraId="196BECF2" w14:textId="77777777" w:rsidR="00D27DDC" w:rsidRPr="00A95DC0" w:rsidRDefault="00D27DDC" w:rsidP="00D27DDC">
            <w:pPr>
              <w:pStyle w:val="Tablesmalltext"/>
            </w:pPr>
            <w:r>
              <w:t>Sediment movement from rehabilitated landing</w:t>
            </w:r>
          </w:p>
        </w:tc>
        <w:tc>
          <w:tcPr>
            <w:tcW w:w="1731" w:type="dxa"/>
            <w:shd w:val="clear" w:color="auto" w:fill="auto"/>
          </w:tcPr>
          <w:p w14:paraId="5C6DCF69" w14:textId="77777777" w:rsidR="00D27DDC" w:rsidRPr="00A95DC0" w:rsidRDefault="00D27DDC" w:rsidP="00D27DDC">
            <w:pPr>
              <w:pStyle w:val="Tablesmalltext"/>
            </w:pPr>
            <w:r>
              <w:t>7.07, 8.01, 8.02, 25.01 |</w:t>
            </w:r>
            <w:r>
              <w:br/>
              <w:t>C2.2.1.12/14/15/ 18 C2.4.3.3</w:t>
            </w:r>
          </w:p>
        </w:tc>
        <w:tc>
          <w:tcPr>
            <w:tcW w:w="1163" w:type="dxa"/>
            <w:shd w:val="clear" w:color="auto" w:fill="auto"/>
          </w:tcPr>
          <w:p w14:paraId="7BBAE4A1" w14:textId="77777777" w:rsidR="00D27DDC" w:rsidRPr="00A95DC0" w:rsidRDefault="00D27DDC" w:rsidP="00D27DDC">
            <w:pPr>
              <w:pStyle w:val="Tablesmalltext"/>
              <w:jc w:val="center"/>
            </w:pPr>
            <w:r w:rsidRPr="00EA6D33">
              <w:t>Minor</w:t>
            </w:r>
          </w:p>
        </w:tc>
      </w:tr>
      <w:tr w:rsidR="00D27DDC" w:rsidRPr="00A95DC0" w14:paraId="54AFC676" w14:textId="77777777" w:rsidTr="00523E3C">
        <w:trPr>
          <w:trHeight w:val="157"/>
        </w:trPr>
        <w:tc>
          <w:tcPr>
            <w:tcW w:w="579" w:type="dxa"/>
            <w:vMerge/>
            <w:shd w:val="clear" w:color="auto" w:fill="auto"/>
            <w:noWrap/>
          </w:tcPr>
          <w:p w14:paraId="35610877"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668E8336" w14:textId="77777777" w:rsidR="00D27DDC" w:rsidRPr="003172EE" w:rsidRDefault="00D27DDC" w:rsidP="00D27DDC">
            <w:pPr>
              <w:pStyle w:val="Tablesmalltext"/>
            </w:pPr>
          </w:p>
        </w:tc>
        <w:tc>
          <w:tcPr>
            <w:tcW w:w="754" w:type="dxa"/>
            <w:vMerge/>
            <w:shd w:val="clear" w:color="auto" w:fill="auto"/>
          </w:tcPr>
          <w:p w14:paraId="044CA17C" w14:textId="77777777" w:rsidR="00D27DDC" w:rsidRDefault="00D27DDC" w:rsidP="00D27DDC">
            <w:pPr>
              <w:pStyle w:val="Tablesmalltext"/>
              <w:jc w:val="center"/>
              <w:rPr>
                <w:rFonts w:eastAsia="Times New Roman"/>
                <w:lang w:val="en-AU" w:eastAsia="en-AU"/>
              </w:rPr>
            </w:pPr>
          </w:p>
        </w:tc>
        <w:tc>
          <w:tcPr>
            <w:tcW w:w="4349" w:type="dxa"/>
            <w:shd w:val="clear" w:color="auto" w:fill="auto"/>
          </w:tcPr>
          <w:p w14:paraId="0ADBD6FC" w14:textId="77777777" w:rsidR="00D27DDC" w:rsidRPr="00A95DC0" w:rsidRDefault="00D27DDC" w:rsidP="00D27DDC">
            <w:pPr>
              <w:pStyle w:val="Tablesmalltext"/>
            </w:pPr>
            <w:r>
              <w:t>Sediment movement from rehabilitated snig track crossing</w:t>
            </w:r>
          </w:p>
        </w:tc>
        <w:tc>
          <w:tcPr>
            <w:tcW w:w="1731" w:type="dxa"/>
            <w:shd w:val="clear" w:color="auto" w:fill="auto"/>
          </w:tcPr>
          <w:p w14:paraId="2ED33938" w14:textId="77777777" w:rsidR="00D27DDC" w:rsidRPr="00A95DC0" w:rsidRDefault="00D27DDC" w:rsidP="00D27DDC">
            <w:pPr>
              <w:pStyle w:val="Tablesmalltext"/>
            </w:pPr>
            <w:r>
              <w:t>28.03 |</w:t>
            </w:r>
            <w:r>
              <w:br/>
              <w:t>M6.4.1.2</w:t>
            </w:r>
          </w:p>
        </w:tc>
        <w:tc>
          <w:tcPr>
            <w:tcW w:w="1163" w:type="dxa"/>
            <w:shd w:val="clear" w:color="auto" w:fill="auto"/>
          </w:tcPr>
          <w:p w14:paraId="7846F19B" w14:textId="77777777" w:rsidR="00D27DDC" w:rsidRPr="00A95DC0" w:rsidRDefault="00D27DDC" w:rsidP="00D27DDC">
            <w:pPr>
              <w:pStyle w:val="Tablesmalltext"/>
              <w:jc w:val="center"/>
            </w:pPr>
            <w:r w:rsidRPr="00EA6D33">
              <w:t>Minor</w:t>
            </w:r>
          </w:p>
        </w:tc>
      </w:tr>
      <w:tr w:rsidR="00D27DDC" w:rsidRPr="00A95DC0" w14:paraId="2AF29396" w14:textId="77777777" w:rsidTr="00523E3C">
        <w:trPr>
          <w:trHeight w:val="105"/>
        </w:trPr>
        <w:tc>
          <w:tcPr>
            <w:tcW w:w="579" w:type="dxa"/>
            <w:vMerge w:val="restart"/>
            <w:shd w:val="clear" w:color="auto" w:fill="auto"/>
            <w:noWrap/>
            <w:hideMark/>
          </w:tcPr>
          <w:p w14:paraId="765D8025"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5</w:t>
            </w:r>
          </w:p>
        </w:tc>
        <w:tc>
          <w:tcPr>
            <w:tcW w:w="1406" w:type="dxa"/>
            <w:vMerge w:val="restart"/>
            <w:shd w:val="clear" w:color="auto" w:fill="auto"/>
            <w:noWrap/>
          </w:tcPr>
          <w:p w14:paraId="7C09FF21" w14:textId="77777777" w:rsidR="00D27DDC" w:rsidRPr="008B4F4B" w:rsidRDefault="00D27DDC" w:rsidP="00D27DDC">
            <w:pPr>
              <w:pStyle w:val="Tablesmalltext"/>
              <w:rPr>
                <w:rFonts w:eastAsia="Times New Roman"/>
                <w:lang w:val="en-AU" w:eastAsia="en-AU"/>
              </w:rPr>
            </w:pPr>
            <w:r w:rsidRPr="003172EE">
              <w:t>Creepy</w:t>
            </w:r>
          </w:p>
        </w:tc>
        <w:tc>
          <w:tcPr>
            <w:tcW w:w="754" w:type="dxa"/>
            <w:vMerge w:val="restart"/>
            <w:shd w:val="clear" w:color="auto" w:fill="auto"/>
          </w:tcPr>
          <w:p w14:paraId="268D8036"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52.84</w:t>
            </w:r>
          </w:p>
        </w:tc>
        <w:tc>
          <w:tcPr>
            <w:tcW w:w="4349" w:type="dxa"/>
            <w:shd w:val="clear" w:color="auto" w:fill="auto"/>
          </w:tcPr>
          <w:p w14:paraId="1D7C6EC3" w14:textId="77777777" w:rsidR="00D27DDC" w:rsidRPr="00A95DC0" w:rsidRDefault="00D27DDC" w:rsidP="00D27DDC">
            <w:pPr>
              <w:pStyle w:val="Tablesmalltext"/>
            </w:pPr>
            <w:r>
              <w:t>Culvert outlets project above waterway</w:t>
            </w:r>
          </w:p>
        </w:tc>
        <w:tc>
          <w:tcPr>
            <w:tcW w:w="1731" w:type="dxa"/>
            <w:shd w:val="clear" w:color="auto" w:fill="auto"/>
          </w:tcPr>
          <w:p w14:paraId="49B1EBD5" w14:textId="77777777" w:rsidR="00D27DDC" w:rsidRPr="00A95DC0" w:rsidRDefault="00D27DDC" w:rsidP="00D27DDC">
            <w:pPr>
              <w:pStyle w:val="Tablesmalltext"/>
            </w:pPr>
            <w:r>
              <w:t>6.01, 7.07, 26.12 |</w:t>
            </w:r>
            <w:r>
              <w:br/>
              <w:t>C2.2.1.2/6, M6.2.5.5</w:t>
            </w:r>
          </w:p>
        </w:tc>
        <w:tc>
          <w:tcPr>
            <w:tcW w:w="1163" w:type="dxa"/>
            <w:shd w:val="clear" w:color="auto" w:fill="auto"/>
          </w:tcPr>
          <w:p w14:paraId="49B11EAC" w14:textId="77777777" w:rsidR="00D27DDC" w:rsidRPr="00A95DC0" w:rsidRDefault="00D27DDC" w:rsidP="00D27DDC">
            <w:pPr>
              <w:pStyle w:val="Tablesmalltext"/>
              <w:jc w:val="center"/>
            </w:pPr>
            <w:r>
              <w:t>Major</w:t>
            </w:r>
          </w:p>
        </w:tc>
      </w:tr>
      <w:tr w:rsidR="00D27DDC" w:rsidRPr="00A95DC0" w14:paraId="119F5E9B" w14:textId="77777777" w:rsidTr="00523E3C">
        <w:trPr>
          <w:trHeight w:val="105"/>
        </w:trPr>
        <w:tc>
          <w:tcPr>
            <w:tcW w:w="579" w:type="dxa"/>
            <w:vMerge/>
            <w:shd w:val="clear" w:color="auto" w:fill="auto"/>
            <w:noWrap/>
          </w:tcPr>
          <w:p w14:paraId="3714B8EF"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310781B1" w14:textId="77777777" w:rsidR="00D27DDC" w:rsidRPr="003172EE" w:rsidRDefault="00D27DDC" w:rsidP="00D27DDC">
            <w:pPr>
              <w:pStyle w:val="Tablesmalltext"/>
            </w:pPr>
          </w:p>
        </w:tc>
        <w:tc>
          <w:tcPr>
            <w:tcW w:w="754" w:type="dxa"/>
            <w:vMerge/>
            <w:shd w:val="clear" w:color="auto" w:fill="auto"/>
          </w:tcPr>
          <w:p w14:paraId="0807271D" w14:textId="77777777" w:rsidR="00D27DDC" w:rsidRDefault="00D27DDC" w:rsidP="00D27DDC">
            <w:pPr>
              <w:pStyle w:val="Tablesmalltext"/>
              <w:jc w:val="center"/>
              <w:rPr>
                <w:rFonts w:eastAsia="Times New Roman"/>
                <w:lang w:val="en-AU" w:eastAsia="en-AU"/>
              </w:rPr>
            </w:pPr>
          </w:p>
        </w:tc>
        <w:tc>
          <w:tcPr>
            <w:tcW w:w="4349" w:type="dxa"/>
            <w:shd w:val="clear" w:color="auto" w:fill="auto"/>
          </w:tcPr>
          <w:p w14:paraId="157445C6" w14:textId="77777777" w:rsidR="00D27DDC" w:rsidRPr="00A95DC0" w:rsidRDefault="00D27DDC" w:rsidP="00D27DDC">
            <w:pPr>
              <w:pStyle w:val="Tablesmalltext"/>
            </w:pPr>
            <w:r>
              <w:t>In-coupe road drains &gt;100 m into waterway crossing without interception</w:t>
            </w:r>
          </w:p>
        </w:tc>
        <w:tc>
          <w:tcPr>
            <w:tcW w:w="1731" w:type="dxa"/>
            <w:shd w:val="clear" w:color="auto" w:fill="auto"/>
          </w:tcPr>
          <w:p w14:paraId="28A58649" w14:textId="77777777" w:rsidR="00D27DDC" w:rsidRPr="00A95DC0" w:rsidRDefault="00D27DDC" w:rsidP="00D27DDC">
            <w:pPr>
              <w:pStyle w:val="Tablesmalltext"/>
            </w:pPr>
            <w:r>
              <w:t>6.01, 7.05/06, 26.05, 30.01 |</w:t>
            </w:r>
            <w:r>
              <w:br/>
              <w:t>C2.2.1.2/8, C2.4.2.9, C2.5.1.2, M6.2.4.4/5</w:t>
            </w:r>
          </w:p>
        </w:tc>
        <w:tc>
          <w:tcPr>
            <w:tcW w:w="1163" w:type="dxa"/>
            <w:shd w:val="clear" w:color="auto" w:fill="auto"/>
          </w:tcPr>
          <w:p w14:paraId="711D71B0" w14:textId="77777777" w:rsidR="00D27DDC" w:rsidRPr="00A95DC0" w:rsidRDefault="00D27DDC" w:rsidP="00D27DDC">
            <w:pPr>
              <w:pStyle w:val="Tablesmalltext"/>
              <w:jc w:val="center"/>
            </w:pPr>
            <w:r>
              <w:t>Major</w:t>
            </w:r>
          </w:p>
        </w:tc>
      </w:tr>
      <w:tr w:rsidR="00D27DDC" w:rsidRPr="00A95DC0" w14:paraId="713242A2" w14:textId="77777777" w:rsidTr="00523E3C">
        <w:trPr>
          <w:trHeight w:val="105"/>
        </w:trPr>
        <w:tc>
          <w:tcPr>
            <w:tcW w:w="579" w:type="dxa"/>
            <w:vMerge/>
            <w:shd w:val="clear" w:color="auto" w:fill="auto"/>
            <w:noWrap/>
          </w:tcPr>
          <w:p w14:paraId="29FD28EA"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70177338" w14:textId="77777777" w:rsidR="00D27DDC" w:rsidRPr="003172EE" w:rsidRDefault="00D27DDC" w:rsidP="00D27DDC">
            <w:pPr>
              <w:pStyle w:val="Tablesmalltext"/>
            </w:pPr>
          </w:p>
        </w:tc>
        <w:tc>
          <w:tcPr>
            <w:tcW w:w="754" w:type="dxa"/>
            <w:vMerge/>
            <w:shd w:val="clear" w:color="auto" w:fill="auto"/>
          </w:tcPr>
          <w:p w14:paraId="4EAC1FDB" w14:textId="77777777" w:rsidR="00D27DDC" w:rsidRDefault="00D27DDC" w:rsidP="00D27DDC">
            <w:pPr>
              <w:pStyle w:val="Tablesmalltext"/>
              <w:jc w:val="center"/>
              <w:rPr>
                <w:rFonts w:eastAsia="Times New Roman"/>
                <w:lang w:val="en-AU" w:eastAsia="en-AU"/>
              </w:rPr>
            </w:pPr>
          </w:p>
        </w:tc>
        <w:tc>
          <w:tcPr>
            <w:tcW w:w="4349" w:type="dxa"/>
            <w:shd w:val="clear" w:color="auto" w:fill="auto"/>
          </w:tcPr>
          <w:p w14:paraId="3C4EFFC8" w14:textId="77777777" w:rsidR="00D27DDC" w:rsidRPr="00A95DC0" w:rsidRDefault="00D27DDC" w:rsidP="00D27DDC">
            <w:pPr>
              <w:pStyle w:val="Tablesmalltext"/>
            </w:pPr>
            <w:r>
              <w:t>Mass soil movement of in-coupe road embankment</w:t>
            </w:r>
          </w:p>
        </w:tc>
        <w:tc>
          <w:tcPr>
            <w:tcW w:w="1731" w:type="dxa"/>
            <w:shd w:val="clear" w:color="auto" w:fill="auto"/>
          </w:tcPr>
          <w:p w14:paraId="3DB772B9" w14:textId="77777777" w:rsidR="00D27DDC" w:rsidRPr="00A95DC0" w:rsidRDefault="00D27DDC" w:rsidP="00D27DDC">
            <w:pPr>
              <w:pStyle w:val="Tablesmalltext"/>
            </w:pPr>
            <w:r>
              <w:t>8.02, 25.01/04 |</w:t>
            </w:r>
            <w:r>
              <w:br/>
              <w:t>C2.2.1.14, 2.4.3.3, M6.2.2.3</w:t>
            </w:r>
          </w:p>
        </w:tc>
        <w:tc>
          <w:tcPr>
            <w:tcW w:w="1163" w:type="dxa"/>
            <w:shd w:val="clear" w:color="auto" w:fill="auto"/>
          </w:tcPr>
          <w:p w14:paraId="41B8FF98" w14:textId="77777777" w:rsidR="00D27DDC" w:rsidRPr="00A95DC0" w:rsidRDefault="00D27DDC" w:rsidP="00D27DDC">
            <w:pPr>
              <w:pStyle w:val="Tablesmalltext"/>
              <w:jc w:val="center"/>
            </w:pPr>
            <w:r>
              <w:t>Negligible</w:t>
            </w:r>
          </w:p>
        </w:tc>
      </w:tr>
      <w:tr w:rsidR="00D27DDC" w:rsidRPr="00A95DC0" w14:paraId="4ACCD101" w14:textId="77777777" w:rsidTr="00523E3C">
        <w:tc>
          <w:tcPr>
            <w:tcW w:w="579" w:type="dxa"/>
            <w:vMerge w:val="restart"/>
            <w:shd w:val="clear" w:color="auto" w:fill="auto"/>
            <w:noWrap/>
            <w:hideMark/>
          </w:tcPr>
          <w:p w14:paraId="30332794"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6</w:t>
            </w:r>
          </w:p>
        </w:tc>
        <w:tc>
          <w:tcPr>
            <w:tcW w:w="1406" w:type="dxa"/>
            <w:vMerge w:val="restart"/>
            <w:shd w:val="clear" w:color="auto" w:fill="auto"/>
            <w:noWrap/>
          </w:tcPr>
          <w:p w14:paraId="358233CE" w14:textId="77777777" w:rsidR="00D27DDC" w:rsidRPr="008D0067" w:rsidRDefault="00D27DDC" w:rsidP="00D27DDC">
            <w:pPr>
              <w:pStyle w:val="Tablesmalltext"/>
              <w:rPr>
                <w:rFonts w:eastAsia="Times New Roman"/>
                <w:vertAlign w:val="superscript"/>
                <w:lang w:val="en-AU" w:eastAsia="en-AU"/>
              </w:rPr>
            </w:pPr>
            <w:r w:rsidRPr="003172EE">
              <w:t>Eminem</w:t>
            </w:r>
          </w:p>
        </w:tc>
        <w:tc>
          <w:tcPr>
            <w:tcW w:w="754" w:type="dxa"/>
            <w:vMerge w:val="restart"/>
            <w:shd w:val="clear" w:color="auto" w:fill="auto"/>
          </w:tcPr>
          <w:p w14:paraId="5F0A33E9" w14:textId="77777777" w:rsidR="00D27DDC" w:rsidRPr="00572D5E" w:rsidRDefault="00D27DDC" w:rsidP="00D27DDC">
            <w:pPr>
              <w:pStyle w:val="Tablesmalltext"/>
              <w:jc w:val="center"/>
              <w:rPr>
                <w:rFonts w:eastAsia="Times New Roman"/>
                <w:lang w:val="en-AU" w:eastAsia="en-AU"/>
              </w:rPr>
            </w:pPr>
            <w:r w:rsidRPr="00572D5E">
              <w:rPr>
                <w:rFonts w:eastAsia="Times New Roman"/>
                <w:lang w:val="en-AU" w:eastAsia="en-AU"/>
              </w:rPr>
              <w:t>44.52</w:t>
            </w:r>
          </w:p>
        </w:tc>
        <w:tc>
          <w:tcPr>
            <w:tcW w:w="4349" w:type="dxa"/>
            <w:shd w:val="clear" w:color="auto" w:fill="auto"/>
          </w:tcPr>
          <w:p w14:paraId="257655D3" w14:textId="77777777" w:rsidR="00D27DDC" w:rsidRPr="00A95DC0" w:rsidRDefault="00D27DDC" w:rsidP="00D27DDC">
            <w:pPr>
              <w:pStyle w:val="Tablesmalltext"/>
            </w:pPr>
            <w:r>
              <w:t>Mass soil movement of snig track embankments which are traversing slopes 25-35</w:t>
            </w:r>
            <w:r>
              <w:rPr>
                <w:rFonts w:cs="Arial"/>
              </w:rPr>
              <w:t>°</w:t>
            </w:r>
          </w:p>
        </w:tc>
        <w:tc>
          <w:tcPr>
            <w:tcW w:w="1731" w:type="dxa"/>
            <w:shd w:val="clear" w:color="auto" w:fill="auto"/>
          </w:tcPr>
          <w:p w14:paraId="47C753DF" w14:textId="77777777" w:rsidR="00D27DDC" w:rsidRPr="00A95DC0" w:rsidRDefault="00D27DDC" w:rsidP="00D27DDC">
            <w:pPr>
              <w:pStyle w:val="Tablesmalltext"/>
            </w:pPr>
            <w:r>
              <w:t>6.01, 8.01/02, 32.02 |</w:t>
            </w:r>
            <w:r>
              <w:br/>
              <w:t>C2.2.1.2/14/15 M7.2.2.1</w:t>
            </w:r>
          </w:p>
        </w:tc>
        <w:tc>
          <w:tcPr>
            <w:tcW w:w="1163" w:type="dxa"/>
            <w:shd w:val="clear" w:color="auto" w:fill="auto"/>
          </w:tcPr>
          <w:p w14:paraId="44E97225" w14:textId="77777777" w:rsidR="00D27DDC" w:rsidRPr="00A95DC0" w:rsidRDefault="00D27DDC" w:rsidP="00D27DDC">
            <w:pPr>
              <w:pStyle w:val="Tablesmalltext"/>
              <w:jc w:val="center"/>
            </w:pPr>
            <w:r>
              <w:t>Negligible</w:t>
            </w:r>
          </w:p>
        </w:tc>
      </w:tr>
      <w:tr w:rsidR="00D27DDC" w:rsidRPr="00A95DC0" w14:paraId="1B1FCF6B" w14:textId="77777777" w:rsidTr="00523E3C">
        <w:tc>
          <w:tcPr>
            <w:tcW w:w="579" w:type="dxa"/>
            <w:vMerge/>
            <w:shd w:val="clear" w:color="auto" w:fill="auto"/>
            <w:noWrap/>
          </w:tcPr>
          <w:p w14:paraId="2E7AEBDB"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3CB6F7E4" w14:textId="77777777" w:rsidR="00D27DDC" w:rsidRPr="003172EE" w:rsidRDefault="00D27DDC" w:rsidP="00D27DDC">
            <w:pPr>
              <w:pStyle w:val="Tablesmalltext"/>
            </w:pPr>
          </w:p>
        </w:tc>
        <w:tc>
          <w:tcPr>
            <w:tcW w:w="754" w:type="dxa"/>
            <w:vMerge/>
            <w:shd w:val="clear" w:color="auto" w:fill="auto"/>
          </w:tcPr>
          <w:p w14:paraId="5250BCAB" w14:textId="77777777" w:rsidR="00D27DDC" w:rsidRPr="008D0067" w:rsidRDefault="00D27DDC" w:rsidP="00D27DDC">
            <w:pPr>
              <w:pStyle w:val="Tablesmalltext"/>
              <w:jc w:val="center"/>
              <w:rPr>
                <w:rFonts w:eastAsia="Times New Roman"/>
                <w:vertAlign w:val="superscript"/>
                <w:lang w:val="en-AU" w:eastAsia="en-AU"/>
              </w:rPr>
            </w:pPr>
          </w:p>
        </w:tc>
        <w:tc>
          <w:tcPr>
            <w:tcW w:w="4349" w:type="dxa"/>
            <w:shd w:val="clear" w:color="auto" w:fill="auto"/>
          </w:tcPr>
          <w:p w14:paraId="7E62D9F6" w14:textId="3501698D" w:rsidR="00D27DDC" w:rsidRDefault="00D27DDC" w:rsidP="00D27DDC">
            <w:pPr>
              <w:pStyle w:val="Tablesmalltext"/>
            </w:pPr>
            <w:r>
              <w:t xml:space="preserve">Regeneration burn </w:t>
            </w:r>
            <w:r w:rsidR="00AA2D48">
              <w:t>crossed</w:t>
            </w:r>
            <w:r>
              <w:t xml:space="preserve"> boundary track into planned riparian buffer, with damage to </w:t>
            </w:r>
            <w:r w:rsidR="00F42977">
              <w:t>understorey and crossed into adjacent SPZ</w:t>
            </w:r>
          </w:p>
        </w:tc>
        <w:tc>
          <w:tcPr>
            <w:tcW w:w="1731" w:type="dxa"/>
            <w:shd w:val="clear" w:color="auto" w:fill="auto"/>
          </w:tcPr>
          <w:p w14:paraId="3150BD83" w14:textId="77777777" w:rsidR="00D27DDC" w:rsidRDefault="00D27DDC" w:rsidP="00D27DDC">
            <w:pPr>
              <w:pStyle w:val="Tablesmalltext"/>
            </w:pPr>
            <w:r>
              <w:t>12.06, 19.01, 30.01 |</w:t>
            </w:r>
            <w:r>
              <w:br/>
              <w:t>M4.1.4.5, C2.2.2.5, 2.5.1.2</w:t>
            </w:r>
          </w:p>
        </w:tc>
        <w:tc>
          <w:tcPr>
            <w:tcW w:w="1163" w:type="dxa"/>
            <w:shd w:val="clear" w:color="auto" w:fill="auto"/>
          </w:tcPr>
          <w:p w14:paraId="018309E9" w14:textId="77777777" w:rsidR="00D27DDC" w:rsidRDefault="00D27DDC" w:rsidP="00D27DDC">
            <w:pPr>
              <w:pStyle w:val="Tablesmalltext"/>
              <w:jc w:val="center"/>
            </w:pPr>
            <w:r>
              <w:t>Major</w:t>
            </w:r>
          </w:p>
        </w:tc>
      </w:tr>
      <w:tr w:rsidR="00D27DDC" w:rsidRPr="00A95DC0" w14:paraId="024D4FB2" w14:textId="77777777" w:rsidTr="00523E3C">
        <w:tc>
          <w:tcPr>
            <w:tcW w:w="579" w:type="dxa"/>
            <w:vMerge w:val="restart"/>
            <w:shd w:val="clear" w:color="auto" w:fill="auto"/>
            <w:noWrap/>
            <w:hideMark/>
          </w:tcPr>
          <w:p w14:paraId="2E64EFF3"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7</w:t>
            </w:r>
          </w:p>
        </w:tc>
        <w:tc>
          <w:tcPr>
            <w:tcW w:w="1406" w:type="dxa"/>
            <w:vMerge w:val="restart"/>
            <w:shd w:val="clear" w:color="auto" w:fill="auto"/>
            <w:noWrap/>
          </w:tcPr>
          <w:p w14:paraId="71560578" w14:textId="77777777" w:rsidR="00D27DDC" w:rsidRPr="00473F42" w:rsidRDefault="00D27DDC" w:rsidP="00D27DDC">
            <w:pPr>
              <w:pStyle w:val="Tablesmalltext"/>
              <w:rPr>
                <w:rFonts w:eastAsia="Times New Roman"/>
                <w:vertAlign w:val="superscript"/>
                <w:lang w:val="en-AU" w:eastAsia="en-AU"/>
              </w:rPr>
            </w:pPr>
            <w:r w:rsidRPr="003172EE">
              <w:t>The Wolfman</w:t>
            </w:r>
          </w:p>
        </w:tc>
        <w:tc>
          <w:tcPr>
            <w:tcW w:w="754" w:type="dxa"/>
            <w:vMerge w:val="restart"/>
            <w:shd w:val="clear" w:color="auto" w:fill="auto"/>
          </w:tcPr>
          <w:p w14:paraId="0C1CBA08"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71.39</w:t>
            </w:r>
          </w:p>
        </w:tc>
        <w:tc>
          <w:tcPr>
            <w:tcW w:w="4349" w:type="dxa"/>
          </w:tcPr>
          <w:p w14:paraId="4519704A" w14:textId="77777777" w:rsidR="00D27DDC" w:rsidRPr="00A95DC0" w:rsidRDefault="00D27DDC" w:rsidP="00D27DDC">
            <w:pPr>
              <w:pStyle w:val="Tablesmalltext"/>
            </w:pPr>
            <w:r>
              <w:t>Multiple snig track crossings of drainage line filter strip without apparent sanctioning</w:t>
            </w:r>
          </w:p>
        </w:tc>
        <w:tc>
          <w:tcPr>
            <w:tcW w:w="1731" w:type="dxa"/>
          </w:tcPr>
          <w:p w14:paraId="7BF5A73D" w14:textId="77777777" w:rsidR="00D27DDC" w:rsidRPr="00A95DC0" w:rsidRDefault="00D27DDC" w:rsidP="00D27DDC">
            <w:pPr>
              <w:pStyle w:val="Tablesmalltext"/>
            </w:pPr>
            <w:r>
              <w:t>3.01, 5.02, 6.01, 7.01/07, 30.01</w:t>
            </w:r>
            <w:r>
              <w:br/>
            </w:r>
            <w:r>
              <w:lastRenderedPageBreak/>
              <w:t>M3.3.1.1, 3.5.1.1/3, 7.1.4.1</w:t>
            </w:r>
            <w:r>
              <w:br/>
              <w:t>C2.2.1.2, 2.2.1.5, 2.5.1.2</w:t>
            </w:r>
          </w:p>
        </w:tc>
        <w:tc>
          <w:tcPr>
            <w:tcW w:w="1163" w:type="dxa"/>
          </w:tcPr>
          <w:p w14:paraId="1A1DBFA1" w14:textId="77777777" w:rsidR="00D27DDC" w:rsidRPr="00A95DC0" w:rsidRDefault="00D27DDC" w:rsidP="00D27DDC">
            <w:pPr>
              <w:pStyle w:val="Tablesmalltext"/>
              <w:jc w:val="center"/>
            </w:pPr>
            <w:r>
              <w:lastRenderedPageBreak/>
              <w:t>Moderate</w:t>
            </w:r>
          </w:p>
        </w:tc>
      </w:tr>
      <w:tr w:rsidR="00D27DDC" w:rsidRPr="00A95DC0" w14:paraId="1DD31793" w14:textId="77777777" w:rsidTr="00523E3C">
        <w:tc>
          <w:tcPr>
            <w:tcW w:w="579" w:type="dxa"/>
            <w:vMerge/>
            <w:shd w:val="clear" w:color="auto" w:fill="auto"/>
            <w:noWrap/>
          </w:tcPr>
          <w:p w14:paraId="6AF708B9"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22168FBB" w14:textId="77777777" w:rsidR="00D27DDC" w:rsidRPr="003172EE" w:rsidRDefault="00D27DDC" w:rsidP="00D27DDC">
            <w:pPr>
              <w:pStyle w:val="Tablesmalltext"/>
            </w:pPr>
          </w:p>
        </w:tc>
        <w:tc>
          <w:tcPr>
            <w:tcW w:w="754" w:type="dxa"/>
            <w:vMerge/>
            <w:shd w:val="clear" w:color="auto" w:fill="auto"/>
          </w:tcPr>
          <w:p w14:paraId="5694C057" w14:textId="77777777" w:rsidR="00D27DDC" w:rsidRPr="008B4F4B" w:rsidRDefault="00D27DDC" w:rsidP="00D27DDC">
            <w:pPr>
              <w:pStyle w:val="Tablesmalltext"/>
              <w:jc w:val="center"/>
              <w:rPr>
                <w:rFonts w:eastAsia="Times New Roman"/>
                <w:lang w:val="en-AU" w:eastAsia="en-AU"/>
              </w:rPr>
            </w:pPr>
          </w:p>
        </w:tc>
        <w:tc>
          <w:tcPr>
            <w:tcW w:w="4349" w:type="dxa"/>
          </w:tcPr>
          <w:p w14:paraId="23A3A76B" w14:textId="77777777" w:rsidR="00D27DDC" w:rsidRDefault="00D27DDC" w:rsidP="00D27DDC">
            <w:pPr>
              <w:pStyle w:val="Tablesmalltext"/>
            </w:pPr>
            <w:r>
              <w:t>Mass movement of soil on in-coupe road embankment</w:t>
            </w:r>
          </w:p>
        </w:tc>
        <w:tc>
          <w:tcPr>
            <w:tcW w:w="1731" w:type="dxa"/>
          </w:tcPr>
          <w:p w14:paraId="585A773B" w14:textId="77777777" w:rsidR="00D27DDC" w:rsidRDefault="00D27DDC" w:rsidP="00D27DDC">
            <w:pPr>
              <w:pStyle w:val="Tablesmalltext"/>
            </w:pPr>
            <w:r>
              <w:t>8.02, 25.01/04 |</w:t>
            </w:r>
            <w:r>
              <w:br/>
              <w:t>C2.2.1.14, 2.4.3.3</w:t>
            </w:r>
          </w:p>
        </w:tc>
        <w:tc>
          <w:tcPr>
            <w:tcW w:w="1163" w:type="dxa"/>
          </w:tcPr>
          <w:p w14:paraId="219CF797" w14:textId="77777777" w:rsidR="00D27DDC" w:rsidRDefault="00D27DDC" w:rsidP="00D27DDC">
            <w:pPr>
              <w:pStyle w:val="Tablesmalltext"/>
              <w:jc w:val="center"/>
            </w:pPr>
            <w:r>
              <w:t>Minor</w:t>
            </w:r>
          </w:p>
        </w:tc>
      </w:tr>
      <w:tr w:rsidR="00D27DDC" w:rsidRPr="00A95DC0" w14:paraId="7637F7EB" w14:textId="77777777" w:rsidTr="00523E3C">
        <w:tc>
          <w:tcPr>
            <w:tcW w:w="579" w:type="dxa"/>
            <w:vMerge/>
            <w:shd w:val="clear" w:color="auto" w:fill="auto"/>
            <w:noWrap/>
          </w:tcPr>
          <w:p w14:paraId="463C3353"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0E89D797" w14:textId="77777777" w:rsidR="00D27DDC" w:rsidRPr="003172EE" w:rsidRDefault="00D27DDC" w:rsidP="00D27DDC">
            <w:pPr>
              <w:pStyle w:val="Tablesmalltext"/>
            </w:pPr>
          </w:p>
        </w:tc>
        <w:tc>
          <w:tcPr>
            <w:tcW w:w="754" w:type="dxa"/>
            <w:vMerge/>
            <w:shd w:val="clear" w:color="auto" w:fill="auto"/>
          </w:tcPr>
          <w:p w14:paraId="59206690" w14:textId="77777777" w:rsidR="00D27DDC" w:rsidRPr="008B4F4B" w:rsidRDefault="00D27DDC" w:rsidP="00D27DDC">
            <w:pPr>
              <w:pStyle w:val="Tablesmalltext"/>
              <w:jc w:val="center"/>
              <w:rPr>
                <w:rFonts w:eastAsia="Times New Roman"/>
                <w:lang w:val="en-AU" w:eastAsia="en-AU"/>
              </w:rPr>
            </w:pPr>
          </w:p>
        </w:tc>
        <w:tc>
          <w:tcPr>
            <w:tcW w:w="4349" w:type="dxa"/>
          </w:tcPr>
          <w:p w14:paraId="4B0B90AE" w14:textId="77777777" w:rsidR="00D27DDC" w:rsidRDefault="00D27DDC" w:rsidP="00D27DDC">
            <w:pPr>
              <w:pStyle w:val="Tablesmalltext"/>
            </w:pPr>
            <w:r>
              <w:t>Section of in-coupe road with insufficient drainage for slope and soil erosion hazard</w:t>
            </w:r>
          </w:p>
        </w:tc>
        <w:tc>
          <w:tcPr>
            <w:tcW w:w="1731" w:type="dxa"/>
          </w:tcPr>
          <w:p w14:paraId="15BA5268" w14:textId="77777777" w:rsidR="00D27DDC" w:rsidRDefault="00D27DDC" w:rsidP="00D27DDC">
            <w:pPr>
              <w:pStyle w:val="Tablesmalltext"/>
            </w:pPr>
            <w:r>
              <w:t>26.01 |</w:t>
            </w:r>
            <w:r>
              <w:br/>
              <w:t>C2.4.2.5, M6.2.4.1</w:t>
            </w:r>
          </w:p>
        </w:tc>
        <w:tc>
          <w:tcPr>
            <w:tcW w:w="1163" w:type="dxa"/>
          </w:tcPr>
          <w:p w14:paraId="27F8288A" w14:textId="77777777" w:rsidR="00D27DDC" w:rsidRDefault="00D27DDC" w:rsidP="00D27DDC">
            <w:pPr>
              <w:pStyle w:val="Tablesmalltext"/>
              <w:jc w:val="center"/>
            </w:pPr>
            <w:r>
              <w:t>Minor</w:t>
            </w:r>
          </w:p>
        </w:tc>
      </w:tr>
      <w:tr w:rsidR="00D27DDC" w:rsidRPr="00A95DC0" w14:paraId="60B5C26C" w14:textId="77777777" w:rsidTr="00523E3C">
        <w:tc>
          <w:tcPr>
            <w:tcW w:w="579" w:type="dxa"/>
            <w:shd w:val="clear" w:color="auto" w:fill="auto"/>
            <w:noWrap/>
            <w:hideMark/>
          </w:tcPr>
          <w:p w14:paraId="5C2EDEA4"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8</w:t>
            </w:r>
          </w:p>
        </w:tc>
        <w:tc>
          <w:tcPr>
            <w:tcW w:w="1406" w:type="dxa"/>
            <w:shd w:val="clear" w:color="auto" w:fill="auto"/>
            <w:noWrap/>
          </w:tcPr>
          <w:p w14:paraId="0D20258E" w14:textId="77777777" w:rsidR="00D27DDC" w:rsidRPr="00473F42" w:rsidRDefault="00D27DDC" w:rsidP="00D27DDC">
            <w:pPr>
              <w:pStyle w:val="Tablesmalltext"/>
              <w:rPr>
                <w:rFonts w:eastAsia="Times New Roman"/>
                <w:vertAlign w:val="superscript"/>
                <w:lang w:val="en-AU" w:eastAsia="en-AU"/>
              </w:rPr>
            </w:pPr>
            <w:r w:rsidRPr="003172EE">
              <w:t>Fedora</w:t>
            </w:r>
          </w:p>
        </w:tc>
        <w:tc>
          <w:tcPr>
            <w:tcW w:w="754" w:type="dxa"/>
            <w:shd w:val="clear" w:color="auto" w:fill="auto"/>
          </w:tcPr>
          <w:p w14:paraId="254D623F"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52.07</w:t>
            </w:r>
          </w:p>
        </w:tc>
        <w:tc>
          <w:tcPr>
            <w:tcW w:w="4349" w:type="dxa"/>
          </w:tcPr>
          <w:p w14:paraId="24BEE46E" w14:textId="77777777" w:rsidR="00D27DDC" w:rsidRPr="00A95DC0" w:rsidRDefault="00D27DDC" w:rsidP="00D27DDC">
            <w:pPr>
              <w:pStyle w:val="Tablesmalltext"/>
            </w:pPr>
            <w:r>
              <w:t xml:space="preserve">Snigging machine unnecessarily crossed drainage line filter strip past the end of a snig track </w:t>
            </w:r>
          </w:p>
        </w:tc>
        <w:tc>
          <w:tcPr>
            <w:tcW w:w="1731" w:type="dxa"/>
          </w:tcPr>
          <w:p w14:paraId="4A4E05C2" w14:textId="77777777" w:rsidR="00D27DDC" w:rsidRPr="00A95DC0" w:rsidRDefault="00D27DDC" w:rsidP="00D27DDC">
            <w:pPr>
              <w:pStyle w:val="Tablesmalltext"/>
            </w:pPr>
            <w:r>
              <w:t>5.02, 6.01, 7.01/07, 30.01 |</w:t>
            </w:r>
            <w:r>
              <w:br/>
              <w:t>C2.2.1.2/5, 2.5.1.2, M3.5.1.1</w:t>
            </w:r>
          </w:p>
        </w:tc>
        <w:tc>
          <w:tcPr>
            <w:tcW w:w="1163" w:type="dxa"/>
          </w:tcPr>
          <w:p w14:paraId="2E3FCD5A" w14:textId="77777777" w:rsidR="00D27DDC" w:rsidRPr="00A95DC0" w:rsidRDefault="00D27DDC" w:rsidP="00D27DDC">
            <w:pPr>
              <w:pStyle w:val="Tablesmalltext"/>
              <w:jc w:val="center"/>
            </w:pPr>
            <w:r>
              <w:t>Minor</w:t>
            </w:r>
          </w:p>
        </w:tc>
      </w:tr>
      <w:tr w:rsidR="00D27DDC" w:rsidRPr="00A95DC0" w14:paraId="49AE451A" w14:textId="77777777" w:rsidTr="00523E3C">
        <w:tc>
          <w:tcPr>
            <w:tcW w:w="579" w:type="dxa"/>
            <w:shd w:val="clear" w:color="auto" w:fill="auto"/>
            <w:noWrap/>
            <w:hideMark/>
          </w:tcPr>
          <w:p w14:paraId="37F08313"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9</w:t>
            </w:r>
          </w:p>
        </w:tc>
        <w:tc>
          <w:tcPr>
            <w:tcW w:w="1406" w:type="dxa"/>
            <w:shd w:val="clear" w:color="auto" w:fill="auto"/>
            <w:noWrap/>
          </w:tcPr>
          <w:p w14:paraId="20E14194" w14:textId="77777777" w:rsidR="00D27DDC" w:rsidRPr="00572D5E" w:rsidRDefault="00D27DDC" w:rsidP="00D27DDC">
            <w:pPr>
              <w:pStyle w:val="Tablesmalltext"/>
              <w:rPr>
                <w:rFonts w:eastAsia="Times New Roman"/>
                <w:vertAlign w:val="superscript"/>
                <w:lang w:val="en-AU" w:eastAsia="en-AU"/>
              </w:rPr>
            </w:pPr>
            <w:r w:rsidRPr="003172EE">
              <w:t>Shorty</w:t>
            </w:r>
            <w:r>
              <w:rPr>
                <w:vertAlign w:val="superscript"/>
              </w:rPr>
              <w:t>5</w:t>
            </w:r>
          </w:p>
        </w:tc>
        <w:tc>
          <w:tcPr>
            <w:tcW w:w="754" w:type="dxa"/>
            <w:shd w:val="clear" w:color="auto" w:fill="auto"/>
          </w:tcPr>
          <w:p w14:paraId="7C9D7DCA"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20.47</w:t>
            </w:r>
          </w:p>
        </w:tc>
        <w:tc>
          <w:tcPr>
            <w:tcW w:w="4349" w:type="dxa"/>
            <w:shd w:val="clear" w:color="auto" w:fill="FFFFCC"/>
          </w:tcPr>
          <w:p w14:paraId="40EFA2F9" w14:textId="77777777" w:rsidR="00D27DDC" w:rsidRPr="00A95DC0" w:rsidRDefault="00D27DDC" w:rsidP="00D27DDC">
            <w:pPr>
              <w:pStyle w:val="Tablesmalltext"/>
            </w:pPr>
          </w:p>
        </w:tc>
        <w:tc>
          <w:tcPr>
            <w:tcW w:w="1731" w:type="dxa"/>
            <w:shd w:val="clear" w:color="auto" w:fill="FFFFCC"/>
          </w:tcPr>
          <w:p w14:paraId="444BF636" w14:textId="77777777" w:rsidR="00D27DDC" w:rsidRPr="00A95DC0" w:rsidRDefault="00D27DDC" w:rsidP="00D27DDC">
            <w:pPr>
              <w:pStyle w:val="Tablesmalltext"/>
            </w:pPr>
          </w:p>
        </w:tc>
        <w:tc>
          <w:tcPr>
            <w:tcW w:w="1163" w:type="dxa"/>
            <w:shd w:val="clear" w:color="auto" w:fill="FFFFCC"/>
          </w:tcPr>
          <w:p w14:paraId="31314199" w14:textId="77777777" w:rsidR="00D27DDC" w:rsidRPr="00A95DC0" w:rsidRDefault="00D27DDC" w:rsidP="00D27DDC">
            <w:pPr>
              <w:pStyle w:val="Tablesmalltext"/>
              <w:jc w:val="center"/>
            </w:pPr>
          </w:p>
        </w:tc>
      </w:tr>
      <w:tr w:rsidR="001F6A6F" w:rsidRPr="00A95DC0" w14:paraId="16E9E54E" w14:textId="77777777" w:rsidTr="00E97780">
        <w:trPr>
          <w:trHeight w:val="650"/>
        </w:trPr>
        <w:tc>
          <w:tcPr>
            <w:tcW w:w="579" w:type="dxa"/>
            <w:vMerge w:val="restart"/>
            <w:shd w:val="clear" w:color="auto" w:fill="auto"/>
            <w:noWrap/>
            <w:hideMark/>
          </w:tcPr>
          <w:p w14:paraId="3D9DCAF7" w14:textId="77777777" w:rsidR="001F6A6F" w:rsidRPr="008B4F4B" w:rsidRDefault="001F6A6F" w:rsidP="00D27DDC">
            <w:pPr>
              <w:pStyle w:val="Tablesmalltext"/>
              <w:jc w:val="center"/>
              <w:rPr>
                <w:rFonts w:eastAsia="Times New Roman"/>
                <w:lang w:val="en-AU" w:eastAsia="en-AU"/>
              </w:rPr>
            </w:pPr>
            <w:r w:rsidRPr="008B4F4B">
              <w:rPr>
                <w:rFonts w:eastAsia="Times New Roman"/>
                <w:lang w:val="en-AU" w:eastAsia="en-AU"/>
              </w:rPr>
              <w:t>10</w:t>
            </w:r>
          </w:p>
        </w:tc>
        <w:tc>
          <w:tcPr>
            <w:tcW w:w="1406" w:type="dxa"/>
            <w:vMerge w:val="restart"/>
            <w:shd w:val="clear" w:color="auto" w:fill="auto"/>
            <w:noWrap/>
          </w:tcPr>
          <w:p w14:paraId="69803B5F" w14:textId="77777777" w:rsidR="001F6A6F" w:rsidRPr="008B4F4B" w:rsidRDefault="001F6A6F" w:rsidP="00D27DDC">
            <w:pPr>
              <w:pStyle w:val="Tablesmalltext"/>
              <w:rPr>
                <w:rFonts w:eastAsia="Times New Roman"/>
                <w:lang w:val="en-AU" w:eastAsia="en-AU"/>
              </w:rPr>
            </w:pPr>
            <w:r w:rsidRPr="003172EE">
              <w:t>Shaq is Back</w:t>
            </w:r>
          </w:p>
        </w:tc>
        <w:tc>
          <w:tcPr>
            <w:tcW w:w="754" w:type="dxa"/>
            <w:vMerge w:val="restart"/>
            <w:shd w:val="clear" w:color="auto" w:fill="auto"/>
          </w:tcPr>
          <w:p w14:paraId="77729CF3" w14:textId="77777777" w:rsidR="001F6A6F" w:rsidRPr="008B4F4B" w:rsidRDefault="001F6A6F" w:rsidP="00D27DDC">
            <w:pPr>
              <w:pStyle w:val="Tablesmalltext"/>
              <w:jc w:val="center"/>
              <w:rPr>
                <w:rFonts w:eastAsia="Times New Roman"/>
                <w:lang w:val="en-AU" w:eastAsia="en-AU"/>
              </w:rPr>
            </w:pPr>
            <w:r>
              <w:rPr>
                <w:rFonts w:eastAsia="Times New Roman"/>
                <w:lang w:val="en-AU" w:eastAsia="en-AU"/>
              </w:rPr>
              <w:t>30.60</w:t>
            </w:r>
          </w:p>
        </w:tc>
        <w:tc>
          <w:tcPr>
            <w:tcW w:w="4349" w:type="dxa"/>
          </w:tcPr>
          <w:p w14:paraId="02FC16A2" w14:textId="77777777" w:rsidR="001F6A6F" w:rsidRPr="00A95DC0" w:rsidRDefault="001F6A6F" w:rsidP="00D27DDC">
            <w:pPr>
              <w:pStyle w:val="Tablesmalltext"/>
            </w:pPr>
            <w:r>
              <w:t>Erosion of waterway crossing embankment has resulted in sediment deposition into waterway</w:t>
            </w:r>
          </w:p>
        </w:tc>
        <w:tc>
          <w:tcPr>
            <w:tcW w:w="1731" w:type="dxa"/>
          </w:tcPr>
          <w:p w14:paraId="1BFCFE2D" w14:textId="77777777" w:rsidR="001F6A6F" w:rsidRPr="00A95DC0" w:rsidRDefault="001F6A6F" w:rsidP="00D27DDC">
            <w:pPr>
              <w:pStyle w:val="Tablesmalltext"/>
            </w:pPr>
            <w:r>
              <w:t>6.01, 7.07, 25.01 |</w:t>
            </w:r>
            <w:r>
              <w:br/>
              <w:t>C2.2.1.2/12, 2.4.3.3</w:t>
            </w:r>
          </w:p>
        </w:tc>
        <w:tc>
          <w:tcPr>
            <w:tcW w:w="1163" w:type="dxa"/>
          </w:tcPr>
          <w:p w14:paraId="53AFB61A" w14:textId="77777777" w:rsidR="001F6A6F" w:rsidRPr="00A95DC0" w:rsidRDefault="001F6A6F" w:rsidP="00D27DDC">
            <w:pPr>
              <w:pStyle w:val="Tablesmalltext"/>
              <w:jc w:val="center"/>
            </w:pPr>
            <w:r>
              <w:t>Minor</w:t>
            </w:r>
          </w:p>
        </w:tc>
      </w:tr>
      <w:tr w:rsidR="00D27DDC" w:rsidRPr="00A95DC0" w14:paraId="28437268" w14:textId="77777777" w:rsidTr="00523E3C">
        <w:trPr>
          <w:trHeight w:val="95"/>
        </w:trPr>
        <w:tc>
          <w:tcPr>
            <w:tcW w:w="579" w:type="dxa"/>
            <w:vMerge/>
            <w:shd w:val="clear" w:color="auto" w:fill="auto"/>
            <w:noWrap/>
          </w:tcPr>
          <w:p w14:paraId="1E0993B5"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70743BB0" w14:textId="77777777" w:rsidR="00D27DDC" w:rsidRPr="003172EE" w:rsidRDefault="00D27DDC" w:rsidP="00D27DDC">
            <w:pPr>
              <w:pStyle w:val="Tablesmalltext"/>
            </w:pPr>
          </w:p>
        </w:tc>
        <w:tc>
          <w:tcPr>
            <w:tcW w:w="754" w:type="dxa"/>
            <w:vMerge/>
            <w:shd w:val="clear" w:color="auto" w:fill="auto"/>
          </w:tcPr>
          <w:p w14:paraId="3622C896" w14:textId="77777777" w:rsidR="00D27DDC" w:rsidRPr="008B4F4B" w:rsidRDefault="00D27DDC" w:rsidP="00D27DDC">
            <w:pPr>
              <w:pStyle w:val="Tablesmalltext"/>
              <w:jc w:val="center"/>
              <w:rPr>
                <w:rFonts w:eastAsia="Times New Roman"/>
                <w:lang w:val="en-AU" w:eastAsia="en-AU"/>
              </w:rPr>
            </w:pPr>
          </w:p>
        </w:tc>
        <w:tc>
          <w:tcPr>
            <w:tcW w:w="4349" w:type="dxa"/>
          </w:tcPr>
          <w:p w14:paraId="6F75E51A" w14:textId="77777777" w:rsidR="00D27DDC" w:rsidRPr="00A95DC0" w:rsidRDefault="00D27DDC" w:rsidP="00D27DDC">
            <w:pPr>
              <w:pStyle w:val="Tablesmalltext"/>
            </w:pPr>
            <w:r>
              <w:t>Section of in-coupe road with insufficient drainage for slope and soil erosion hazard</w:t>
            </w:r>
          </w:p>
        </w:tc>
        <w:tc>
          <w:tcPr>
            <w:tcW w:w="1731" w:type="dxa"/>
          </w:tcPr>
          <w:p w14:paraId="18E302A5" w14:textId="77777777" w:rsidR="00D27DDC" w:rsidRPr="00A95DC0" w:rsidRDefault="00D27DDC" w:rsidP="00D27DDC">
            <w:pPr>
              <w:pStyle w:val="Tablesmalltext"/>
            </w:pPr>
            <w:r>
              <w:t>26.01 |</w:t>
            </w:r>
            <w:r>
              <w:br/>
              <w:t>C2.4.2.5, M6.2.4.1</w:t>
            </w:r>
          </w:p>
        </w:tc>
        <w:tc>
          <w:tcPr>
            <w:tcW w:w="1163" w:type="dxa"/>
          </w:tcPr>
          <w:p w14:paraId="57E93281" w14:textId="77777777" w:rsidR="00D27DDC" w:rsidRPr="00A95DC0" w:rsidRDefault="00D27DDC" w:rsidP="00D27DDC">
            <w:pPr>
              <w:pStyle w:val="Tablesmalltext"/>
              <w:jc w:val="center"/>
            </w:pPr>
            <w:r>
              <w:t>Minor</w:t>
            </w:r>
          </w:p>
        </w:tc>
      </w:tr>
      <w:tr w:rsidR="00D27DDC" w:rsidRPr="00A95DC0" w14:paraId="2FD6B0CC" w14:textId="77777777" w:rsidTr="00523E3C">
        <w:tc>
          <w:tcPr>
            <w:tcW w:w="579" w:type="dxa"/>
            <w:shd w:val="clear" w:color="auto" w:fill="auto"/>
            <w:noWrap/>
            <w:hideMark/>
          </w:tcPr>
          <w:p w14:paraId="3E88B6B4"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11</w:t>
            </w:r>
          </w:p>
        </w:tc>
        <w:tc>
          <w:tcPr>
            <w:tcW w:w="1406" w:type="dxa"/>
            <w:shd w:val="clear" w:color="auto" w:fill="auto"/>
            <w:noWrap/>
          </w:tcPr>
          <w:p w14:paraId="1DD5F6B4" w14:textId="77777777" w:rsidR="00D27DDC" w:rsidRPr="00572D5E" w:rsidRDefault="00D27DDC" w:rsidP="00D27DDC">
            <w:pPr>
              <w:pStyle w:val="Tablesmalltext"/>
              <w:rPr>
                <w:rFonts w:eastAsia="Times New Roman"/>
                <w:vertAlign w:val="superscript"/>
                <w:lang w:val="en-AU" w:eastAsia="en-AU"/>
              </w:rPr>
            </w:pPr>
            <w:r w:rsidRPr="00BD6932">
              <w:t>No Doubt</w:t>
            </w:r>
            <w:r>
              <w:rPr>
                <w:vertAlign w:val="superscript"/>
              </w:rPr>
              <w:t>5</w:t>
            </w:r>
          </w:p>
        </w:tc>
        <w:tc>
          <w:tcPr>
            <w:tcW w:w="754" w:type="dxa"/>
            <w:shd w:val="clear" w:color="auto" w:fill="auto"/>
          </w:tcPr>
          <w:p w14:paraId="34660CAA"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28.55</w:t>
            </w:r>
          </w:p>
        </w:tc>
        <w:tc>
          <w:tcPr>
            <w:tcW w:w="4349" w:type="dxa"/>
            <w:shd w:val="clear" w:color="auto" w:fill="FFFFCC"/>
          </w:tcPr>
          <w:p w14:paraId="4A00B537" w14:textId="77777777" w:rsidR="00D27DDC" w:rsidRPr="00A95DC0" w:rsidRDefault="00D27DDC" w:rsidP="00D27DDC">
            <w:pPr>
              <w:pStyle w:val="Tablesmalltext"/>
            </w:pPr>
          </w:p>
        </w:tc>
        <w:tc>
          <w:tcPr>
            <w:tcW w:w="1731" w:type="dxa"/>
            <w:shd w:val="clear" w:color="auto" w:fill="FFFFCC"/>
          </w:tcPr>
          <w:p w14:paraId="1834E88F" w14:textId="77777777" w:rsidR="00D27DDC" w:rsidRPr="00A95DC0" w:rsidRDefault="00D27DDC" w:rsidP="00D27DDC">
            <w:pPr>
              <w:pStyle w:val="Tablesmalltext"/>
            </w:pPr>
          </w:p>
        </w:tc>
        <w:tc>
          <w:tcPr>
            <w:tcW w:w="1163" w:type="dxa"/>
            <w:shd w:val="clear" w:color="auto" w:fill="FFFFCC"/>
          </w:tcPr>
          <w:p w14:paraId="40CA66CE" w14:textId="77777777" w:rsidR="00D27DDC" w:rsidRPr="00A95DC0" w:rsidRDefault="00D27DDC" w:rsidP="00D27DDC">
            <w:pPr>
              <w:pStyle w:val="Tablesmalltext"/>
              <w:jc w:val="center"/>
            </w:pPr>
          </w:p>
        </w:tc>
      </w:tr>
      <w:tr w:rsidR="00D27DDC" w:rsidRPr="00A95DC0" w14:paraId="7B825ECA" w14:textId="77777777" w:rsidTr="00523E3C">
        <w:tc>
          <w:tcPr>
            <w:tcW w:w="579" w:type="dxa"/>
            <w:shd w:val="clear" w:color="auto" w:fill="auto"/>
            <w:noWrap/>
            <w:hideMark/>
          </w:tcPr>
          <w:p w14:paraId="5A495248"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12</w:t>
            </w:r>
          </w:p>
        </w:tc>
        <w:tc>
          <w:tcPr>
            <w:tcW w:w="1406" w:type="dxa"/>
            <w:shd w:val="clear" w:color="auto" w:fill="auto"/>
            <w:noWrap/>
          </w:tcPr>
          <w:p w14:paraId="49E67BA2" w14:textId="77777777" w:rsidR="00D27DDC" w:rsidRPr="00572D5E" w:rsidRDefault="00D27DDC" w:rsidP="00D27DDC">
            <w:pPr>
              <w:pStyle w:val="Tablesmalltext"/>
              <w:rPr>
                <w:rFonts w:eastAsia="Times New Roman"/>
                <w:vertAlign w:val="superscript"/>
                <w:lang w:val="en-AU" w:eastAsia="en-AU"/>
              </w:rPr>
            </w:pPr>
            <w:r w:rsidRPr="00BD6932">
              <w:t>Princess Di</w:t>
            </w:r>
            <w:r>
              <w:rPr>
                <w:vertAlign w:val="superscript"/>
              </w:rPr>
              <w:t>5</w:t>
            </w:r>
          </w:p>
        </w:tc>
        <w:tc>
          <w:tcPr>
            <w:tcW w:w="754" w:type="dxa"/>
            <w:shd w:val="clear" w:color="auto" w:fill="auto"/>
          </w:tcPr>
          <w:p w14:paraId="2A21C9C6"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51.28</w:t>
            </w:r>
          </w:p>
        </w:tc>
        <w:tc>
          <w:tcPr>
            <w:tcW w:w="4349" w:type="dxa"/>
            <w:shd w:val="clear" w:color="auto" w:fill="FFFFCC"/>
          </w:tcPr>
          <w:p w14:paraId="6D467530" w14:textId="77777777" w:rsidR="00D27DDC" w:rsidRPr="00A95DC0" w:rsidRDefault="00D27DDC" w:rsidP="00D27DDC">
            <w:pPr>
              <w:pStyle w:val="Tablesmalltext"/>
            </w:pPr>
          </w:p>
        </w:tc>
        <w:tc>
          <w:tcPr>
            <w:tcW w:w="1731" w:type="dxa"/>
            <w:shd w:val="clear" w:color="auto" w:fill="FFFFCC"/>
          </w:tcPr>
          <w:p w14:paraId="430A9E7C" w14:textId="77777777" w:rsidR="00D27DDC" w:rsidRPr="00A95DC0" w:rsidRDefault="00D27DDC" w:rsidP="00D27DDC">
            <w:pPr>
              <w:pStyle w:val="Tablesmalltext"/>
            </w:pPr>
          </w:p>
        </w:tc>
        <w:tc>
          <w:tcPr>
            <w:tcW w:w="1163" w:type="dxa"/>
            <w:shd w:val="clear" w:color="auto" w:fill="FFFFCC"/>
          </w:tcPr>
          <w:p w14:paraId="096ED231" w14:textId="77777777" w:rsidR="00D27DDC" w:rsidRPr="00A95DC0" w:rsidRDefault="00D27DDC" w:rsidP="00D27DDC">
            <w:pPr>
              <w:pStyle w:val="Tablesmalltext"/>
              <w:jc w:val="center"/>
            </w:pPr>
          </w:p>
        </w:tc>
      </w:tr>
      <w:tr w:rsidR="00D27DDC" w:rsidRPr="00A95DC0" w14:paraId="3B9F215F" w14:textId="77777777" w:rsidTr="00523E3C">
        <w:tc>
          <w:tcPr>
            <w:tcW w:w="579" w:type="dxa"/>
            <w:shd w:val="clear" w:color="auto" w:fill="auto"/>
            <w:noWrap/>
            <w:hideMark/>
          </w:tcPr>
          <w:p w14:paraId="537B660A"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13</w:t>
            </w:r>
          </w:p>
        </w:tc>
        <w:tc>
          <w:tcPr>
            <w:tcW w:w="1406" w:type="dxa"/>
            <w:shd w:val="clear" w:color="auto" w:fill="auto"/>
            <w:noWrap/>
          </w:tcPr>
          <w:p w14:paraId="400674CF" w14:textId="77777777" w:rsidR="00D27DDC" w:rsidRPr="00572D5E" w:rsidRDefault="00D27DDC" w:rsidP="00D27DDC">
            <w:pPr>
              <w:pStyle w:val="Tablesmalltext"/>
              <w:rPr>
                <w:rFonts w:eastAsia="Times New Roman"/>
                <w:vertAlign w:val="superscript"/>
                <w:lang w:val="en-AU" w:eastAsia="en-AU"/>
              </w:rPr>
            </w:pPr>
            <w:r w:rsidRPr="00BD6932">
              <w:t>Barjarg Flat</w:t>
            </w:r>
            <w:r>
              <w:rPr>
                <w:vertAlign w:val="superscript"/>
              </w:rPr>
              <w:t>5</w:t>
            </w:r>
          </w:p>
        </w:tc>
        <w:tc>
          <w:tcPr>
            <w:tcW w:w="754" w:type="dxa"/>
            <w:shd w:val="clear" w:color="auto" w:fill="auto"/>
          </w:tcPr>
          <w:p w14:paraId="52BC079C"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61.15</w:t>
            </w:r>
          </w:p>
        </w:tc>
        <w:tc>
          <w:tcPr>
            <w:tcW w:w="4349" w:type="dxa"/>
            <w:shd w:val="clear" w:color="auto" w:fill="FFFFCC"/>
          </w:tcPr>
          <w:p w14:paraId="127CC06B" w14:textId="77777777" w:rsidR="00D27DDC" w:rsidRPr="00A95DC0" w:rsidRDefault="00D27DDC" w:rsidP="00D27DDC">
            <w:pPr>
              <w:pStyle w:val="Tablesmalltext"/>
            </w:pPr>
          </w:p>
        </w:tc>
        <w:tc>
          <w:tcPr>
            <w:tcW w:w="1731" w:type="dxa"/>
            <w:shd w:val="clear" w:color="auto" w:fill="FFFFCC"/>
          </w:tcPr>
          <w:p w14:paraId="56EE8D0E" w14:textId="77777777" w:rsidR="00D27DDC" w:rsidRPr="00A95DC0" w:rsidRDefault="00D27DDC" w:rsidP="00D27DDC">
            <w:pPr>
              <w:pStyle w:val="Tablesmalltext"/>
            </w:pPr>
          </w:p>
        </w:tc>
        <w:tc>
          <w:tcPr>
            <w:tcW w:w="1163" w:type="dxa"/>
            <w:shd w:val="clear" w:color="auto" w:fill="FFFFCC"/>
          </w:tcPr>
          <w:p w14:paraId="18A6372B" w14:textId="77777777" w:rsidR="00D27DDC" w:rsidRPr="00A95DC0" w:rsidRDefault="00D27DDC" w:rsidP="00D27DDC">
            <w:pPr>
              <w:pStyle w:val="Tablesmalltext"/>
              <w:jc w:val="center"/>
            </w:pPr>
          </w:p>
        </w:tc>
      </w:tr>
      <w:tr w:rsidR="00D27DDC" w:rsidRPr="00A95DC0" w14:paraId="62700226" w14:textId="77777777" w:rsidTr="00523E3C">
        <w:trPr>
          <w:trHeight w:val="95"/>
        </w:trPr>
        <w:tc>
          <w:tcPr>
            <w:tcW w:w="579" w:type="dxa"/>
            <w:vMerge w:val="restart"/>
            <w:shd w:val="clear" w:color="auto" w:fill="auto"/>
            <w:noWrap/>
            <w:hideMark/>
          </w:tcPr>
          <w:p w14:paraId="62D00E8E"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14</w:t>
            </w:r>
          </w:p>
        </w:tc>
        <w:tc>
          <w:tcPr>
            <w:tcW w:w="1406" w:type="dxa"/>
            <w:vMerge w:val="restart"/>
            <w:shd w:val="clear" w:color="auto" w:fill="auto"/>
            <w:noWrap/>
          </w:tcPr>
          <w:p w14:paraId="62CB3DA4" w14:textId="77777777" w:rsidR="00D27DDC" w:rsidRPr="000D47DC" w:rsidRDefault="00D27DDC" w:rsidP="00D27DDC">
            <w:pPr>
              <w:pStyle w:val="Tablesmalltext"/>
              <w:rPr>
                <w:rFonts w:eastAsia="Times New Roman"/>
                <w:vertAlign w:val="superscript"/>
                <w:lang w:val="en-AU" w:eastAsia="en-AU"/>
              </w:rPr>
            </w:pPr>
            <w:r w:rsidRPr="007652DF">
              <w:t>Fairway</w:t>
            </w:r>
          </w:p>
        </w:tc>
        <w:tc>
          <w:tcPr>
            <w:tcW w:w="754" w:type="dxa"/>
            <w:vMerge w:val="restart"/>
            <w:shd w:val="clear" w:color="auto" w:fill="auto"/>
          </w:tcPr>
          <w:p w14:paraId="2A08B78A" w14:textId="77777777" w:rsidR="00D27DDC" w:rsidRPr="00572D5E" w:rsidRDefault="00D27DDC" w:rsidP="00D27DDC">
            <w:pPr>
              <w:pStyle w:val="Tablesmalltext"/>
              <w:jc w:val="center"/>
              <w:rPr>
                <w:rFonts w:eastAsia="Times New Roman"/>
                <w:lang w:val="en-AU" w:eastAsia="en-AU"/>
              </w:rPr>
            </w:pPr>
            <w:r>
              <w:rPr>
                <w:rFonts w:eastAsia="Times New Roman"/>
                <w:lang w:val="en-AU" w:eastAsia="en-AU"/>
              </w:rPr>
              <w:t>54.91</w:t>
            </w:r>
          </w:p>
        </w:tc>
        <w:tc>
          <w:tcPr>
            <w:tcW w:w="4349" w:type="dxa"/>
            <w:shd w:val="clear" w:color="auto" w:fill="auto"/>
          </w:tcPr>
          <w:p w14:paraId="2B75DF62" w14:textId="65FB0818" w:rsidR="00D27DDC" w:rsidRPr="00A95DC0" w:rsidRDefault="00D27DDC" w:rsidP="00D27DDC">
            <w:pPr>
              <w:pStyle w:val="Tablesmalltext"/>
            </w:pPr>
            <w:r>
              <w:t xml:space="preserve">Regeneration burn </w:t>
            </w:r>
            <w:r w:rsidR="00F42977">
              <w:t>crossed</w:t>
            </w:r>
            <w:r>
              <w:t xml:space="preserve"> boundary track into planned riparian buffer, with damage to </w:t>
            </w:r>
            <w:r w:rsidR="00F42977">
              <w:t>understorey</w:t>
            </w:r>
            <w:r>
              <w:t xml:space="preserve"> and overstor</w:t>
            </w:r>
            <w:r w:rsidR="00F42977">
              <w:t>e</w:t>
            </w:r>
            <w:r>
              <w:t>y vegetation and reduction in water quality protection value of buffer</w:t>
            </w:r>
          </w:p>
        </w:tc>
        <w:tc>
          <w:tcPr>
            <w:tcW w:w="1731" w:type="dxa"/>
            <w:shd w:val="clear" w:color="auto" w:fill="auto"/>
          </w:tcPr>
          <w:p w14:paraId="6407798F" w14:textId="77777777" w:rsidR="00D27DDC" w:rsidRPr="00A95DC0" w:rsidRDefault="00D27DDC" w:rsidP="00D27DDC">
            <w:pPr>
              <w:pStyle w:val="Tablesmalltext"/>
            </w:pPr>
            <w:r>
              <w:t>6.01, 9.00, 19.01 |</w:t>
            </w:r>
            <w:r>
              <w:br/>
              <w:t xml:space="preserve">C2.2.1.2, 2.2.2.4/5, </w:t>
            </w:r>
          </w:p>
        </w:tc>
        <w:tc>
          <w:tcPr>
            <w:tcW w:w="1163" w:type="dxa"/>
            <w:shd w:val="clear" w:color="auto" w:fill="auto"/>
          </w:tcPr>
          <w:p w14:paraId="0DCF3D51" w14:textId="77777777" w:rsidR="00D27DDC" w:rsidRPr="00A95DC0" w:rsidRDefault="00D27DDC" w:rsidP="00D27DDC">
            <w:pPr>
              <w:pStyle w:val="Tablesmalltext"/>
              <w:jc w:val="center"/>
            </w:pPr>
            <w:r>
              <w:t>Major</w:t>
            </w:r>
          </w:p>
        </w:tc>
      </w:tr>
      <w:tr w:rsidR="00D27DDC" w:rsidRPr="00A95DC0" w14:paraId="42126F4A" w14:textId="77777777" w:rsidTr="00523E3C">
        <w:trPr>
          <w:trHeight w:val="95"/>
        </w:trPr>
        <w:tc>
          <w:tcPr>
            <w:tcW w:w="579" w:type="dxa"/>
            <w:vMerge/>
            <w:shd w:val="clear" w:color="auto" w:fill="auto"/>
            <w:noWrap/>
          </w:tcPr>
          <w:p w14:paraId="7E0F4EB5"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2C4B6CF7" w14:textId="77777777" w:rsidR="00D27DDC" w:rsidRPr="007652DF" w:rsidRDefault="00D27DDC" w:rsidP="00D27DDC">
            <w:pPr>
              <w:pStyle w:val="Tablesmalltext"/>
            </w:pPr>
          </w:p>
        </w:tc>
        <w:tc>
          <w:tcPr>
            <w:tcW w:w="754" w:type="dxa"/>
            <w:vMerge/>
            <w:shd w:val="clear" w:color="auto" w:fill="auto"/>
          </w:tcPr>
          <w:p w14:paraId="64A01945" w14:textId="77777777" w:rsidR="00D27DDC" w:rsidRPr="000D47DC" w:rsidRDefault="00D27DDC" w:rsidP="00D27DDC">
            <w:pPr>
              <w:pStyle w:val="Tablesmalltext"/>
              <w:jc w:val="center"/>
              <w:rPr>
                <w:rFonts w:eastAsia="Times New Roman"/>
                <w:vertAlign w:val="superscript"/>
                <w:lang w:val="en-AU" w:eastAsia="en-AU"/>
              </w:rPr>
            </w:pPr>
          </w:p>
        </w:tc>
        <w:tc>
          <w:tcPr>
            <w:tcW w:w="4349" w:type="dxa"/>
            <w:shd w:val="clear" w:color="auto" w:fill="auto"/>
          </w:tcPr>
          <w:p w14:paraId="6CF6483A" w14:textId="0680C2D9" w:rsidR="00D27DDC" w:rsidRPr="00A95DC0" w:rsidRDefault="00D27DDC" w:rsidP="00D27DDC">
            <w:pPr>
              <w:pStyle w:val="Tablesmalltext"/>
            </w:pPr>
            <w:r>
              <w:t>Boundary track around regeneration burn entered Leadbeaters Possum SPZ</w:t>
            </w:r>
          </w:p>
        </w:tc>
        <w:tc>
          <w:tcPr>
            <w:tcW w:w="1731" w:type="dxa"/>
            <w:shd w:val="clear" w:color="auto" w:fill="auto"/>
          </w:tcPr>
          <w:p w14:paraId="3F3DC2F2" w14:textId="77777777" w:rsidR="00D27DDC" w:rsidRPr="00A95DC0" w:rsidRDefault="00D27DDC" w:rsidP="00D27DDC">
            <w:pPr>
              <w:pStyle w:val="Tablesmalltext"/>
            </w:pPr>
            <w:r>
              <w:t>14.02/06, 30.01, 31.01 |</w:t>
            </w:r>
            <w:r>
              <w:br/>
              <w:t>M4.2.1.1, 7.1.2.1, P4.3.1.1 C2.5.1.2/5</w:t>
            </w:r>
          </w:p>
        </w:tc>
        <w:tc>
          <w:tcPr>
            <w:tcW w:w="1163" w:type="dxa"/>
            <w:shd w:val="clear" w:color="auto" w:fill="auto"/>
          </w:tcPr>
          <w:p w14:paraId="3F6C8AB7" w14:textId="77777777" w:rsidR="00D27DDC" w:rsidRPr="00A95DC0" w:rsidRDefault="00D27DDC" w:rsidP="00D27DDC">
            <w:pPr>
              <w:pStyle w:val="Tablesmalltext"/>
              <w:jc w:val="center"/>
            </w:pPr>
            <w:r>
              <w:t>Major</w:t>
            </w:r>
          </w:p>
        </w:tc>
      </w:tr>
      <w:tr w:rsidR="00D27DDC" w:rsidRPr="00A95DC0" w14:paraId="0355DBFC" w14:textId="77777777" w:rsidTr="00523E3C">
        <w:trPr>
          <w:trHeight w:val="95"/>
        </w:trPr>
        <w:tc>
          <w:tcPr>
            <w:tcW w:w="579" w:type="dxa"/>
            <w:vMerge/>
            <w:shd w:val="clear" w:color="auto" w:fill="auto"/>
            <w:noWrap/>
          </w:tcPr>
          <w:p w14:paraId="5844376F"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4C0F7717" w14:textId="77777777" w:rsidR="00D27DDC" w:rsidRPr="007652DF" w:rsidRDefault="00D27DDC" w:rsidP="00D27DDC">
            <w:pPr>
              <w:pStyle w:val="Tablesmalltext"/>
            </w:pPr>
          </w:p>
        </w:tc>
        <w:tc>
          <w:tcPr>
            <w:tcW w:w="754" w:type="dxa"/>
            <w:vMerge/>
            <w:shd w:val="clear" w:color="auto" w:fill="auto"/>
          </w:tcPr>
          <w:p w14:paraId="08587810" w14:textId="77777777" w:rsidR="00D27DDC" w:rsidRPr="000D47DC" w:rsidRDefault="00D27DDC" w:rsidP="00D27DDC">
            <w:pPr>
              <w:pStyle w:val="Tablesmalltext"/>
              <w:jc w:val="center"/>
              <w:rPr>
                <w:rFonts w:eastAsia="Times New Roman"/>
                <w:vertAlign w:val="superscript"/>
                <w:lang w:val="en-AU" w:eastAsia="en-AU"/>
              </w:rPr>
            </w:pPr>
          </w:p>
        </w:tc>
        <w:tc>
          <w:tcPr>
            <w:tcW w:w="4349" w:type="dxa"/>
            <w:shd w:val="clear" w:color="auto" w:fill="auto"/>
          </w:tcPr>
          <w:p w14:paraId="4502B4F6" w14:textId="77777777" w:rsidR="00D27DDC" w:rsidRPr="00A95DC0" w:rsidRDefault="00D27DDC" w:rsidP="00D27DDC">
            <w:pPr>
              <w:pStyle w:val="Tablesmalltext"/>
            </w:pPr>
            <w:r>
              <w:t>Section of snig track with insufficient drainage for slope and soil erosion hazard</w:t>
            </w:r>
          </w:p>
        </w:tc>
        <w:tc>
          <w:tcPr>
            <w:tcW w:w="1731" w:type="dxa"/>
            <w:shd w:val="clear" w:color="auto" w:fill="auto"/>
          </w:tcPr>
          <w:p w14:paraId="13E50F38" w14:textId="77777777" w:rsidR="00D27DDC" w:rsidRPr="00A95DC0" w:rsidRDefault="00D27DDC" w:rsidP="00D27DDC">
            <w:pPr>
              <w:pStyle w:val="Tablesmalltext"/>
            </w:pPr>
            <w:r>
              <w:t>32.12 |</w:t>
            </w:r>
            <w:r>
              <w:br/>
              <w:t>C2.5.2.5</w:t>
            </w:r>
          </w:p>
        </w:tc>
        <w:tc>
          <w:tcPr>
            <w:tcW w:w="1163" w:type="dxa"/>
            <w:shd w:val="clear" w:color="auto" w:fill="auto"/>
          </w:tcPr>
          <w:p w14:paraId="5585A69E" w14:textId="77777777" w:rsidR="00D27DDC" w:rsidRPr="00A95DC0" w:rsidRDefault="00D27DDC" w:rsidP="00D27DDC">
            <w:pPr>
              <w:pStyle w:val="Tablesmalltext"/>
              <w:jc w:val="center"/>
            </w:pPr>
            <w:r>
              <w:t>Negligible</w:t>
            </w:r>
          </w:p>
        </w:tc>
      </w:tr>
      <w:tr w:rsidR="00D27DDC" w:rsidRPr="00A95DC0" w14:paraId="63CB497D" w14:textId="77777777" w:rsidTr="00523E3C">
        <w:trPr>
          <w:trHeight w:val="143"/>
        </w:trPr>
        <w:tc>
          <w:tcPr>
            <w:tcW w:w="579" w:type="dxa"/>
            <w:vMerge w:val="restart"/>
            <w:shd w:val="clear" w:color="auto" w:fill="auto"/>
            <w:noWrap/>
            <w:hideMark/>
          </w:tcPr>
          <w:p w14:paraId="0FE50B32"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15</w:t>
            </w:r>
          </w:p>
        </w:tc>
        <w:tc>
          <w:tcPr>
            <w:tcW w:w="1406" w:type="dxa"/>
            <w:vMerge w:val="restart"/>
            <w:shd w:val="clear" w:color="auto" w:fill="auto"/>
            <w:noWrap/>
          </w:tcPr>
          <w:p w14:paraId="60EB3CED" w14:textId="77777777" w:rsidR="00D27DDC" w:rsidRPr="008B4F4B" w:rsidRDefault="00D27DDC" w:rsidP="00D27DDC">
            <w:pPr>
              <w:pStyle w:val="Tablesmalltext"/>
              <w:rPr>
                <w:rFonts w:eastAsia="Times New Roman"/>
                <w:lang w:val="en-AU" w:eastAsia="en-AU"/>
              </w:rPr>
            </w:pPr>
            <w:r w:rsidRPr="007652DF">
              <w:t>Phasinator</w:t>
            </w:r>
          </w:p>
        </w:tc>
        <w:tc>
          <w:tcPr>
            <w:tcW w:w="754" w:type="dxa"/>
            <w:vMerge w:val="restart"/>
            <w:shd w:val="clear" w:color="auto" w:fill="auto"/>
          </w:tcPr>
          <w:p w14:paraId="3B8D400B"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12.10</w:t>
            </w:r>
          </w:p>
        </w:tc>
        <w:tc>
          <w:tcPr>
            <w:tcW w:w="4349" w:type="dxa"/>
            <w:shd w:val="clear" w:color="auto" w:fill="auto"/>
          </w:tcPr>
          <w:p w14:paraId="34DEA7B6" w14:textId="06EA55B0" w:rsidR="00D27DDC" w:rsidRPr="00A95DC0" w:rsidRDefault="00D27DDC" w:rsidP="00D27DDC">
            <w:pPr>
              <w:pStyle w:val="Tablesmalltext"/>
            </w:pPr>
            <w:r>
              <w:t xml:space="preserve">Areas of regeneration from earlier logging history (within coupe) burnt in regeneration burn. Regeneration burn </w:t>
            </w:r>
            <w:r w:rsidR="00F42977">
              <w:t>crossed</w:t>
            </w:r>
            <w:r>
              <w:t xml:space="preserve"> into waterway exclusion area</w:t>
            </w:r>
          </w:p>
        </w:tc>
        <w:tc>
          <w:tcPr>
            <w:tcW w:w="1731" w:type="dxa"/>
            <w:shd w:val="clear" w:color="auto" w:fill="auto"/>
          </w:tcPr>
          <w:p w14:paraId="5CD4B00E" w14:textId="77777777" w:rsidR="00D27DDC" w:rsidRPr="00A95DC0" w:rsidRDefault="00D27DDC" w:rsidP="00D27DDC">
            <w:pPr>
              <w:pStyle w:val="Tablesmalltext"/>
            </w:pPr>
            <w:r>
              <w:t>19.01, 30.01 |</w:t>
            </w:r>
            <w:r>
              <w:br/>
              <w:t>C2.2.2.5, 2.5.1.2</w:t>
            </w:r>
          </w:p>
        </w:tc>
        <w:tc>
          <w:tcPr>
            <w:tcW w:w="1163" w:type="dxa"/>
            <w:shd w:val="clear" w:color="auto" w:fill="auto"/>
          </w:tcPr>
          <w:p w14:paraId="6672F91A" w14:textId="77777777" w:rsidR="00D27DDC" w:rsidRPr="00A95DC0" w:rsidRDefault="00D27DDC" w:rsidP="00D27DDC">
            <w:pPr>
              <w:pStyle w:val="Tablesmalltext"/>
              <w:jc w:val="center"/>
            </w:pPr>
            <w:r>
              <w:t>Moderate</w:t>
            </w:r>
          </w:p>
        </w:tc>
      </w:tr>
      <w:tr w:rsidR="00D27DDC" w:rsidRPr="00A95DC0" w14:paraId="0E9227A3" w14:textId="77777777" w:rsidTr="00523E3C">
        <w:trPr>
          <w:trHeight w:val="142"/>
        </w:trPr>
        <w:tc>
          <w:tcPr>
            <w:tcW w:w="579" w:type="dxa"/>
            <w:vMerge/>
            <w:shd w:val="clear" w:color="auto" w:fill="auto"/>
            <w:noWrap/>
          </w:tcPr>
          <w:p w14:paraId="08CF2199"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0D488E40" w14:textId="77777777" w:rsidR="00D27DDC" w:rsidRPr="007652DF" w:rsidRDefault="00D27DDC" w:rsidP="00D27DDC">
            <w:pPr>
              <w:pStyle w:val="Tablesmalltext"/>
            </w:pPr>
          </w:p>
        </w:tc>
        <w:tc>
          <w:tcPr>
            <w:tcW w:w="754" w:type="dxa"/>
            <w:vMerge/>
            <w:shd w:val="clear" w:color="auto" w:fill="auto"/>
          </w:tcPr>
          <w:p w14:paraId="3385F269"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34B172B9" w14:textId="77777777" w:rsidR="00D27DDC" w:rsidRPr="00A95DC0" w:rsidRDefault="00D27DDC" w:rsidP="00D27DDC">
            <w:pPr>
              <w:pStyle w:val="Tablesmalltext"/>
            </w:pPr>
            <w:r>
              <w:t>Boundary tracks not drained as required following completion of regeneration burning</w:t>
            </w:r>
          </w:p>
        </w:tc>
        <w:tc>
          <w:tcPr>
            <w:tcW w:w="1731" w:type="dxa"/>
            <w:shd w:val="clear" w:color="auto" w:fill="auto"/>
          </w:tcPr>
          <w:p w14:paraId="168AEF1D" w14:textId="77777777" w:rsidR="00D27DDC" w:rsidRPr="00A95DC0" w:rsidRDefault="00D27DDC" w:rsidP="00D27DDC">
            <w:pPr>
              <w:pStyle w:val="Tablesmalltext"/>
            </w:pPr>
            <w:r>
              <w:t>32.11 |</w:t>
            </w:r>
            <w:r>
              <w:br/>
              <w:t>M7.2.3.4</w:t>
            </w:r>
          </w:p>
        </w:tc>
        <w:tc>
          <w:tcPr>
            <w:tcW w:w="1163" w:type="dxa"/>
            <w:shd w:val="clear" w:color="auto" w:fill="auto"/>
          </w:tcPr>
          <w:p w14:paraId="6B03DF15" w14:textId="77777777" w:rsidR="00D27DDC" w:rsidRPr="00A95DC0" w:rsidRDefault="00D27DDC" w:rsidP="00D27DDC">
            <w:pPr>
              <w:pStyle w:val="Tablesmalltext"/>
              <w:jc w:val="center"/>
            </w:pPr>
            <w:r>
              <w:t>Negligible</w:t>
            </w:r>
          </w:p>
        </w:tc>
      </w:tr>
      <w:tr w:rsidR="00D27DDC" w:rsidRPr="00A95DC0" w14:paraId="78213343" w14:textId="77777777" w:rsidTr="00523E3C">
        <w:trPr>
          <w:trHeight w:val="72"/>
        </w:trPr>
        <w:tc>
          <w:tcPr>
            <w:tcW w:w="579" w:type="dxa"/>
            <w:vMerge w:val="restart"/>
            <w:shd w:val="clear" w:color="auto" w:fill="auto"/>
            <w:noWrap/>
            <w:hideMark/>
          </w:tcPr>
          <w:p w14:paraId="18074733"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16</w:t>
            </w:r>
          </w:p>
        </w:tc>
        <w:tc>
          <w:tcPr>
            <w:tcW w:w="1406" w:type="dxa"/>
            <w:vMerge w:val="restart"/>
            <w:shd w:val="clear" w:color="auto" w:fill="auto"/>
            <w:noWrap/>
          </w:tcPr>
          <w:p w14:paraId="6A431EBB" w14:textId="77777777" w:rsidR="00D27DDC" w:rsidRPr="008B4F4B" w:rsidRDefault="00D27DDC" w:rsidP="00D27DDC">
            <w:pPr>
              <w:pStyle w:val="Tablesmalltext"/>
              <w:rPr>
                <w:rFonts w:eastAsia="Times New Roman"/>
                <w:lang w:val="en-AU" w:eastAsia="en-AU"/>
              </w:rPr>
            </w:pPr>
            <w:r w:rsidRPr="007652DF">
              <w:t>Lady Lavery</w:t>
            </w:r>
          </w:p>
        </w:tc>
        <w:tc>
          <w:tcPr>
            <w:tcW w:w="754" w:type="dxa"/>
            <w:vMerge w:val="restart"/>
            <w:shd w:val="clear" w:color="auto" w:fill="auto"/>
          </w:tcPr>
          <w:p w14:paraId="2BFED669"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42.39</w:t>
            </w:r>
          </w:p>
        </w:tc>
        <w:tc>
          <w:tcPr>
            <w:tcW w:w="4349" w:type="dxa"/>
            <w:shd w:val="clear" w:color="auto" w:fill="auto"/>
          </w:tcPr>
          <w:p w14:paraId="6A7431E4" w14:textId="77777777" w:rsidR="00D27DDC" w:rsidRPr="00A95DC0" w:rsidRDefault="00D27DDC" w:rsidP="00D27DDC">
            <w:pPr>
              <w:pStyle w:val="Tablesmalltext"/>
            </w:pPr>
            <w:r>
              <w:t>Mass movement on in-coupe road embankment</w:t>
            </w:r>
          </w:p>
        </w:tc>
        <w:tc>
          <w:tcPr>
            <w:tcW w:w="1731" w:type="dxa"/>
            <w:shd w:val="clear" w:color="auto" w:fill="auto"/>
          </w:tcPr>
          <w:p w14:paraId="06AAD711" w14:textId="77777777" w:rsidR="00D27DDC" w:rsidRPr="00A95DC0" w:rsidRDefault="00D27DDC" w:rsidP="00D27DDC">
            <w:pPr>
              <w:pStyle w:val="Tablesmalltext"/>
            </w:pPr>
            <w:r>
              <w:t>8.02, 25.01/04|</w:t>
            </w:r>
            <w:r>
              <w:br/>
              <w:t>C2.2.1.14/15, 2.4.3.3, M6.2.2.3</w:t>
            </w:r>
          </w:p>
        </w:tc>
        <w:tc>
          <w:tcPr>
            <w:tcW w:w="1163" w:type="dxa"/>
            <w:shd w:val="clear" w:color="auto" w:fill="auto"/>
          </w:tcPr>
          <w:p w14:paraId="6309557B" w14:textId="77777777" w:rsidR="00D27DDC" w:rsidRPr="00A95DC0" w:rsidRDefault="00D27DDC" w:rsidP="00D27DDC">
            <w:pPr>
              <w:pStyle w:val="Tablesmalltext"/>
              <w:jc w:val="center"/>
            </w:pPr>
            <w:r>
              <w:t>Minor</w:t>
            </w:r>
          </w:p>
        </w:tc>
      </w:tr>
      <w:tr w:rsidR="00D27DDC" w:rsidRPr="00A95DC0" w14:paraId="476EBF7A" w14:textId="77777777" w:rsidTr="00523E3C">
        <w:trPr>
          <w:trHeight w:val="71"/>
        </w:trPr>
        <w:tc>
          <w:tcPr>
            <w:tcW w:w="579" w:type="dxa"/>
            <w:vMerge/>
            <w:shd w:val="clear" w:color="auto" w:fill="auto"/>
            <w:noWrap/>
          </w:tcPr>
          <w:p w14:paraId="2CB87A8A"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3C41DADF" w14:textId="77777777" w:rsidR="00D27DDC" w:rsidRPr="007652DF" w:rsidRDefault="00D27DDC" w:rsidP="00D27DDC">
            <w:pPr>
              <w:pStyle w:val="Tablesmalltext"/>
            </w:pPr>
          </w:p>
        </w:tc>
        <w:tc>
          <w:tcPr>
            <w:tcW w:w="754" w:type="dxa"/>
            <w:vMerge/>
            <w:shd w:val="clear" w:color="auto" w:fill="auto"/>
          </w:tcPr>
          <w:p w14:paraId="45767594"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6C897D10" w14:textId="03594D52" w:rsidR="00D27DDC" w:rsidRPr="00A95DC0" w:rsidRDefault="00D27DDC" w:rsidP="00D27DDC">
            <w:pPr>
              <w:pStyle w:val="Tablesmalltext"/>
            </w:pPr>
            <w:r>
              <w:t xml:space="preserve">Regeneration burn </w:t>
            </w:r>
            <w:r w:rsidR="00F42977">
              <w:t>crossed</w:t>
            </w:r>
            <w:r>
              <w:t xml:space="preserve"> into Leadbeaters Possum and rainforest SPZ, with damage to understorey vegetation </w:t>
            </w:r>
          </w:p>
        </w:tc>
        <w:tc>
          <w:tcPr>
            <w:tcW w:w="1731" w:type="dxa"/>
            <w:shd w:val="clear" w:color="auto" w:fill="auto"/>
          </w:tcPr>
          <w:p w14:paraId="718FC7E5" w14:textId="77777777" w:rsidR="00D27DDC" w:rsidRPr="00A95DC0" w:rsidRDefault="00D27DDC" w:rsidP="00D27DDC">
            <w:pPr>
              <w:pStyle w:val="Tablesmalltext"/>
            </w:pPr>
            <w:r>
              <w:t>9.00, 14.02/06, 18.08, 19.01, 30.01, 31.01 |</w:t>
            </w:r>
            <w:r>
              <w:br/>
              <w:t xml:space="preserve">C2.2.2.1/4, 2.2.2.5, 2.5.1.2/5 M4.2.1.1, </w:t>
            </w:r>
            <w:r>
              <w:lastRenderedPageBreak/>
              <w:t>7.1.2.1, P4.3.1.1, 4.6.5.1</w:t>
            </w:r>
          </w:p>
        </w:tc>
        <w:tc>
          <w:tcPr>
            <w:tcW w:w="1163" w:type="dxa"/>
            <w:shd w:val="clear" w:color="auto" w:fill="auto"/>
          </w:tcPr>
          <w:p w14:paraId="33F48A69" w14:textId="77777777" w:rsidR="00D27DDC" w:rsidRPr="00A95DC0" w:rsidRDefault="00D27DDC" w:rsidP="00D27DDC">
            <w:pPr>
              <w:pStyle w:val="Tablesmalltext"/>
              <w:jc w:val="center"/>
            </w:pPr>
            <w:r>
              <w:lastRenderedPageBreak/>
              <w:t>Major</w:t>
            </w:r>
          </w:p>
        </w:tc>
      </w:tr>
      <w:tr w:rsidR="00D27DDC" w:rsidRPr="00A95DC0" w14:paraId="051F26DB" w14:textId="77777777" w:rsidTr="00523E3C">
        <w:trPr>
          <w:trHeight w:val="71"/>
        </w:trPr>
        <w:tc>
          <w:tcPr>
            <w:tcW w:w="579" w:type="dxa"/>
            <w:vMerge/>
            <w:shd w:val="clear" w:color="auto" w:fill="auto"/>
            <w:noWrap/>
          </w:tcPr>
          <w:p w14:paraId="7EB48348"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6E1D6ACC" w14:textId="77777777" w:rsidR="00D27DDC" w:rsidRPr="007652DF" w:rsidRDefault="00D27DDC" w:rsidP="00D27DDC">
            <w:pPr>
              <w:pStyle w:val="Tablesmalltext"/>
            </w:pPr>
          </w:p>
        </w:tc>
        <w:tc>
          <w:tcPr>
            <w:tcW w:w="754" w:type="dxa"/>
            <w:vMerge/>
            <w:shd w:val="clear" w:color="auto" w:fill="auto"/>
          </w:tcPr>
          <w:p w14:paraId="799707DF"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3215E847" w14:textId="77777777" w:rsidR="00D27DDC" w:rsidRPr="00A95DC0" w:rsidRDefault="00D27DDC" w:rsidP="00D27DDC">
            <w:pPr>
              <w:pStyle w:val="Tablesmalltext"/>
            </w:pPr>
            <w:r>
              <w:t>Harvesting machinery created/followed track in Leadbeaters Possum and rainforest SPZ</w:t>
            </w:r>
          </w:p>
        </w:tc>
        <w:tc>
          <w:tcPr>
            <w:tcW w:w="1731" w:type="dxa"/>
            <w:shd w:val="clear" w:color="auto" w:fill="auto"/>
          </w:tcPr>
          <w:p w14:paraId="0D7CC5C9" w14:textId="77777777" w:rsidR="00D27DDC" w:rsidRPr="00A95DC0" w:rsidRDefault="00D27DDC" w:rsidP="00D27DDC">
            <w:pPr>
              <w:pStyle w:val="Tablesmalltext"/>
            </w:pPr>
            <w:r>
              <w:t>9.00, 14.02/06, 18.08, 19.01, 30.01, 31.01 |</w:t>
            </w:r>
            <w:r>
              <w:br/>
              <w:t>C2.2.2.1/4, 2.2.2.5, 2.5.1.2/5 M4.2.1.1, 7.1.2.1/2, P4.3.1.1, 4.6.5.1</w:t>
            </w:r>
          </w:p>
        </w:tc>
        <w:tc>
          <w:tcPr>
            <w:tcW w:w="1163" w:type="dxa"/>
            <w:shd w:val="clear" w:color="auto" w:fill="auto"/>
          </w:tcPr>
          <w:p w14:paraId="06BC6945" w14:textId="77777777" w:rsidR="00D27DDC" w:rsidRPr="00A95DC0" w:rsidRDefault="00D27DDC" w:rsidP="00D27DDC">
            <w:pPr>
              <w:pStyle w:val="Tablesmalltext"/>
              <w:jc w:val="center"/>
            </w:pPr>
            <w:r>
              <w:t>Major</w:t>
            </w:r>
          </w:p>
        </w:tc>
      </w:tr>
      <w:tr w:rsidR="00D27DDC" w:rsidRPr="00A95DC0" w14:paraId="6E031606" w14:textId="77777777" w:rsidTr="00523E3C">
        <w:trPr>
          <w:trHeight w:val="71"/>
        </w:trPr>
        <w:tc>
          <w:tcPr>
            <w:tcW w:w="579" w:type="dxa"/>
            <w:vMerge/>
            <w:shd w:val="clear" w:color="auto" w:fill="auto"/>
            <w:noWrap/>
          </w:tcPr>
          <w:p w14:paraId="1722482C"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193784B2" w14:textId="77777777" w:rsidR="00D27DDC" w:rsidRPr="007652DF" w:rsidRDefault="00D27DDC" w:rsidP="00D27DDC">
            <w:pPr>
              <w:pStyle w:val="Tablesmalltext"/>
            </w:pPr>
          </w:p>
        </w:tc>
        <w:tc>
          <w:tcPr>
            <w:tcW w:w="754" w:type="dxa"/>
            <w:vMerge/>
            <w:shd w:val="clear" w:color="auto" w:fill="auto"/>
          </w:tcPr>
          <w:p w14:paraId="01EA69CC"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18E97561" w14:textId="77777777" w:rsidR="00D27DDC" w:rsidRPr="00A95DC0" w:rsidRDefault="00D27DDC" w:rsidP="00D27DDC">
            <w:pPr>
              <w:pStyle w:val="Tablesmalltext"/>
            </w:pPr>
            <w:r>
              <w:t>Section of in-coupe road with insufficient drainage for slope and soil erosion hazard</w:t>
            </w:r>
          </w:p>
        </w:tc>
        <w:tc>
          <w:tcPr>
            <w:tcW w:w="1731" w:type="dxa"/>
            <w:shd w:val="clear" w:color="auto" w:fill="auto"/>
          </w:tcPr>
          <w:p w14:paraId="4F48BB8B" w14:textId="77777777" w:rsidR="00D27DDC" w:rsidRPr="00A95DC0" w:rsidRDefault="00D27DDC" w:rsidP="00D27DDC">
            <w:pPr>
              <w:pStyle w:val="Tablesmalltext"/>
            </w:pPr>
            <w:r>
              <w:t>26.01 |</w:t>
            </w:r>
            <w:r>
              <w:br/>
              <w:t>C2.4.2.5, M6.2.4.1</w:t>
            </w:r>
          </w:p>
        </w:tc>
        <w:tc>
          <w:tcPr>
            <w:tcW w:w="1163" w:type="dxa"/>
            <w:shd w:val="clear" w:color="auto" w:fill="auto"/>
          </w:tcPr>
          <w:p w14:paraId="344FA1E8" w14:textId="77777777" w:rsidR="00D27DDC" w:rsidRPr="00A95DC0" w:rsidRDefault="00D27DDC" w:rsidP="00D27DDC">
            <w:pPr>
              <w:pStyle w:val="Tablesmalltext"/>
              <w:jc w:val="center"/>
            </w:pPr>
            <w:r>
              <w:t>Minor</w:t>
            </w:r>
          </w:p>
        </w:tc>
      </w:tr>
      <w:tr w:rsidR="00D27DDC" w:rsidRPr="00A95DC0" w14:paraId="7CB28EFD" w14:textId="77777777" w:rsidTr="00523E3C">
        <w:tc>
          <w:tcPr>
            <w:tcW w:w="579" w:type="dxa"/>
            <w:shd w:val="clear" w:color="auto" w:fill="auto"/>
            <w:noWrap/>
            <w:hideMark/>
          </w:tcPr>
          <w:p w14:paraId="0770CEBB"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17</w:t>
            </w:r>
          </w:p>
        </w:tc>
        <w:tc>
          <w:tcPr>
            <w:tcW w:w="1406" w:type="dxa"/>
            <w:shd w:val="clear" w:color="auto" w:fill="auto"/>
            <w:noWrap/>
          </w:tcPr>
          <w:p w14:paraId="0DB79ACD" w14:textId="77777777" w:rsidR="00D27DDC" w:rsidRPr="00473F42" w:rsidRDefault="00D27DDC" w:rsidP="00D27DDC">
            <w:pPr>
              <w:pStyle w:val="Tablesmalltext"/>
              <w:rPr>
                <w:rFonts w:eastAsia="Times New Roman"/>
                <w:vertAlign w:val="superscript"/>
                <w:lang w:val="en-AU" w:eastAsia="en-AU"/>
              </w:rPr>
            </w:pPr>
            <w:r w:rsidRPr="007652DF">
              <w:t>Orca</w:t>
            </w:r>
          </w:p>
        </w:tc>
        <w:tc>
          <w:tcPr>
            <w:tcW w:w="754" w:type="dxa"/>
            <w:shd w:val="clear" w:color="auto" w:fill="auto"/>
          </w:tcPr>
          <w:p w14:paraId="57BA6D28"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7.30</w:t>
            </w:r>
          </w:p>
        </w:tc>
        <w:tc>
          <w:tcPr>
            <w:tcW w:w="4349" w:type="dxa"/>
            <w:shd w:val="clear" w:color="auto" w:fill="auto"/>
          </w:tcPr>
          <w:p w14:paraId="25FA8AB3" w14:textId="04762590" w:rsidR="00D27DDC" w:rsidRPr="00A95DC0" w:rsidRDefault="00D27DDC" w:rsidP="00D27DDC">
            <w:pPr>
              <w:pStyle w:val="Tablesmalltext"/>
            </w:pPr>
            <w:r>
              <w:t>Myrtle Beech trees in riparian buffer scorched and killed by regeneration burn (without burn having escaped into the buffer</w:t>
            </w:r>
            <w:r w:rsidR="00F42977">
              <w:t>)</w:t>
            </w:r>
            <w:r>
              <w:t>.</w:t>
            </w:r>
          </w:p>
        </w:tc>
        <w:tc>
          <w:tcPr>
            <w:tcW w:w="1731" w:type="dxa"/>
            <w:shd w:val="clear" w:color="auto" w:fill="auto"/>
          </w:tcPr>
          <w:p w14:paraId="17A7AF79" w14:textId="77777777" w:rsidR="00D27DDC" w:rsidRPr="00A95DC0" w:rsidRDefault="00D27DDC" w:rsidP="00D27DDC">
            <w:pPr>
              <w:pStyle w:val="Tablesmalltext"/>
            </w:pPr>
            <w:r>
              <w:t>9.00, 19.01 |</w:t>
            </w:r>
            <w:r>
              <w:br/>
              <w:t>C2.2.2.4/5</w:t>
            </w:r>
          </w:p>
        </w:tc>
        <w:tc>
          <w:tcPr>
            <w:tcW w:w="1163" w:type="dxa"/>
            <w:shd w:val="clear" w:color="auto" w:fill="auto"/>
          </w:tcPr>
          <w:p w14:paraId="17038283" w14:textId="77777777" w:rsidR="00D27DDC" w:rsidRPr="00A95DC0" w:rsidRDefault="00D27DDC" w:rsidP="00D27DDC">
            <w:pPr>
              <w:pStyle w:val="Tablesmalltext"/>
              <w:jc w:val="center"/>
            </w:pPr>
            <w:r>
              <w:t>Moderate</w:t>
            </w:r>
          </w:p>
        </w:tc>
      </w:tr>
      <w:tr w:rsidR="00D27DDC" w:rsidRPr="00A95DC0" w14:paraId="5BD928AC" w14:textId="77777777" w:rsidTr="00523E3C">
        <w:trPr>
          <w:trHeight w:val="57"/>
        </w:trPr>
        <w:tc>
          <w:tcPr>
            <w:tcW w:w="579" w:type="dxa"/>
            <w:vMerge w:val="restart"/>
            <w:shd w:val="clear" w:color="auto" w:fill="auto"/>
            <w:noWrap/>
            <w:hideMark/>
          </w:tcPr>
          <w:p w14:paraId="692470FA"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18</w:t>
            </w:r>
          </w:p>
        </w:tc>
        <w:tc>
          <w:tcPr>
            <w:tcW w:w="1406" w:type="dxa"/>
            <w:vMerge w:val="restart"/>
            <w:shd w:val="clear" w:color="auto" w:fill="auto"/>
            <w:noWrap/>
          </w:tcPr>
          <w:p w14:paraId="360F0468" w14:textId="77777777" w:rsidR="00D27DDC" w:rsidRPr="00473F42" w:rsidRDefault="00D27DDC" w:rsidP="00D27DDC">
            <w:pPr>
              <w:pStyle w:val="Tablesmalltext"/>
              <w:rPr>
                <w:rFonts w:eastAsia="Times New Roman"/>
                <w:vertAlign w:val="superscript"/>
                <w:lang w:val="en-AU" w:eastAsia="en-AU"/>
              </w:rPr>
            </w:pPr>
            <w:r w:rsidRPr="00BD6932">
              <w:t>Mulloway</w:t>
            </w:r>
          </w:p>
        </w:tc>
        <w:tc>
          <w:tcPr>
            <w:tcW w:w="754" w:type="dxa"/>
            <w:vMerge w:val="restart"/>
            <w:shd w:val="clear" w:color="auto" w:fill="auto"/>
          </w:tcPr>
          <w:p w14:paraId="7928DE99"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42.77</w:t>
            </w:r>
          </w:p>
        </w:tc>
        <w:tc>
          <w:tcPr>
            <w:tcW w:w="4349" w:type="dxa"/>
            <w:shd w:val="clear" w:color="auto" w:fill="auto"/>
          </w:tcPr>
          <w:p w14:paraId="2FF0851A" w14:textId="77777777" w:rsidR="00D27DDC" w:rsidRPr="00A95DC0" w:rsidRDefault="00D27DDC" w:rsidP="00D27DDC">
            <w:pPr>
              <w:pStyle w:val="Tablesmalltext"/>
            </w:pPr>
            <w:r>
              <w:t xml:space="preserve">Snig track runs downhill </w:t>
            </w:r>
            <w:r>
              <w:rPr>
                <w:rFonts w:cs="Arial"/>
              </w:rPr>
              <w:t>»</w:t>
            </w:r>
            <w:r>
              <w:t>20 m to drainage line crossing without interception. Sediment has been mobilised and deposited in waterway. Snig track waterway crossing (of temporary drainage line) has been rehabilitated, with mass soil movement resulting</w:t>
            </w:r>
          </w:p>
        </w:tc>
        <w:tc>
          <w:tcPr>
            <w:tcW w:w="1731" w:type="dxa"/>
            <w:shd w:val="clear" w:color="auto" w:fill="auto"/>
          </w:tcPr>
          <w:p w14:paraId="392EF11D" w14:textId="77777777" w:rsidR="00D27DDC" w:rsidRPr="00A95DC0" w:rsidRDefault="00D27DDC" w:rsidP="00D27DDC">
            <w:pPr>
              <w:pStyle w:val="Tablesmalltext"/>
            </w:pPr>
            <w:r>
              <w:t>6.01, 7.03/05/07 |</w:t>
            </w:r>
            <w:r>
              <w:br/>
              <w:t>C2.2.2.1.2/5/78/12</w:t>
            </w:r>
          </w:p>
        </w:tc>
        <w:tc>
          <w:tcPr>
            <w:tcW w:w="1163" w:type="dxa"/>
            <w:shd w:val="clear" w:color="auto" w:fill="auto"/>
          </w:tcPr>
          <w:p w14:paraId="58E4C7FD" w14:textId="77777777" w:rsidR="00D27DDC" w:rsidRPr="00A95DC0" w:rsidRDefault="00D27DDC" w:rsidP="00D27DDC">
            <w:pPr>
              <w:pStyle w:val="Tablesmalltext"/>
              <w:jc w:val="center"/>
            </w:pPr>
            <w:r>
              <w:t>Minor</w:t>
            </w:r>
          </w:p>
        </w:tc>
      </w:tr>
      <w:tr w:rsidR="00D27DDC" w:rsidRPr="00A95DC0" w14:paraId="7813FB07" w14:textId="77777777" w:rsidTr="00523E3C">
        <w:trPr>
          <w:trHeight w:val="57"/>
        </w:trPr>
        <w:tc>
          <w:tcPr>
            <w:tcW w:w="579" w:type="dxa"/>
            <w:vMerge/>
            <w:shd w:val="clear" w:color="auto" w:fill="auto"/>
            <w:noWrap/>
          </w:tcPr>
          <w:p w14:paraId="34FA40AD"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7F8FFFCA" w14:textId="77777777" w:rsidR="00D27DDC" w:rsidRPr="00BD6932" w:rsidRDefault="00D27DDC" w:rsidP="00D27DDC">
            <w:pPr>
              <w:pStyle w:val="Tablesmalltext"/>
            </w:pPr>
          </w:p>
        </w:tc>
        <w:tc>
          <w:tcPr>
            <w:tcW w:w="754" w:type="dxa"/>
            <w:vMerge/>
            <w:shd w:val="clear" w:color="auto" w:fill="auto"/>
          </w:tcPr>
          <w:p w14:paraId="5254EB82"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1EDBAF46" w14:textId="578AFE5A" w:rsidR="00D27DDC" w:rsidRPr="00A95DC0" w:rsidRDefault="00D27DDC" w:rsidP="00D27DDC">
            <w:pPr>
              <w:pStyle w:val="Tablesmalltext"/>
            </w:pPr>
            <w:r>
              <w:t xml:space="preserve">Regeneration burn </w:t>
            </w:r>
            <w:r w:rsidR="00F42977">
              <w:t>crossed</w:t>
            </w:r>
            <w:r>
              <w:t xml:space="preserve"> into unharvested buffer, affecting understorey and biodiversity values</w:t>
            </w:r>
          </w:p>
        </w:tc>
        <w:tc>
          <w:tcPr>
            <w:tcW w:w="1731" w:type="dxa"/>
            <w:shd w:val="clear" w:color="auto" w:fill="auto"/>
          </w:tcPr>
          <w:p w14:paraId="6CDFCA1F" w14:textId="77777777" w:rsidR="00D27DDC" w:rsidRPr="00A95DC0" w:rsidRDefault="00D27DDC" w:rsidP="00D27DDC">
            <w:pPr>
              <w:pStyle w:val="Tablesmalltext"/>
            </w:pPr>
            <w:r>
              <w:t>9.00, 19.01, 30.01 31.01, |</w:t>
            </w:r>
            <w:r>
              <w:br/>
              <w:t xml:space="preserve">C2.2.2.4/5, 2.5.1.2,  M7.1.2.1, 7.1.2.3, </w:t>
            </w:r>
          </w:p>
        </w:tc>
        <w:tc>
          <w:tcPr>
            <w:tcW w:w="1163" w:type="dxa"/>
            <w:shd w:val="clear" w:color="auto" w:fill="auto"/>
          </w:tcPr>
          <w:p w14:paraId="605A0238" w14:textId="77777777" w:rsidR="00D27DDC" w:rsidRPr="00A95DC0" w:rsidRDefault="00D27DDC" w:rsidP="00D27DDC">
            <w:pPr>
              <w:pStyle w:val="Tablesmalltext"/>
              <w:jc w:val="center"/>
            </w:pPr>
            <w:r>
              <w:t>Major</w:t>
            </w:r>
          </w:p>
        </w:tc>
      </w:tr>
      <w:tr w:rsidR="00D27DDC" w:rsidRPr="00A95DC0" w14:paraId="1FFDB557" w14:textId="77777777" w:rsidTr="00523E3C">
        <w:trPr>
          <w:trHeight w:val="57"/>
        </w:trPr>
        <w:tc>
          <w:tcPr>
            <w:tcW w:w="579" w:type="dxa"/>
            <w:vMerge/>
            <w:shd w:val="clear" w:color="auto" w:fill="auto"/>
            <w:noWrap/>
          </w:tcPr>
          <w:p w14:paraId="31922FD5"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5041D49F" w14:textId="77777777" w:rsidR="00D27DDC" w:rsidRPr="00BD6932" w:rsidRDefault="00D27DDC" w:rsidP="00D27DDC">
            <w:pPr>
              <w:pStyle w:val="Tablesmalltext"/>
            </w:pPr>
          </w:p>
        </w:tc>
        <w:tc>
          <w:tcPr>
            <w:tcW w:w="754" w:type="dxa"/>
            <w:vMerge/>
            <w:shd w:val="clear" w:color="auto" w:fill="auto"/>
          </w:tcPr>
          <w:p w14:paraId="0886B43A"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32BCCE18" w14:textId="023C6C70" w:rsidR="00D27DDC" w:rsidRPr="00A95DC0" w:rsidRDefault="00D27DDC" w:rsidP="00D27DDC">
            <w:pPr>
              <w:pStyle w:val="Tablesmalltext"/>
            </w:pPr>
            <w:r>
              <w:t xml:space="preserve">Regeneration burn </w:t>
            </w:r>
            <w:r w:rsidR="00F42977">
              <w:t>crossed</w:t>
            </w:r>
            <w:r>
              <w:t xml:space="preserve"> into adjacent coupe.</w:t>
            </w:r>
          </w:p>
        </w:tc>
        <w:tc>
          <w:tcPr>
            <w:tcW w:w="1731" w:type="dxa"/>
            <w:shd w:val="clear" w:color="auto" w:fill="auto"/>
          </w:tcPr>
          <w:p w14:paraId="103B2AF7" w14:textId="77777777" w:rsidR="00D27DDC" w:rsidRPr="00A95DC0" w:rsidRDefault="00D27DDC" w:rsidP="00D27DDC">
            <w:pPr>
              <w:pStyle w:val="Tablesmalltext"/>
            </w:pPr>
            <w:r>
              <w:t>19.01 |</w:t>
            </w:r>
            <w:r>
              <w:br/>
              <w:t>C2.2.2.5</w:t>
            </w:r>
          </w:p>
        </w:tc>
        <w:tc>
          <w:tcPr>
            <w:tcW w:w="1163" w:type="dxa"/>
            <w:shd w:val="clear" w:color="auto" w:fill="auto"/>
          </w:tcPr>
          <w:p w14:paraId="48EBFAB4" w14:textId="77777777" w:rsidR="00D27DDC" w:rsidRPr="00A95DC0" w:rsidRDefault="00D27DDC" w:rsidP="00D27DDC">
            <w:pPr>
              <w:pStyle w:val="Tablesmalltext"/>
              <w:jc w:val="center"/>
            </w:pPr>
            <w:r>
              <w:t>Major</w:t>
            </w:r>
          </w:p>
        </w:tc>
      </w:tr>
      <w:tr w:rsidR="00D27DDC" w:rsidRPr="00A95DC0" w14:paraId="5A662AB6" w14:textId="77777777" w:rsidTr="00523E3C">
        <w:trPr>
          <w:trHeight w:val="57"/>
        </w:trPr>
        <w:tc>
          <w:tcPr>
            <w:tcW w:w="579" w:type="dxa"/>
            <w:vMerge/>
            <w:shd w:val="clear" w:color="auto" w:fill="auto"/>
            <w:noWrap/>
          </w:tcPr>
          <w:p w14:paraId="63229E4C"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421FC5B1" w14:textId="77777777" w:rsidR="00D27DDC" w:rsidRPr="00BD6932" w:rsidRDefault="00D27DDC" w:rsidP="00D27DDC">
            <w:pPr>
              <w:pStyle w:val="Tablesmalltext"/>
            </w:pPr>
          </w:p>
        </w:tc>
        <w:tc>
          <w:tcPr>
            <w:tcW w:w="754" w:type="dxa"/>
            <w:vMerge/>
            <w:shd w:val="clear" w:color="auto" w:fill="auto"/>
          </w:tcPr>
          <w:p w14:paraId="57EFE959"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29D7D134" w14:textId="77777777" w:rsidR="00D27DDC" w:rsidRPr="00A95DC0" w:rsidRDefault="00D27DDC" w:rsidP="00D27DDC">
            <w:pPr>
              <w:pStyle w:val="Tablesmalltext"/>
            </w:pPr>
            <w:r>
              <w:t>Section of in-coupe road with insufficient drainage for slope and soil erosion hazard</w:t>
            </w:r>
          </w:p>
        </w:tc>
        <w:tc>
          <w:tcPr>
            <w:tcW w:w="1731" w:type="dxa"/>
            <w:shd w:val="clear" w:color="auto" w:fill="auto"/>
          </w:tcPr>
          <w:p w14:paraId="57817182" w14:textId="77777777" w:rsidR="00D27DDC" w:rsidRPr="00A95DC0" w:rsidRDefault="00D27DDC" w:rsidP="00D27DDC">
            <w:pPr>
              <w:pStyle w:val="Tablesmalltext"/>
            </w:pPr>
            <w:r>
              <w:t>26.01 |</w:t>
            </w:r>
            <w:r>
              <w:br/>
              <w:t>C2.4.2.5, M6.2.4.1</w:t>
            </w:r>
          </w:p>
        </w:tc>
        <w:tc>
          <w:tcPr>
            <w:tcW w:w="1163" w:type="dxa"/>
            <w:shd w:val="clear" w:color="auto" w:fill="auto"/>
          </w:tcPr>
          <w:p w14:paraId="1BEC7C38" w14:textId="77777777" w:rsidR="00D27DDC" w:rsidRPr="00A95DC0" w:rsidRDefault="00D27DDC" w:rsidP="00D27DDC">
            <w:pPr>
              <w:pStyle w:val="Tablesmalltext"/>
              <w:jc w:val="center"/>
            </w:pPr>
            <w:r>
              <w:t>Minor</w:t>
            </w:r>
          </w:p>
        </w:tc>
      </w:tr>
      <w:tr w:rsidR="00D27DDC" w:rsidRPr="00A95DC0" w14:paraId="3C4A5A52" w14:textId="77777777" w:rsidTr="00523E3C">
        <w:trPr>
          <w:trHeight w:val="57"/>
        </w:trPr>
        <w:tc>
          <w:tcPr>
            <w:tcW w:w="579" w:type="dxa"/>
            <w:vMerge/>
            <w:shd w:val="clear" w:color="auto" w:fill="auto"/>
            <w:noWrap/>
          </w:tcPr>
          <w:p w14:paraId="1C817511"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2D74C4B3" w14:textId="77777777" w:rsidR="00D27DDC" w:rsidRPr="00BD6932" w:rsidRDefault="00D27DDC" w:rsidP="00D27DDC">
            <w:pPr>
              <w:pStyle w:val="Tablesmalltext"/>
            </w:pPr>
          </w:p>
        </w:tc>
        <w:tc>
          <w:tcPr>
            <w:tcW w:w="754" w:type="dxa"/>
            <w:vMerge/>
            <w:shd w:val="clear" w:color="auto" w:fill="auto"/>
          </w:tcPr>
          <w:p w14:paraId="73AAD15A"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7B2E7116" w14:textId="77777777" w:rsidR="00D27DDC" w:rsidRPr="00A95DC0" w:rsidRDefault="00D27DDC" w:rsidP="00D27DDC">
            <w:pPr>
              <w:pStyle w:val="Tablesmalltext"/>
            </w:pPr>
            <w:r>
              <w:t>Extended lengths of snig or boundary tracks without effective drainage, as per MSP spacing requirements for slope and soil erosion hazard.</w:t>
            </w:r>
          </w:p>
        </w:tc>
        <w:tc>
          <w:tcPr>
            <w:tcW w:w="1731" w:type="dxa"/>
            <w:shd w:val="clear" w:color="auto" w:fill="auto"/>
          </w:tcPr>
          <w:p w14:paraId="3FB561E3" w14:textId="77777777" w:rsidR="00D27DDC" w:rsidRPr="00A95DC0" w:rsidRDefault="00D27DDC" w:rsidP="00D27DDC">
            <w:pPr>
              <w:pStyle w:val="Tablesmalltext"/>
            </w:pPr>
            <w:r>
              <w:t>32.12</w:t>
            </w:r>
            <w:r>
              <w:br/>
              <w:t>C2.5.2.5, M2.3.4</w:t>
            </w:r>
          </w:p>
        </w:tc>
        <w:tc>
          <w:tcPr>
            <w:tcW w:w="1163" w:type="dxa"/>
            <w:shd w:val="clear" w:color="auto" w:fill="auto"/>
          </w:tcPr>
          <w:p w14:paraId="2C7915E9" w14:textId="77777777" w:rsidR="00D27DDC" w:rsidRPr="00A95DC0" w:rsidRDefault="00D27DDC" w:rsidP="00D27DDC">
            <w:pPr>
              <w:pStyle w:val="Tablesmalltext"/>
              <w:jc w:val="center"/>
            </w:pPr>
            <w:r>
              <w:t>Moderate</w:t>
            </w:r>
          </w:p>
        </w:tc>
      </w:tr>
      <w:tr w:rsidR="00D27DDC" w:rsidRPr="00A95DC0" w14:paraId="2B3EFEE8" w14:textId="77777777" w:rsidTr="00523E3C">
        <w:trPr>
          <w:trHeight w:val="72"/>
        </w:trPr>
        <w:tc>
          <w:tcPr>
            <w:tcW w:w="579" w:type="dxa"/>
            <w:vMerge w:val="restart"/>
            <w:shd w:val="clear" w:color="auto" w:fill="auto"/>
            <w:noWrap/>
            <w:hideMark/>
          </w:tcPr>
          <w:p w14:paraId="0B77CAFE"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19</w:t>
            </w:r>
          </w:p>
        </w:tc>
        <w:tc>
          <w:tcPr>
            <w:tcW w:w="1406" w:type="dxa"/>
            <w:vMerge w:val="restart"/>
            <w:shd w:val="clear" w:color="auto" w:fill="auto"/>
            <w:noWrap/>
          </w:tcPr>
          <w:p w14:paraId="0DB32587" w14:textId="77777777" w:rsidR="00D27DDC" w:rsidRPr="008B4F4B" w:rsidRDefault="00D27DDC" w:rsidP="00D27DDC">
            <w:pPr>
              <w:pStyle w:val="Tablesmalltext"/>
              <w:rPr>
                <w:rFonts w:eastAsia="Times New Roman"/>
                <w:lang w:val="en-AU" w:eastAsia="en-AU"/>
              </w:rPr>
            </w:pPr>
            <w:r w:rsidRPr="00BD6932">
              <w:t>Whiting</w:t>
            </w:r>
          </w:p>
        </w:tc>
        <w:tc>
          <w:tcPr>
            <w:tcW w:w="754" w:type="dxa"/>
            <w:vMerge w:val="restart"/>
            <w:shd w:val="clear" w:color="auto" w:fill="auto"/>
          </w:tcPr>
          <w:p w14:paraId="2CB368D0"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20.04</w:t>
            </w:r>
          </w:p>
        </w:tc>
        <w:tc>
          <w:tcPr>
            <w:tcW w:w="4349" w:type="dxa"/>
            <w:shd w:val="clear" w:color="auto" w:fill="auto"/>
          </w:tcPr>
          <w:p w14:paraId="79C8B2F3" w14:textId="77777777" w:rsidR="00D27DDC" w:rsidRPr="00A95DC0" w:rsidRDefault="00D27DDC" w:rsidP="00D27DDC">
            <w:pPr>
              <w:pStyle w:val="Tablesmalltext"/>
            </w:pPr>
            <w:r>
              <w:t>Rehabilitation of in-coupe road not appropriate to the erosivity of soils. Interception drainage on landing contributes to sediment movement</w:t>
            </w:r>
          </w:p>
        </w:tc>
        <w:tc>
          <w:tcPr>
            <w:tcW w:w="1731" w:type="dxa"/>
            <w:shd w:val="clear" w:color="auto" w:fill="auto"/>
          </w:tcPr>
          <w:p w14:paraId="238607BE" w14:textId="77777777" w:rsidR="00D27DDC" w:rsidRPr="00A95DC0" w:rsidRDefault="00D27DDC" w:rsidP="00D27DDC">
            <w:pPr>
              <w:pStyle w:val="Tablesmalltext"/>
            </w:pPr>
            <w:r>
              <w:t>6.01, 7.07, 8.01/02 | C2.2.1.2/14</w:t>
            </w:r>
          </w:p>
        </w:tc>
        <w:tc>
          <w:tcPr>
            <w:tcW w:w="1163" w:type="dxa"/>
            <w:shd w:val="clear" w:color="auto" w:fill="auto"/>
          </w:tcPr>
          <w:p w14:paraId="67E3DA6A" w14:textId="77777777" w:rsidR="00D27DDC" w:rsidRPr="00A95DC0" w:rsidRDefault="00D27DDC" w:rsidP="00D27DDC">
            <w:pPr>
              <w:pStyle w:val="Tablesmalltext"/>
              <w:jc w:val="center"/>
            </w:pPr>
            <w:r>
              <w:t>Negligible</w:t>
            </w:r>
          </w:p>
        </w:tc>
      </w:tr>
      <w:tr w:rsidR="00D27DDC" w:rsidRPr="00A95DC0" w14:paraId="0BAF79B7" w14:textId="77777777" w:rsidTr="00523E3C">
        <w:trPr>
          <w:trHeight w:val="71"/>
        </w:trPr>
        <w:tc>
          <w:tcPr>
            <w:tcW w:w="579" w:type="dxa"/>
            <w:vMerge/>
            <w:shd w:val="clear" w:color="auto" w:fill="auto"/>
            <w:noWrap/>
          </w:tcPr>
          <w:p w14:paraId="2AC5E16D"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0465CF98" w14:textId="77777777" w:rsidR="00D27DDC" w:rsidRPr="00BD6932" w:rsidRDefault="00D27DDC" w:rsidP="00D27DDC">
            <w:pPr>
              <w:pStyle w:val="Tablesmalltext"/>
            </w:pPr>
          </w:p>
        </w:tc>
        <w:tc>
          <w:tcPr>
            <w:tcW w:w="754" w:type="dxa"/>
            <w:vMerge/>
            <w:shd w:val="clear" w:color="auto" w:fill="auto"/>
          </w:tcPr>
          <w:p w14:paraId="50D9A826"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4914A0E8" w14:textId="77777777" w:rsidR="00D27DDC" w:rsidRPr="00A95DC0" w:rsidRDefault="00D27DDC" w:rsidP="00D27DDC">
            <w:pPr>
              <w:pStyle w:val="Tablesmalltext"/>
            </w:pPr>
            <w:r>
              <w:t>In-coupe road has been rehabilitated, however spacing between effective drainage structures exceeds MSP requirements, based on slope and soil erosion hazard</w:t>
            </w:r>
          </w:p>
        </w:tc>
        <w:tc>
          <w:tcPr>
            <w:tcW w:w="1731" w:type="dxa"/>
            <w:shd w:val="clear" w:color="auto" w:fill="auto"/>
          </w:tcPr>
          <w:p w14:paraId="376DBBB9" w14:textId="77777777" w:rsidR="00D27DDC" w:rsidRPr="00A95DC0" w:rsidRDefault="00D27DDC" w:rsidP="00D27DDC">
            <w:pPr>
              <w:pStyle w:val="Tablesmalltext"/>
            </w:pPr>
            <w:r>
              <w:t>26.01, 32.03 |</w:t>
            </w:r>
            <w:r>
              <w:br/>
              <w:t>C2.4.2.5, M6.2.4.1, 7.2.2.1</w:t>
            </w:r>
          </w:p>
        </w:tc>
        <w:tc>
          <w:tcPr>
            <w:tcW w:w="1163" w:type="dxa"/>
            <w:shd w:val="clear" w:color="auto" w:fill="auto"/>
          </w:tcPr>
          <w:p w14:paraId="07C78113" w14:textId="77777777" w:rsidR="00D27DDC" w:rsidRPr="00A95DC0" w:rsidRDefault="00D27DDC" w:rsidP="00D27DDC">
            <w:pPr>
              <w:pStyle w:val="Tablesmalltext"/>
              <w:jc w:val="center"/>
            </w:pPr>
            <w:r>
              <w:t>Minor</w:t>
            </w:r>
          </w:p>
        </w:tc>
      </w:tr>
      <w:tr w:rsidR="00D27DDC" w:rsidRPr="00A95DC0" w14:paraId="1C4AA302" w14:textId="77777777" w:rsidTr="00523E3C">
        <w:trPr>
          <w:trHeight w:val="71"/>
        </w:trPr>
        <w:tc>
          <w:tcPr>
            <w:tcW w:w="579" w:type="dxa"/>
            <w:vMerge/>
            <w:shd w:val="clear" w:color="auto" w:fill="auto"/>
            <w:noWrap/>
          </w:tcPr>
          <w:p w14:paraId="65DD23B7"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6FB01332" w14:textId="77777777" w:rsidR="00D27DDC" w:rsidRPr="00BD6932" w:rsidRDefault="00D27DDC" w:rsidP="00D27DDC">
            <w:pPr>
              <w:pStyle w:val="Tablesmalltext"/>
            </w:pPr>
          </w:p>
        </w:tc>
        <w:tc>
          <w:tcPr>
            <w:tcW w:w="754" w:type="dxa"/>
            <w:vMerge/>
            <w:shd w:val="clear" w:color="auto" w:fill="auto"/>
          </w:tcPr>
          <w:p w14:paraId="50DD5EB2"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5786C47B" w14:textId="77777777" w:rsidR="00D27DDC" w:rsidRPr="00A95DC0" w:rsidRDefault="00D27DDC" w:rsidP="00D27DDC">
            <w:pPr>
              <w:pStyle w:val="Tablesmalltext"/>
            </w:pPr>
            <w:r>
              <w:t>Interception drain on rehabilitated landing at incorrect slope and is accelerating water flows and erosion, rather than slowing them.</w:t>
            </w:r>
          </w:p>
        </w:tc>
        <w:tc>
          <w:tcPr>
            <w:tcW w:w="1731" w:type="dxa"/>
            <w:shd w:val="clear" w:color="auto" w:fill="auto"/>
          </w:tcPr>
          <w:p w14:paraId="682C7926" w14:textId="77777777" w:rsidR="00D27DDC" w:rsidRPr="00A95DC0" w:rsidRDefault="00D27DDC" w:rsidP="00D27DDC">
            <w:pPr>
              <w:pStyle w:val="Tablesmalltext"/>
            </w:pPr>
            <w:r>
              <w:t>32.04 |</w:t>
            </w:r>
            <w:r>
              <w:br/>
              <w:t>M7.2.2.2</w:t>
            </w:r>
          </w:p>
        </w:tc>
        <w:tc>
          <w:tcPr>
            <w:tcW w:w="1163" w:type="dxa"/>
            <w:shd w:val="clear" w:color="auto" w:fill="auto"/>
          </w:tcPr>
          <w:p w14:paraId="0D30982D" w14:textId="77777777" w:rsidR="00D27DDC" w:rsidRPr="00A95DC0" w:rsidRDefault="00D27DDC" w:rsidP="00D27DDC">
            <w:pPr>
              <w:pStyle w:val="Tablesmalltext"/>
              <w:jc w:val="center"/>
            </w:pPr>
            <w:r>
              <w:t>Minor</w:t>
            </w:r>
          </w:p>
        </w:tc>
      </w:tr>
      <w:tr w:rsidR="00D27DDC" w:rsidRPr="00A95DC0" w14:paraId="49A76F73" w14:textId="77777777" w:rsidTr="00523E3C">
        <w:trPr>
          <w:trHeight w:val="71"/>
        </w:trPr>
        <w:tc>
          <w:tcPr>
            <w:tcW w:w="579" w:type="dxa"/>
            <w:vMerge/>
            <w:shd w:val="clear" w:color="auto" w:fill="auto"/>
            <w:noWrap/>
          </w:tcPr>
          <w:p w14:paraId="765C4117"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4C3A067E" w14:textId="77777777" w:rsidR="00D27DDC" w:rsidRPr="00BD6932" w:rsidRDefault="00D27DDC" w:rsidP="00D27DDC">
            <w:pPr>
              <w:pStyle w:val="Tablesmalltext"/>
            </w:pPr>
          </w:p>
        </w:tc>
        <w:tc>
          <w:tcPr>
            <w:tcW w:w="754" w:type="dxa"/>
            <w:vMerge/>
            <w:shd w:val="clear" w:color="auto" w:fill="auto"/>
          </w:tcPr>
          <w:p w14:paraId="6917E26B"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54560A1F" w14:textId="77777777" w:rsidR="00D27DDC" w:rsidRPr="00A95DC0" w:rsidRDefault="00D27DDC" w:rsidP="00D27DDC">
            <w:pPr>
              <w:pStyle w:val="Tablesmalltext"/>
            </w:pPr>
            <w:r>
              <w:t>Snig and boundary track drainage spacings exceed MSP requirements, based on slope and soil erosion hazard</w:t>
            </w:r>
          </w:p>
        </w:tc>
        <w:tc>
          <w:tcPr>
            <w:tcW w:w="1731" w:type="dxa"/>
            <w:shd w:val="clear" w:color="auto" w:fill="auto"/>
          </w:tcPr>
          <w:p w14:paraId="03CF2CA5" w14:textId="77777777" w:rsidR="00D27DDC" w:rsidRPr="00A95DC0" w:rsidRDefault="00D27DDC" w:rsidP="00D27DDC">
            <w:pPr>
              <w:pStyle w:val="Tablesmalltext"/>
            </w:pPr>
            <w:r>
              <w:t>32.12 |</w:t>
            </w:r>
            <w:r>
              <w:br/>
              <w:t>C2.5.2.5</w:t>
            </w:r>
          </w:p>
        </w:tc>
        <w:tc>
          <w:tcPr>
            <w:tcW w:w="1163" w:type="dxa"/>
            <w:shd w:val="clear" w:color="auto" w:fill="auto"/>
          </w:tcPr>
          <w:p w14:paraId="3DF06034" w14:textId="77777777" w:rsidR="00D27DDC" w:rsidRPr="00A95DC0" w:rsidRDefault="00D27DDC" w:rsidP="00D27DDC">
            <w:pPr>
              <w:pStyle w:val="Tablesmalltext"/>
              <w:jc w:val="center"/>
            </w:pPr>
            <w:r>
              <w:t>Minor</w:t>
            </w:r>
          </w:p>
        </w:tc>
      </w:tr>
      <w:tr w:rsidR="00D27DDC" w:rsidRPr="00A95DC0" w14:paraId="21BFEFA9" w14:textId="77777777" w:rsidTr="00523E3C">
        <w:trPr>
          <w:trHeight w:val="143"/>
        </w:trPr>
        <w:tc>
          <w:tcPr>
            <w:tcW w:w="579" w:type="dxa"/>
            <w:vMerge w:val="restart"/>
            <w:shd w:val="clear" w:color="auto" w:fill="auto"/>
            <w:noWrap/>
            <w:hideMark/>
          </w:tcPr>
          <w:p w14:paraId="376B7056"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20</w:t>
            </w:r>
          </w:p>
        </w:tc>
        <w:tc>
          <w:tcPr>
            <w:tcW w:w="1406" w:type="dxa"/>
            <w:vMerge w:val="restart"/>
            <w:shd w:val="clear" w:color="auto" w:fill="auto"/>
            <w:noWrap/>
          </w:tcPr>
          <w:p w14:paraId="2FC159C0" w14:textId="77777777" w:rsidR="00D27DDC" w:rsidRPr="000D47DC" w:rsidRDefault="00D27DDC" w:rsidP="00D27DDC">
            <w:pPr>
              <w:pStyle w:val="Tablesmalltext"/>
              <w:rPr>
                <w:rFonts w:eastAsia="Times New Roman"/>
                <w:vertAlign w:val="superscript"/>
                <w:lang w:val="en-AU" w:eastAsia="en-AU"/>
              </w:rPr>
            </w:pPr>
            <w:r w:rsidRPr="007652DF">
              <w:t>Knockabout</w:t>
            </w:r>
          </w:p>
        </w:tc>
        <w:tc>
          <w:tcPr>
            <w:tcW w:w="754" w:type="dxa"/>
            <w:vMerge w:val="restart"/>
            <w:shd w:val="clear" w:color="auto" w:fill="auto"/>
          </w:tcPr>
          <w:p w14:paraId="279CF1AB" w14:textId="77777777" w:rsidR="00D27DDC" w:rsidRPr="00572D5E" w:rsidRDefault="00D27DDC" w:rsidP="00D27DDC">
            <w:pPr>
              <w:pStyle w:val="Tablesmalltext"/>
              <w:jc w:val="center"/>
              <w:rPr>
                <w:rFonts w:eastAsia="Times New Roman"/>
                <w:lang w:val="en-AU" w:eastAsia="en-AU"/>
              </w:rPr>
            </w:pPr>
            <w:r>
              <w:rPr>
                <w:rFonts w:eastAsia="Times New Roman"/>
                <w:lang w:val="en-AU" w:eastAsia="en-AU"/>
              </w:rPr>
              <w:t>29.61</w:t>
            </w:r>
          </w:p>
        </w:tc>
        <w:tc>
          <w:tcPr>
            <w:tcW w:w="4349" w:type="dxa"/>
            <w:shd w:val="clear" w:color="auto" w:fill="auto"/>
          </w:tcPr>
          <w:p w14:paraId="4AEFFB92" w14:textId="77777777" w:rsidR="00D27DDC" w:rsidRPr="00A95DC0" w:rsidRDefault="00D27DDC" w:rsidP="00D27DDC">
            <w:pPr>
              <w:pStyle w:val="Tablesmalltext"/>
            </w:pPr>
            <w:r>
              <w:t>Two sections of in-coupe road with drain spacing exceeding MSP requirements for slope and soil erosion hazard</w:t>
            </w:r>
          </w:p>
        </w:tc>
        <w:tc>
          <w:tcPr>
            <w:tcW w:w="1731" w:type="dxa"/>
            <w:shd w:val="clear" w:color="auto" w:fill="auto"/>
          </w:tcPr>
          <w:p w14:paraId="7392F0B2" w14:textId="77777777" w:rsidR="00D27DDC" w:rsidRPr="00A95DC0" w:rsidRDefault="00D27DDC" w:rsidP="00D27DDC">
            <w:pPr>
              <w:pStyle w:val="Tablesmalltext"/>
            </w:pPr>
            <w:r>
              <w:t>26.01 |</w:t>
            </w:r>
            <w:r>
              <w:br/>
              <w:t>C2.4.2.5, M6.2.4.1</w:t>
            </w:r>
          </w:p>
        </w:tc>
        <w:tc>
          <w:tcPr>
            <w:tcW w:w="1163" w:type="dxa"/>
            <w:shd w:val="clear" w:color="auto" w:fill="auto"/>
          </w:tcPr>
          <w:p w14:paraId="6728C2A4" w14:textId="77777777" w:rsidR="00D27DDC" w:rsidRPr="00A95DC0" w:rsidRDefault="00D27DDC" w:rsidP="00D27DDC">
            <w:pPr>
              <w:pStyle w:val="Tablesmalltext"/>
              <w:jc w:val="center"/>
            </w:pPr>
            <w:r>
              <w:t>Minor</w:t>
            </w:r>
          </w:p>
        </w:tc>
      </w:tr>
      <w:tr w:rsidR="00D27DDC" w:rsidRPr="00A95DC0" w14:paraId="70547BB9" w14:textId="77777777" w:rsidTr="00523E3C">
        <w:trPr>
          <w:trHeight w:val="142"/>
        </w:trPr>
        <w:tc>
          <w:tcPr>
            <w:tcW w:w="579" w:type="dxa"/>
            <w:vMerge/>
            <w:shd w:val="clear" w:color="auto" w:fill="auto"/>
            <w:noWrap/>
          </w:tcPr>
          <w:p w14:paraId="5B59F751"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2571BEDC" w14:textId="77777777" w:rsidR="00D27DDC" w:rsidRPr="007652DF" w:rsidRDefault="00D27DDC" w:rsidP="00D27DDC">
            <w:pPr>
              <w:pStyle w:val="Tablesmalltext"/>
            </w:pPr>
          </w:p>
        </w:tc>
        <w:tc>
          <w:tcPr>
            <w:tcW w:w="754" w:type="dxa"/>
            <w:vMerge/>
            <w:shd w:val="clear" w:color="auto" w:fill="auto"/>
          </w:tcPr>
          <w:p w14:paraId="17B3CEFF" w14:textId="77777777" w:rsidR="00D27DDC" w:rsidRPr="000D47DC" w:rsidRDefault="00D27DDC" w:rsidP="00D27DDC">
            <w:pPr>
              <w:pStyle w:val="Tablesmalltext"/>
              <w:jc w:val="center"/>
              <w:rPr>
                <w:rFonts w:eastAsia="Times New Roman"/>
                <w:vertAlign w:val="superscript"/>
                <w:lang w:val="en-AU" w:eastAsia="en-AU"/>
              </w:rPr>
            </w:pPr>
          </w:p>
        </w:tc>
        <w:tc>
          <w:tcPr>
            <w:tcW w:w="4349" w:type="dxa"/>
            <w:shd w:val="clear" w:color="auto" w:fill="auto"/>
          </w:tcPr>
          <w:p w14:paraId="6818D4A4" w14:textId="77777777" w:rsidR="00D27DDC" w:rsidRPr="00A95DC0" w:rsidRDefault="00D27DDC" w:rsidP="00D27DDC">
            <w:pPr>
              <w:pStyle w:val="Tablesmalltext"/>
            </w:pPr>
            <w:r>
              <w:t xml:space="preserve">Part of landing has not been rehabilitated. </w:t>
            </w:r>
          </w:p>
        </w:tc>
        <w:tc>
          <w:tcPr>
            <w:tcW w:w="1731" w:type="dxa"/>
            <w:shd w:val="clear" w:color="auto" w:fill="auto"/>
          </w:tcPr>
          <w:p w14:paraId="1BA286C6" w14:textId="77777777" w:rsidR="00D27DDC" w:rsidRPr="00A95DC0" w:rsidRDefault="00D27DDC" w:rsidP="00D27DDC">
            <w:pPr>
              <w:pStyle w:val="Tablesmalltext"/>
            </w:pPr>
            <w:r>
              <w:t>32.04 |</w:t>
            </w:r>
            <w:r>
              <w:br/>
              <w:t>M7.2.2.2</w:t>
            </w:r>
          </w:p>
        </w:tc>
        <w:tc>
          <w:tcPr>
            <w:tcW w:w="1163" w:type="dxa"/>
            <w:shd w:val="clear" w:color="auto" w:fill="auto"/>
          </w:tcPr>
          <w:p w14:paraId="451922AF" w14:textId="77777777" w:rsidR="00D27DDC" w:rsidRPr="00A95DC0" w:rsidRDefault="00D27DDC" w:rsidP="00D27DDC">
            <w:pPr>
              <w:pStyle w:val="Tablesmalltext"/>
              <w:jc w:val="center"/>
            </w:pPr>
            <w:r>
              <w:t>Minor</w:t>
            </w:r>
          </w:p>
        </w:tc>
      </w:tr>
      <w:tr w:rsidR="00D27DDC" w:rsidRPr="00A95DC0" w14:paraId="1D5CDB90" w14:textId="77777777" w:rsidTr="00523E3C">
        <w:tc>
          <w:tcPr>
            <w:tcW w:w="579" w:type="dxa"/>
            <w:shd w:val="clear" w:color="auto" w:fill="auto"/>
            <w:noWrap/>
            <w:hideMark/>
          </w:tcPr>
          <w:p w14:paraId="741B547A"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21</w:t>
            </w:r>
          </w:p>
        </w:tc>
        <w:tc>
          <w:tcPr>
            <w:tcW w:w="1406" w:type="dxa"/>
            <w:shd w:val="clear" w:color="auto" w:fill="auto"/>
            <w:noWrap/>
          </w:tcPr>
          <w:p w14:paraId="5784B84A" w14:textId="77777777" w:rsidR="00D27DDC" w:rsidRPr="000D47DC" w:rsidRDefault="00D27DDC" w:rsidP="00D27DDC">
            <w:pPr>
              <w:pStyle w:val="Tablesmalltext"/>
              <w:rPr>
                <w:rFonts w:eastAsia="Times New Roman"/>
                <w:vertAlign w:val="superscript"/>
                <w:lang w:val="en-AU" w:eastAsia="en-AU"/>
              </w:rPr>
            </w:pPr>
            <w:r w:rsidRPr="00826085">
              <w:t>Freeline</w:t>
            </w:r>
          </w:p>
        </w:tc>
        <w:tc>
          <w:tcPr>
            <w:tcW w:w="754" w:type="dxa"/>
            <w:shd w:val="clear" w:color="auto" w:fill="auto"/>
          </w:tcPr>
          <w:p w14:paraId="199EE559" w14:textId="77777777" w:rsidR="00D27DDC" w:rsidRPr="00572D5E" w:rsidRDefault="00D27DDC" w:rsidP="00D27DDC">
            <w:pPr>
              <w:pStyle w:val="Tablesmalltext"/>
              <w:jc w:val="center"/>
              <w:rPr>
                <w:rFonts w:eastAsia="Times New Roman"/>
                <w:lang w:val="en-AU" w:eastAsia="en-AU"/>
              </w:rPr>
            </w:pPr>
            <w:r w:rsidRPr="00572D5E">
              <w:rPr>
                <w:rFonts w:eastAsia="Times New Roman"/>
                <w:lang w:val="en-AU" w:eastAsia="en-AU"/>
              </w:rPr>
              <w:t>41.05</w:t>
            </w:r>
          </w:p>
        </w:tc>
        <w:tc>
          <w:tcPr>
            <w:tcW w:w="4349" w:type="dxa"/>
            <w:shd w:val="clear" w:color="auto" w:fill="auto"/>
          </w:tcPr>
          <w:p w14:paraId="7FD14179" w14:textId="77777777" w:rsidR="00D27DDC" w:rsidRPr="00A95DC0" w:rsidRDefault="00D27DDC" w:rsidP="00D27DDC">
            <w:pPr>
              <w:pStyle w:val="Tablesmalltext"/>
            </w:pPr>
            <w:r>
              <w:t>Sections of snig track and boundary track with excessive drain spacing for slope and soil erosion hazard.</w:t>
            </w:r>
          </w:p>
        </w:tc>
        <w:tc>
          <w:tcPr>
            <w:tcW w:w="1731" w:type="dxa"/>
            <w:shd w:val="clear" w:color="auto" w:fill="auto"/>
          </w:tcPr>
          <w:p w14:paraId="19C9BD5D" w14:textId="77777777" w:rsidR="00D27DDC" w:rsidRPr="00A95DC0" w:rsidRDefault="00D27DDC" w:rsidP="00D27DDC">
            <w:pPr>
              <w:pStyle w:val="Tablesmalltext"/>
            </w:pPr>
            <w:r>
              <w:t>32.11/12 |</w:t>
            </w:r>
            <w:r>
              <w:br/>
              <w:t>C2.5.2.5, M7.2.3.4</w:t>
            </w:r>
          </w:p>
        </w:tc>
        <w:tc>
          <w:tcPr>
            <w:tcW w:w="1163" w:type="dxa"/>
            <w:shd w:val="clear" w:color="auto" w:fill="auto"/>
          </w:tcPr>
          <w:p w14:paraId="6B725CBE" w14:textId="77777777" w:rsidR="00D27DDC" w:rsidRPr="00A95DC0" w:rsidRDefault="00D27DDC" w:rsidP="00D27DDC">
            <w:pPr>
              <w:pStyle w:val="Tablesmalltext"/>
              <w:jc w:val="center"/>
            </w:pPr>
            <w:r>
              <w:t>Negligible</w:t>
            </w:r>
          </w:p>
        </w:tc>
      </w:tr>
      <w:tr w:rsidR="00D27DDC" w:rsidRPr="00A95DC0" w14:paraId="778F3E64" w14:textId="77777777" w:rsidTr="00523E3C">
        <w:tc>
          <w:tcPr>
            <w:tcW w:w="579" w:type="dxa"/>
            <w:shd w:val="clear" w:color="auto" w:fill="auto"/>
            <w:noWrap/>
            <w:hideMark/>
          </w:tcPr>
          <w:p w14:paraId="0E5FE494"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22</w:t>
            </w:r>
          </w:p>
        </w:tc>
        <w:tc>
          <w:tcPr>
            <w:tcW w:w="1406" w:type="dxa"/>
            <w:shd w:val="clear" w:color="auto" w:fill="auto"/>
            <w:noWrap/>
          </w:tcPr>
          <w:p w14:paraId="0FD0BD43" w14:textId="77777777" w:rsidR="00D27DDC" w:rsidRPr="00473F42" w:rsidRDefault="00D27DDC" w:rsidP="00D27DDC">
            <w:pPr>
              <w:pStyle w:val="Tablesmalltext"/>
              <w:rPr>
                <w:rFonts w:eastAsia="Times New Roman"/>
                <w:vertAlign w:val="superscript"/>
                <w:lang w:val="en-AU" w:eastAsia="en-AU"/>
              </w:rPr>
            </w:pPr>
            <w:r w:rsidRPr="00826085">
              <w:t>Fungus</w:t>
            </w:r>
          </w:p>
        </w:tc>
        <w:tc>
          <w:tcPr>
            <w:tcW w:w="754" w:type="dxa"/>
            <w:shd w:val="clear" w:color="auto" w:fill="auto"/>
          </w:tcPr>
          <w:p w14:paraId="55F96F5B"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29.43</w:t>
            </w:r>
          </w:p>
        </w:tc>
        <w:tc>
          <w:tcPr>
            <w:tcW w:w="4349" w:type="dxa"/>
            <w:shd w:val="clear" w:color="auto" w:fill="auto"/>
          </w:tcPr>
          <w:p w14:paraId="5D31E2DA" w14:textId="77777777" w:rsidR="00D27DDC" w:rsidRPr="00A95DC0" w:rsidRDefault="00D27DDC" w:rsidP="00D27DDC">
            <w:pPr>
              <w:pStyle w:val="Tablesmalltext"/>
            </w:pPr>
            <w:r>
              <w:t xml:space="preserve">Sections of boundary track constructed without formal drainage. Drainage not constructed following regeneration. </w:t>
            </w:r>
          </w:p>
        </w:tc>
        <w:tc>
          <w:tcPr>
            <w:tcW w:w="1731" w:type="dxa"/>
            <w:shd w:val="clear" w:color="auto" w:fill="auto"/>
          </w:tcPr>
          <w:p w14:paraId="5DD8BB81" w14:textId="77777777" w:rsidR="00D27DDC" w:rsidRPr="00A95DC0" w:rsidRDefault="00D27DDC" w:rsidP="00D27DDC">
            <w:pPr>
              <w:pStyle w:val="Tablesmalltext"/>
            </w:pPr>
            <w:r>
              <w:t>32.11/12 |</w:t>
            </w:r>
            <w:r>
              <w:br/>
              <w:t>C2.5.2.5, M7.2.3.4</w:t>
            </w:r>
          </w:p>
        </w:tc>
        <w:tc>
          <w:tcPr>
            <w:tcW w:w="1163" w:type="dxa"/>
            <w:shd w:val="clear" w:color="auto" w:fill="auto"/>
          </w:tcPr>
          <w:p w14:paraId="5E9E3CCC" w14:textId="77777777" w:rsidR="00D27DDC" w:rsidRPr="00A95DC0" w:rsidRDefault="00D27DDC" w:rsidP="00D27DDC">
            <w:pPr>
              <w:pStyle w:val="Tablesmalltext"/>
              <w:jc w:val="center"/>
            </w:pPr>
            <w:r>
              <w:t>Minor</w:t>
            </w:r>
          </w:p>
        </w:tc>
      </w:tr>
      <w:tr w:rsidR="00D27DDC" w:rsidRPr="00A95DC0" w14:paraId="7D507921" w14:textId="77777777" w:rsidTr="00523E3C">
        <w:trPr>
          <w:trHeight w:val="57"/>
        </w:trPr>
        <w:tc>
          <w:tcPr>
            <w:tcW w:w="579" w:type="dxa"/>
            <w:vMerge w:val="restart"/>
            <w:shd w:val="clear" w:color="auto" w:fill="auto"/>
            <w:noWrap/>
            <w:hideMark/>
          </w:tcPr>
          <w:p w14:paraId="4D596BD4"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23</w:t>
            </w:r>
          </w:p>
        </w:tc>
        <w:tc>
          <w:tcPr>
            <w:tcW w:w="1406" w:type="dxa"/>
            <w:vMerge w:val="restart"/>
            <w:shd w:val="clear" w:color="auto" w:fill="auto"/>
            <w:noWrap/>
          </w:tcPr>
          <w:p w14:paraId="7A8A7443" w14:textId="77777777" w:rsidR="00D27DDC" w:rsidRPr="00473F42" w:rsidRDefault="00D27DDC" w:rsidP="00D27DDC">
            <w:pPr>
              <w:pStyle w:val="Tablesmalltext"/>
              <w:rPr>
                <w:rFonts w:eastAsia="Times New Roman"/>
                <w:vertAlign w:val="superscript"/>
                <w:lang w:val="en-AU" w:eastAsia="en-AU"/>
              </w:rPr>
            </w:pPr>
            <w:r w:rsidRPr="00826085">
              <w:t>Pilcrow</w:t>
            </w:r>
          </w:p>
        </w:tc>
        <w:tc>
          <w:tcPr>
            <w:tcW w:w="754" w:type="dxa"/>
            <w:vMerge w:val="restart"/>
            <w:shd w:val="clear" w:color="auto" w:fill="auto"/>
          </w:tcPr>
          <w:p w14:paraId="2C9B1CC9"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44.64</w:t>
            </w:r>
          </w:p>
        </w:tc>
        <w:tc>
          <w:tcPr>
            <w:tcW w:w="4349" w:type="dxa"/>
            <w:shd w:val="clear" w:color="auto" w:fill="auto"/>
          </w:tcPr>
          <w:p w14:paraId="55AC1AF8" w14:textId="77777777" w:rsidR="00D27DDC" w:rsidRPr="00A95DC0" w:rsidRDefault="00D27DDC" w:rsidP="00D27DDC">
            <w:pPr>
              <w:pStyle w:val="Tablesmalltext"/>
            </w:pPr>
            <w:r>
              <w:t xml:space="preserve">No formally constructed drainage on in-coupe road through coupe. Sediment discharged from road into waterway. </w:t>
            </w:r>
          </w:p>
        </w:tc>
        <w:tc>
          <w:tcPr>
            <w:tcW w:w="1731" w:type="dxa"/>
            <w:shd w:val="clear" w:color="auto" w:fill="auto"/>
          </w:tcPr>
          <w:p w14:paraId="46936EAA" w14:textId="77777777" w:rsidR="00D27DDC" w:rsidRPr="00A95DC0" w:rsidRDefault="00D27DDC" w:rsidP="00D27DDC">
            <w:pPr>
              <w:pStyle w:val="Tablesmalltext"/>
            </w:pPr>
            <w:r>
              <w:t xml:space="preserve">6.01, 7.05/06/07, 26.01 | </w:t>
            </w:r>
            <w:r>
              <w:br/>
              <w:t>C2.2.1.2/8/12, 2.4.2.5, M6.2.4.1</w:t>
            </w:r>
          </w:p>
        </w:tc>
        <w:tc>
          <w:tcPr>
            <w:tcW w:w="1163" w:type="dxa"/>
            <w:shd w:val="clear" w:color="auto" w:fill="auto"/>
          </w:tcPr>
          <w:p w14:paraId="2109500B" w14:textId="77777777" w:rsidR="00D27DDC" w:rsidRPr="00A95DC0" w:rsidRDefault="00D27DDC" w:rsidP="00D27DDC">
            <w:pPr>
              <w:pStyle w:val="Tablesmalltext"/>
              <w:jc w:val="center"/>
            </w:pPr>
            <w:r>
              <w:t>Moderate</w:t>
            </w:r>
          </w:p>
        </w:tc>
      </w:tr>
      <w:tr w:rsidR="00D27DDC" w:rsidRPr="00A95DC0" w14:paraId="1FC79B3E" w14:textId="77777777" w:rsidTr="00523E3C">
        <w:trPr>
          <w:trHeight w:val="57"/>
        </w:trPr>
        <w:tc>
          <w:tcPr>
            <w:tcW w:w="579" w:type="dxa"/>
            <w:vMerge/>
            <w:shd w:val="clear" w:color="auto" w:fill="auto"/>
            <w:noWrap/>
          </w:tcPr>
          <w:p w14:paraId="1343DD9A"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2D99251A" w14:textId="77777777" w:rsidR="00D27DDC" w:rsidRPr="00826085" w:rsidRDefault="00D27DDC" w:rsidP="00D27DDC">
            <w:pPr>
              <w:pStyle w:val="Tablesmalltext"/>
            </w:pPr>
          </w:p>
        </w:tc>
        <w:tc>
          <w:tcPr>
            <w:tcW w:w="754" w:type="dxa"/>
            <w:vMerge/>
            <w:shd w:val="clear" w:color="auto" w:fill="auto"/>
          </w:tcPr>
          <w:p w14:paraId="67312D36"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64A0577E" w14:textId="77777777" w:rsidR="00D27DDC" w:rsidRPr="00A95DC0" w:rsidRDefault="00D27DDC" w:rsidP="00D27DDC">
            <w:pPr>
              <w:pStyle w:val="Tablesmalltext"/>
            </w:pPr>
            <w:r>
              <w:t>Mass movement initiated on in-coupe road embankment due to lack of formally constructed drainage</w:t>
            </w:r>
          </w:p>
        </w:tc>
        <w:tc>
          <w:tcPr>
            <w:tcW w:w="1731" w:type="dxa"/>
            <w:shd w:val="clear" w:color="auto" w:fill="auto"/>
          </w:tcPr>
          <w:p w14:paraId="764965AC" w14:textId="77777777" w:rsidR="00D27DDC" w:rsidRPr="00A95DC0" w:rsidRDefault="00D27DDC" w:rsidP="00D27DDC">
            <w:pPr>
              <w:pStyle w:val="Tablesmalltext"/>
            </w:pPr>
            <w:r>
              <w:t>8.02, 25.01/04 |</w:t>
            </w:r>
            <w:r>
              <w:br/>
              <w:t>C2.1.2.14, 2.4.3.3, M6.2.2.3</w:t>
            </w:r>
          </w:p>
        </w:tc>
        <w:tc>
          <w:tcPr>
            <w:tcW w:w="1163" w:type="dxa"/>
            <w:shd w:val="clear" w:color="auto" w:fill="auto"/>
          </w:tcPr>
          <w:p w14:paraId="78CE5CB6" w14:textId="77777777" w:rsidR="00D27DDC" w:rsidRPr="00A95DC0" w:rsidRDefault="00D27DDC" w:rsidP="00D27DDC">
            <w:pPr>
              <w:pStyle w:val="Tablesmalltext"/>
              <w:jc w:val="center"/>
            </w:pPr>
            <w:r>
              <w:t>Minor</w:t>
            </w:r>
          </w:p>
        </w:tc>
      </w:tr>
      <w:tr w:rsidR="00D27DDC" w:rsidRPr="00A95DC0" w14:paraId="0C91CFF9" w14:textId="77777777" w:rsidTr="00523E3C">
        <w:trPr>
          <w:trHeight w:val="57"/>
        </w:trPr>
        <w:tc>
          <w:tcPr>
            <w:tcW w:w="579" w:type="dxa"/>
            <w:vMerge/>
            <w:shd w:val="clear" w:color="auto" w:fill="auto"/>
            <w:noWrap/>
          </w:tcPr>
          <w:p w14:paraId="479B6D5E"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30BF92CE" w14:textId="77777777" w:rsidR="00D27DDC" w:rsidRPr="00826085" w:rsidRDefault="00D27DDC" w:rsidP="00D27DDC">
            <w:pPr>
              <w:pStyle w:val="Tablesmalltext"/>
            </w:pPr>
          </w:p>
        </w:tc>
        <w:tc>
          <w:tcPr>
            <w:tcW w:w="754" w:type="dxa"/>
            <w:vMerge/>
            <w:shd w:val="clear" w:color="auto" w:fill="auto"/>
          </w:tcPr>
          <w:p w14:paraId="406FB2A4"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18251433" w14:textId="0D468CAF" w:rsidR="00D27DDC" w:rsidRPr="00A95DC0" w:rsidRDefault="00D27DDC" w:rsidP="00D27DDC">
            <w:pPr>
              <w:pStyle w:val="Tablesmalltext"/>
            </w:pPr>
            <w:r>
              <w:t xml:space="preserve">Regeneration burn </w:t>
            </w:r>
            <w:r w:rsidR="00F42977">
              <w:t>crossed</w:t>
            </w:r>
            <w:r>
              <w:t xml:space="preserve"> into waterway/rainforest/Long-Footed Potoroo buffer</w:t>
            </w:r>
          </w:p>
        </w:tc>
        <w:tc>
          <w:tcPr>
            <w:tcW w:w="1731" w:type="dxa"/>
            <w:shd w:val="clear" w:color="auto" w:fill="auto"/>
          </w:tcPr>
          <w:p w14:paraId="61849B1A" w14:textId="77777777" w:rsidR="00D27DDC" w:rsidRPr="00A95DC0" w:rsidRDefault="00D27DDC" w:rsidP="00D27DDC">
            <w:pPr>
              <w:pStyle w:val="Tablesmalltext"/>
            </w:pPr>
            <w:r>
              <w:t>19.01, 30.01, 31.01 |</w:t>
            </w:r>
            <w:r>
              <w:br/>
              <w:t>C2.2.2.5, 2.5.1.2, 2.5.1.5, M7.1.2.1</w:t>
            </w:r>
          </w:p>
        </w:tc>
        <w:tc>
          <w:tcPr>
            <w:tcW w:w="1163" w:type="dxa"/>
            <w:shd w:val="clear" w:color="auto" w:fill="auto"/>
          </w:tcPr>
          <w:p w14:paraId="373F2597" w14:textId="77777777" w:rsidR="00D27DDC" w:rsidRPr="00A95DC0" w:rsidRDefault="00D27DDC" w:rsidP="00D27DDC">
            <w:pPr>
              <w:pStyle w:val="Tablesmalltext"/>
              <w:jc w:val="center"/>
            </w:pPr>
            <w:r>
              <w:t>Major</w:t>
            </w:r>
          </w:p>
        </w:tc>
      </w:tr>
      <w:tr w:rsidR="00D27DDC" w:rsidRPr="00A95DC0" w14:paraId="3642ED5A" w14:textId="77777777" w:rsidTr="00523E3C">
        <w:trPr>
          <w:trHeight w:val="57"/>
        </w:trPr>
        <w:tc>
          <w:tcPr>
            <w:tcW w:w="579" w:type="dxa"/>
            <w:vMerge/>
            <w:shd w:val="clear" w:color="auto" w:fill="auto"/>
            <w:noWrap/>
          </w:tcPr>
          <w:p w14:paraId="50E44D30"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6171FA16" w14:textId="77777777" w:rsidR="00D27DDC" w:rsidRPr="00826085" w:rsidRDefault="00D27DDC" w:rsidP="00D27DDC">
            <w:pPr>
              <w:pStyle w:val="Tablesmalltext"/>
            </w:pPr>
          </w:p>
        </w:tc>
        <w:tc>
          <w:tcPr>
            <w:tcW w:w="754" w:type="dxa"/>
            <w:vMerge/>
            <w:shd w:val="clear" w:color="auto" w:fill="auto"/>
          </w:tcPr>
          <w:p w14:paraId="6C93FB0D"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0413127E" w14:textId="77777777" w:rsidR="00D27DDC" w:rsidRPr="00A95DC0" w:rsidRDefault="00D27DDC" w:rsidP="00D27DDC">
            <w:pPr>
              <w:pStyle w:val="Tablesmalltext"/>
            </w:pPr>
            <w:r>
              <w:t>Multiple snig tracks with drain spacing excessive, based on soil erosion hazard and slope</w:t>
            </w:r>
          </w:p>
        </w:tc>
        <w:tc>
          <w:tcPr>
            <w:tcW w:w="1731" w:type="dxa"/>
            <w:shd w:val="clear" w:color="auto" w:fill="auto"/>
          </w:tcPr>
          <w:p w14:paraId="6AB92D7C" w14:textId="77777777" w:rsidR="00D27DDC" w:rsidRPr="00A95DC0" w:rsidRDefault="00D27DDC" w:rsidP="00D27DDC">
            <w:pPr>
              <w:pStyle w:val="Tablesmalltext"/>
            </w:pPr>
            <w:r>
              <w:t>32.12 |</w:t>
            </w:r>
            <w:r>
              <w:br/>
              <w:t>C2.5.2.5</w:t>
            </w:r>
          </w:p>
        </w:tc>
        <w:tc>
          <w:tcPr>
            <w:tcW w:w="1163" w:type="dxa"/>
            <w:shd w:val="clear" w:color="auto" w:fill="auto"/>
          </w:tcPr>
          <w:p w14:paraId="5D12D359" w14:textId="77777777" w:rsidR="00D27DDC" w:rsidRPr="00A95DC0" w:rsidRDefault="00D27DDC" w:rsidP="00D27DDC">
            <w:pPr>
              <w:pStyle w:val="Tablesmalltext"/>
              <w:jc w:val="center"/>
            </w:pPr>
            <w:r>
              <w:t>Minor</w:t>
            </w:r>
          </w:p>
        </w:tc>
      </w:tr>
      <w:tr w:rsidR="00D27DDC" w:rsidRPr="00A95DC0" w14:paraId="59F25941" w14:textId="77777777" w:rsidTr="00523E3C">
        <w:trPr>
          <w:trHeight w:val="57"/>
        </w:trPr>
        <w:tc>
          <w:tcPr>
            <w:tcW w:w="579" w:type="dxa"/>
            <w:vMerge/>
            <w:shd w:val="clear" w:color="auto" w:fill="auto"/>
            <w:noWrap/>
          </w:tcPr>
          <w:p w14:paraId="40985E60"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30696A0F" w14:textId="77777777" w:rsidR="00D27DDC" w:rsidRPr="00826085" w:rsidRDefault="00D27DDC" w:rsidP="00D27DDC">
            <w:pPr>
              <w:pStyle w:val="Tablesmalltext"/>
            </w:pPr>
          </w:p>
        </w:tc>
        <w:tc>
          <w:tcPr>
            <w:tcW w:w="754" w:type="dxa"/>
            <w:vMerge/>
            <w:shd w:val="clear" w:color="auto" w:fill="auto"/>
          </w:tcPr>
          <w:p w14:paraId="57168B7A"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16F1B2D8" w14:textId="77777777" w:rsidR="00D27DDC" w:rsidRPr="00A95DC0" w:rsidRDefault="00D27DDC" w:rsidP="00D27DDC">
            <w:pPr>
              <w:pStyle w:val="Tablesmalltext"/>
            </w:pPr>
            <w:r>
              <w:t>Two waterway crossings constructed without appropriate drainage</w:t>
            </w:r>
          </w:p>
        </w:tc>
        <w:tc>
          <w:tcPr>
            <w:tcW w:w="1731" w:type="dxa"/>
            <w:shd w:val="clear" w:color="auto" w:fill="auto"/>
          </w:tcPr>
          <w:p w14:paraId="5166D50B" w14:textId="77777777" w:rsidR="00D27DDC" w:rsidRPr="00A95DC0" w:rsidRDefault="00D27DDC" w:rsidP="00D27DDC">
            <w:pPr>
              <w:pStyle w:val="Tablesmalltext"/>
            </w:pPr>
            <w:r>
              <w:t>26.04/05/05, 30.01|</w:t>
            </w:r>
            <w:r>
              <w:br/>
              <w:t>C2.4.2.9, 2.5.1.2, M6.2.4.4/5/6</w:t>
            </w:r>
          </w:p>
        </w:tc>
        <w:tc>
          <w:tcPr>
            <w:tcW w:w="1163" w:type="dxa"/>
            <w:shd w:val="clear" w:color="auto" w:fill="auto"/>
          </w:tcPr>
          <w:p w14:paraId="7107F942" w14:textId="77777777" w:rsidR="00D27DDC" w:rsidRPr="00A95DC0" w:rsidRDefault="00D27DDC" w:rsidP="00D27DDC">
            <w:pPr>
              <w:pStyle w:val="Tablesmalltext"/>
              <w:jc w:val="center"/>
            </w:pPr>
            <w:r>
              <w:t>Moderate</w:t>
            </w:r>
          </w:p>
        </w:tc>
      </w:tr>
      <w:tr w:rsidR="00D27DDC" w:rsidRPr="00A95DC0" w14:paraId="260E9027" w14:textId="77777777" w:rsidTr="00523E3C">
        <w:trPr>
          <w:trHeight w:val="72"/>
        </w:trPr>
        <w:tc>
          <w:tcPr>
            <w:tcW w:w="579" w:type="dxa"/>
            <w:vMerge w:val="restart"/>
            <w:shd w:val="clear" w:color="auto" w:fill="auto"/>
            <w:noWrap/>
            <w:hideMark/>
          </w:tcPr>
          <w:p w14:paraId="4156EB41"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24</w:t>
            </w:r>
          </w:p>
        </w:tc>
        <w:tc>
          <w:tcPr>
            <w:tcW w:w="1406" w:type="dxa"/>
            <w:vMerge w:val="restart"/>
            <w:shd w:val="clear" w:color="auto" w:fill="auto"/>
            <w:noWrap/>
          </w:tcPr>
          <w:p w14:paraId="3E8BF1E2" w14:textId="77777777" w:rsidR="00D27DDC" w:rsidRPr="00473F42" w:rsidRDefault="00D27DDC" w:rsidP="00D27DDC">
            <w:pPr>
              <w:pStyle w:val="Tablesmalltext"/>
              <w:rPr>
                <w:rFonts w:eastAsia="Times New Roman"/>
                <w:vertAlign w:val="superscript"/>
                <w:lang w:val="en-AU" w:eastAsia="en-AU"/>
              </w:rPr>
            </w:pPr>
            <w:r w:rsidRPr="00826085">
              <w:t>Oracle</w:t>
            </w:r>
          </w:p>
        </w:tc>
        <w:tc>
          <w:tcPr>
            <w:tcW w:w="754" w:type="dxa"/>
            <w:vMerge w:val="restart"/>
            <w:shd w:val="clear" w:color="auto" w:fill="auto"/>
          </w:tcPr>
          <w:p w14:paraId="19CB39B4"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17.91</w:t>
            </w:r>
          </w:p>
        </w:tc>
        <w:tc>
          <w:tcPr>
            <w:tcW w:w="4349" w:type="dxa"/>
            <w:shd w:val="clear" w:color="auto" w:fill="auto"/>
          </w:tcPr>
          <w:p w14:paraId="247176A0" w14:textId="77777777" w:rsidR="00D27DDC" w:rsidRPr="00A95DC0" w:rsidRDefault="00D27DDC" w:rsidP="00D27DDC">
            <w:pPr>
              <w:pStyle w:val="Tablesmalltext"/>
            </w:pPr>
            <w:r>
              <w:t>Landing and in-coupe road turn around area occupy large area (for size of harvest area). Several snig tracks drain to this area. Accumulation of water has resulted in erosion and mass soil movement.</w:t>
            </w:r>
          </w:p>
        </w:tc>
        <w:tc>
          <w:tcPr>
            <w:tcW w:w="1731" w:type="dxa"/>
            <w:shd w:val="clear" w:color="auto" w:fill="auto"/>
          </w:tcPr>
          <w:p w14:paraId="2FE08F80" w14:textId="77777777" w:rsidR="00D27DDC" w:rsidRDefault="00D27DDC" w:rsidP="00D27DDC">
            <w:pPr>
              <w:pStyle w:val="Tablesmalltext"/>
            </w:pPr>
            <w:r>
              <w:t>6.01, 7.07, 30.01 |</w:t>
            </w:r>
          </w:p>
          <w:p w14:paraId="54EDDDE4" w14:textId="77777777" w:rsidR="00D27DDC" w:rsidRPr="00A95DC0" w:rsidRDefault="00D27DDC" w:rsidP="00D27DDC">
            <w:pPr>
              <w:pStyle w:val="Tablesmalltext"/>
            </w:pPr>
            <w:r>
              <w:t>C2.2.1.2/12, 2.5.1.2</w:t>
            </w:r>
          </w:p>
        </w:tc>
        <w:tc>
          <w:tcPr>
            <w:tcW w:w="1163" w:type="dxa"/>
            <w:shd w:val="clear" w:color="auto" w:fill="auto"/>
          </w:tcPr>
          <w:p w14:paraId="44665D1A" w14:textId="77777777" w:rsidR="00D27DDC" w:rsidRPr="00A95DC0" w:rsidRDefault="00D27DDC" w:rsidP="00D27DDC">
            <w:pPr>
              <w:pStyle w:val="Tablesmalltext"/>
              <w:jc w:val="center"/>
            </w:pPr>
            <w:r>
              <w:t>Minor</w:t>
            </w:r>
          </w:p>
        </w:tc>
      </w:tr>
      <w:tr w:rsidR="00D27DDC" w:rsidRPr="00A95DC0" w14:paraId="141DCF53" w14:textId="77777777" w:rsidTr="00523E3C">
        <w:trPr>
          <w:trHeight w:val="71"/>
        </w:trPr>
        <w:tc>
          <w:tcPr>
            <w:tcW w:w="579" w:type="dxa"/>
            <w:vMerge/>
            <w:shd w:val="clear" w:color="auto" w:fill="auto"/>
            <w:noWrap/>
          </w:tcPr>
          <w:p w14:paraId="17BCFC9D"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4833E1B6" w14:textId="77777777" w:rsidR="00D27DDC" w:rsidRPr="00826085" w:rsidRDefault="00D27DDC" w:rsidP="00D27DDC">
            <w:pPr>
              <w:pStyle w:val="Tablesmalltext"/>
            </w:pPr>
          </w:p>
        </w:tc>
        <w:tc>
          <w:tcPr>
            <w:tcW w:w="754" w:type="dxa"/>
            <w:vMerge/>
            <w:shd w:val="clear" w:color="auto" w:fill="auto"/>
          </w:tcPr>
          <w:p w14:paraId="0966D252"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489F470A" w14:textId="77777777" w:rsidR="00D27DDC" w:rsidRPr="00A95DC0" w:rsidRDefault="00D27DDC" w:rsidP="00D27DDC">
            <w:pPr>
              <w:pStyle w:val="Tablesmalltext"/>
            </w:pPr>
            <w:r>
              <w:t>Mass soil movement on in-coupe road embankment and at turnaround area</w:t>
            </w:r>
          </w:p>
        </w:tc>
        <w:tc>
          <w:tcPr>
            <w:tcW w:w="1731" w:type="dxa"/>
            <w:shd w:val="clear" w:color="auto" w:fill="auto"/>
          </w:tcPr>
          <w:p w14:paraId="21752DC4" w14:textId="77777777" w:rsidR="00D27DDC" w:rsidRPr="00A95DC0" w:rsidRDefault="00D27DDC" w:rsidP="00D27DDC">
            <w:pPr>
              <w:pStyle w:val="Tablesmalltext"/>
            </w:pPr>
            <w:r>
              <w:t>8.02, 25.01/04 |</w:t>
            </w:r>
            <w:r>
              <w:br/>
              <w:t xml:space="preserve">C2.2.1.14, 2.4.3.3, M6.2.2.3 </w:t>
            </w:r>
          </w:p>
        </w:tc>
        <w:tc>
          <w:tcPr>
            <w:tcW w:w="1163" w:type="dxa"/>
            <w:shd w:val="clear" w:color="auto" w:fill="auto"/>
          </w:tcPr>
          <w:p w14:paraId="27697798" w14:textId="77777777" w:rsidR="00D27DDC" w:rsidRPr="00A95DC0" w:rsidRDefault="00D27DDC" w:rsidP="00D27DDC">
            <w:pPr>
              <w:pStyle w:val="Tablesmalltext"/>
              <w:jc w:val="center"/>
            </w:pPr>
            <w:r>
              <w:t>Minor</w:t>
            </w:r>
          </w:p>
        </w:tc>
      </w:tr>
      <w:tr w:rsidR="00D27DDC" w:rsidRPr="00A95DC0" w14:paraId="42421101" w14:textId="77777777" w:rsidTr="00523E3C">
        <w:trPr>
          <w:trHeight w:val="650"/>
        </w:trPr>
        <w:tc>
          <w:tcPr>
            <w:tcW w:w="579" w:type="dxa"/>
            <w:vMerge/>
            <w:shd w:val="clear" w:color="auto" w:fill="auto"/>
            <w:noWrap/>
          </w:tcPr>
          <w:p w14:paraId="56A7531B"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6C2C163C" w14:textId="77777777" w:rsidR="00D27DDC" w:rsidRPr="00826085" w:rsidRDefault="00D27DDC" w:rsidP="00D27DDC">
            <w:pPr>
              <w:pStyle w:val="Tablesmalltext"/>
            </w:pPr>
          </w:p>
        </w:tc>
        <w:tc>
          <w:tcPr>
            <w:tcW w:w="754" w:type="dxa"/>
            <w:vMerge/>
            <w:shd w:val="clear" w:color="auto" w:fill="auto"/>
          </w:tcPr>
          <w:p w14:paraId="725DFD6C"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1ACFFB5E" w14:textId="77777777" w:rsidR="00D27DDC" w:rsidRPr="00A95DC0" w:rsidRDefault="00D27DDC" w:rsidP="00D27DDC">
            <w:pPr>
              <w:pStyle w:val="Tablesmalltext"/>
            </w:pPr>
            <w:r>
              <w:t>Multiple snig and boundary tracks with excessive drain spacing for soil and soil erosion hazard</w:t>
            </w:r>
          </w:p>
        </w:tc>
        <w:tc>
          <w:tcPr>
            <w:tcW w:w="1731" w:type="dxa"/>
            <w:shd w:val="clear" w:color="auto" w:fill="auto"/>
          </w:tcPr>
          <w:p w14:paraId="37EB049D" w14:textId="77777777" w:rsidR="00D27DDC" w:rsidRPr="00A95DC0" w:rsidRDefault="00D27DDC" w:rsidP="00D27DDC">
            <w:pPr>
              <w:pStyle w:val="Tablesmalltext"/>
            </w:pPr>
            <w:r>
              <w:t>32.12 |</w:t>
            </w:r>
            <w:r>
              <w:br/>
              <w:t>C2.5.2.5</w:t>
            </w:r>
          </w:p>
        </w:tc>
        <w:tc>
          <w:tcPr>
            <w:tcW w:w="1163" w:type="dxa"/>
            <w:shd w:val="clear" w:color="auto" w:fill="auto"/>
          </w:tcPr>
          <w:p w14:paraId="4E1CCF1B" w14:textId="77777777" w:rsidR="00D27DDC" w:rsidRPr="00A95DC0" w:rsidRDefault="00D27DDC" w:rsidP="00D27DDC">
            <w:pPr>
              <w:pStyle w:val="Tablesmalltext"/>
              <w:jc w:val="center"/>
            </w:pPr>
            <w:r>
              <w:t>Minor</w:t>
            </w:r>
          </w:p>
        </w:tc>
      </w:tr>
      <w:tr w:rsidR="00D27DDC" w:rsidRPr="00A95DC0" w14:paraId="36595E3D" w14:textId="77777777" w:rsidTr="00523E3C">
        <w:trPr>
          <w:trHeight w:val="143"/>
        </w:trPr>
        <w:tc>
          <w:tcPr>
            <w:tcW w:w="579" w:type="dxa"/>
            <w:vMerge w:val="restart"/>
            <w:shd w:val="clear" w:color="auto" w:fill="auto"/>
            <w:noWrap/>
            <w:hideMark/>
          </w:tcPr>
          <w:p w14:paraId="7B93372A"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25</w:t>
            </w:r>
          </w:p>
        </w:tc>
        <w:tc>
          <w:tcPr>
            <w:tcW w:w="1406" w:type="dxa"/>
            <w:vMerge w:val="restart"/>
            <w:shd w:val="clear" w:color="auto" w:fill="auto"/>
            <w:noWrap/>
          </w:tcPr>
          <w:p w14:paraId="59B8445C" w14:textId="77777777" w:rsidR="00D27DDC" w:rsidRPr="008B4F4B" w:rsidRDefault="00D27DDC" w:rsidP="00D27DDC">
            <w:pPr>
              <w:pStyle w:val="Tablesmalltext"/>
              <w:rPr>
                <w:rFonts w:eastAsia="Times New Roman"/>
                <w:lang w:val="en-AU" w:eastAsia="en-AU"/>
              </w:rPr>
            </w:pPr>
            <w:r w:rsidRPr="00826085">
              <w:t>Patrol Gravel Pit</w:t>
            </w:r>
          </w:p>
        </w:tc>
        <w:tc>
          <w:tcPr>
            <w:tcW w:w="754" w:type="dxa"/>
            <w:vMerge w:val="restart"/>
            <w:shd w:val="clear" w:color="auto" w:fill="auto"/>
          </w:tcPr>
          <w:p w14:paraId="0D23723D"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24.43</w:t>
            </w:r>
          </w:p>
        </w:tc>
        <w:tc>
          <w:tcPr>
            <w:tcW w:w="4349" w:type="dxa"/>
            <w:shd w:val="clear" w:color="auto" w:fill="auto"/>
          </w:tcPr>
          <w:p w14:paraId="23E24875" w14:textId="77777777" w:rsidR="00D27DDC" w:rsidRPr="00A95DC0" w:rsidRDefault="00D27DDC" w:rsidP="00D27DDC">
            <w:pPr>
              <w:pStyle w:val="Tablesmalltext"/>
            </w:pPr>
            <w:r>
              <w:t>Machinery traffic and boundary track construction within drainage line filter strip</w:t>
            </w:r>
          </w:p>
        </w:tc>
        <w:tc>
          <w:tcPr>
            <w:tcW w:w="1731" w:type="dxa"/>
            <w:shd w:val="clear" w:color="auto" w:fill="auto"/>
          </w:tcPr>
          <w:p w14:paraId="3B02701E" w14:textId="77777777" w:rsidR="00D27DDC" w:rsidRPr="00A95DC0" w:rsidRDefault="00D27DDC" w:rsidP="00D27DDC">
            <w:pPr>
              <w:pStyle w:val="Tablesmalltext"/>
            </w:pPr>
            <w:r>
              <w:t>1.03, 3.01, 6.01 |</w:t>
            </w:r>
            <w:r>
              <w:br/>
              <w:t>C2.2.1.1, 2.2.1.2, M3.1.1.1, 3.3.1.1</w:t>
            </w:r>
          </w:p>
        </w:tc>
        <w:tc>
          <w:tcPr>
            <w:tcW w:w="1163" w:type="dxa"/>
            <w:shd w:val="clear" w:color="auto" w:fill="auto"/>
          </w:tcPr>
          <w:p w14:paraId="679410E7" w14:textId="77777777" w:rsidR="00D27DDC" w:rsidRPr="00A95DC0" w:rsidRDefault="00D27DDC" w:rsidP="00D27DDC">
            <w:pPr>
              <w:pStyle w:val="Tablesmalltext"/>
              <w:jc w:val="center"/>
            </w:pPr>
            <w:r>
              <w:t>Minor</w:t>
            </w:r>
          </w:p>
        </w:tc>
      </w:tr>
      <w:tr w:rsidR="00D27DDC" w:rsidRPr="00A95DC0" w14:paraId="45C69340" w14:textId="77777777" w:rsidTr="00523E3C">
        <w:trPr>
          <w:trHeight w:val="142"/>
        </w:trPr>
        <w:tc>
          <w:tcPr>
            <w:tcW w:w="579" w:type="dxa"/>
            <w:vMerge/>
            <w:shd w:val="clear" w:color="auto" w:fill="auto"/>
            <w:noWrap/>
          </w:tcPr>
          <w:p w14:paraId="1D81085A" w14:textId="77777777" w:rsidR="00D27DDC" w:rsidRDefault="00D27DDC" w:rsidP="00D27DDC">
            <w:pPr>
              <w:pStyle w:val="Tablesmalltext"/>
              <w:jc w:val="center"/>
              <w:rPr>
                <w:rFonts w:eastAsia="Times New Roman"/>
                <w:lang w:val="en-AU" w:eastAsia="en-AU"/>
              </w:rPr>
            </w:pPr>
          </w:p>
        </w:tc>
        <w:tc>
          <w:tcPr>
            <w:tcW w:w="1406" w:type="dxa"/>
            <w:vMerge/>
            <w:shd w:val="clear" w:color="auto" w:fill="auto"/>
            <w:noWrap/>
          </w:tcPr>
          <w:p w14:paraId="7A2A3564" w14:textId="77777777" w:rsidR="00D27DDC" w:rsidRPr="00826085" w:rsidRDefault="00D27DDC" w:rsidP="00D27DDC">
            <w:pPr>
              <w:pStyle w:val="Tablesmalltext"/>
            </w:pPr>
          </w:p>
        </w:tc>
        <w:tc>
          <w:tcPr>
            <w:tcW w:w="754" w:type="dxa"/>
            <w:vMerge/>
            <w:shd w:val="clear" w:color="auto" w:fill="auto"/>
          </w:tcPr>
          <w:p w14:paraId="404F2F38"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38D354C8" w14:textId="77777777" w:rsidR="00D27DDC" w:rsidRDefault="00D27DDC" w:rsidP="00D27DDC">
            <w:pPr>
              <w:pStyle w:val="Tablesmalltext"/>
            </w:pPr>
            <w:r>
              <w:t>Single tree harvested across coupe boundary</w:t>
            </w:r>
          </w:p>
        </w:tc>
        <w:tc>
          <w:tcPr>
            <w:tcW w:w="1731" w:type="dxa"/>
            <w:shd w:val="clear" w:color="auto" w:fill="auto"/>
          </w:tcPr>
          <w:p w14:paraId="1E68438A" w14:textId="77777777" w:rsidR="00D27DDC" w:rsidRDefault="00D27DDC" w:rsidP="00D27DDC">
            <w:pPr>
              <w:pStyle w:val="Tablesmalltext"/>
            </w:pPr>
            <w:r>
              <w:t>30.01 |</w:t>
            </w:r>
            <w:r>
              <w:br/>
              <w:t>C2.5.1.2</w:t>
            </w:r>
          </w:p>
        </w:tc>
        <w:tc>
          <w:tcPr>
            <w:tcW w:w="1163" w:type="dxa"/>
            <w:shd w:val="clear" w:color="auto" w:fill="auto"/>
          </w:tcPr>
          <w:p w14:paraId="20F3D888" w14:textId="77777777" w:rsidR="00D27DDC" w:rsidRDefault="00D27DDC" w:rsidP="00D27DDC">
            <w:pPr>
              <w:pStyle w:val="Tablesmalltext"/>
              <w:jc w:val="center"/>
            </w:pPr>
            <w:r>
              <w:t>Moderate</w:t>
            </w:r>
          </w:p>
        </w:tc>
      </w:tr>
      <w:tr w:rsidR="00D27DDC" w:rsidRPr="00A95DC0" w14:paraId="752C7304" w14:textId="77777777" w:rsidTr="00523E3C">
        <w:trPr>
          <w:trHeight w:val="142"/>
        </w:trPr>
        <w:tc>
          <w:tcPr>
            <w:tcW w:w="579" w:type="dxa"/>
            <w:vMerge/>
            <w:shd w:val="clear" w:color="auto" w:fill="auto"/>
            <w:noWrap/>
          </w:tcPr>
          <w:p w14:paraId="6E0BE0C7" w14:textId="77777777" w:rsidR="00D27DDC" w:rsidRDefault="00D27DDC" w:rsidP="00D27DDC">
            <w:pPr>
              <w:pStyle w:val="Tablesmalltext"/>
              <w:jc w:val="center"/>
              <w:rPr>
                <w:rFonts w:eastAsia="Times New Roman"/>
                <w:lang w:val="en-AU" w:eastAsia="en-AU"/>
              </w:rPr>
            </w:pPr>
          </w:p>
        </w:tc>
        <w:tc>
          <w:tcPr>
            <w:tcW w:w="1406" w:type="dxa"/>
            <w:vMerge/>
            <w:shd w:val="clear" w:color="auto" w:fill="auto"/>
            <w:noWrap/>
          </w:tcPr>
          <w:p w14:paraId="58BB2D06" w14:textId="77777777" w:rsidR="00D27DDC" w:rsidRPr="00826085" w:rsidRDefault="00D27DDC" w:rsidP="00D27DDC">
            <w:pPr>
              <w:pStyle w:val="Tablesmalltext"/>
            </w:pPr>
          </w:p>
        </w:tc>
        <w:tc>
          <w:tcPr>
            <w:tcW w:w="754" w:type="dxa"/>
            <w:vMerge/>
            <w:shd w:val="clear" w:color="auto" w:fill="auto"/>
          </w:tcPr>
          <w:p w14:paraId="1FBB2D67"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6AC9834F" w14:textId="77777777" w:rsidR="00D27DDC" w:rsidRPr="00A95DC0" w:rsidRDefault="00D27DDC" w:rsidP="00D27DDC">
            <w:pPr>
              <w:pStyle w:val="Tablesmalltext"/>
            </w:pPr>
            <w:r>
              <w:t>Boundary track almost completely constructed without drainage. Drain spacing exceeds requirements based on slope and soil erosion hazard</w:t>
            </w:r>
          </w:p>
        </w:tc>
        <w:tc>
          <w:tcPr>
            <w:tcW w:w="1731" w:type="dxa"/>
            <w:shd w:val="clear" w:color="auto" w:fill="auto"/>
          </w:tcPr>
          <w:p w14:paraId="4FBF650F" w14:textId="77777777" w:rsidR="00D27DDC" w:rsidRPr="00A95DC0" w:rsidRDefault="00D27DDC" w:rsidP="00D27DDC">
            <w:pPr>
              <w:pStyle w:val="Tablesmalltext"/>
            </w:pPr>
            <w:r>
              <w:t>32.12 |</w:t>
            </w:r>
            <w:r>
              <w:br/>
              <w:t>C2.5.2.5</w:t>
            </w:r>
          </w:p>
        </w:tc>
        <w:tc>
          <w:tcPr>
            <w:tcW w:w="1163" w:type="dxa"/>
            <w:shd w:val="clear" w:color="auto" w:fill="auto"/>
          </w:tcPr>
          <w:p w14:paraId="7C94D7EC" w14:textId="77777777" w:rsidR="00D27DDC" w:rsidRPr="00A95DC0" w:rsidRDefault="00D27DDC" w:rsidP="00D27DDC">
            <w:pPr>
              <w:pStyle w:val="Tablesmalltext"/>
              <w:jc w:val="center"/>
            </w:pPr>
            <w:r>
              <w:t>Minor</w:t>
            </w:r>
          </w:p>
        </w:tc>
      </w:tr>
      <w:tr w:rsidR="00D27DDC" w:rsidRPr="00A95DC0" w14:paraId="36780F13" w14:textId="77777777" w:rsidTr="00523E3C">
        <w:trPr>
          <w:trHeight w:val="72"/>
        </w:trPr>
        <w:tc>
          <w:tcPr>
            <w:tcW w:w="579" w:type="dxa"/>
            <w:vMerge w:val="restart"/>
            <w:shd w:val="clear" w:color="auto" w:fill="auto"/>
            <w:noWrap/>
            <w:hideMark/>
          </w:tcPr>
          <w:p w14:paraId="45454B13"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26</w:t>
            </w:r>
          </w:p>
        </w:tc>
        <w:tc>
          <w:tcPr>
            <w:tcW w:w="1406" w:type="dxa"/>
            <w:vMerge w:val="restart"/>
            <w:shd w:val="clear" w:color="auto" w:fill="auto"/>
            <w:noWrap/>
          </w:tcPr>
          <w:p w14:paraId="0E5E0407" w14:textId="77777777" w:rsidR="00D27DDC" w:rsidRPr="008B4F4B" w:rsidRDefault="00D27DDC" w:rsidP="00D27DDC">
            <w:pPr>
              <w:pStyle w:val="Tablesmalltext"/>
              <w:rPr>
                <w:rFonts w:eastAsia="Times New Roman"/>
                <w:lang w:val="en-AU" w:eastAsia="en-AU"/>
              </w:rPr>
            </w:pPr>
            <w:r w:rsidRPr="00826085">
              <w:t>Group Therapy</w:t>
            </w:r>
          </w:p>
        </w:tc>
        <w:tc>
          <w:tcPr>
            <w:tcW w:w="754" w:type="dxa"/>
            <w:vMerge w:val="restart"/>
            <w:shd w:val="clear" w:color="auto" w:fill="auto"/>
          </w:tcPr>
          <w:p w14:paraId="47CD3824"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50.72</w:t>
            </w:r>
          </w:p>
        </w:tc>
        <w:tc>
          <w:tcPr>
            <w:tcW w:w="4349" w:type="dxa"/>
            <w:shd w:val="clear" w:color="auto" w:fill="auto"/>
          </w:tcPr>
          <w:p w14:paraId="26EF8E61" w14:textId="77777777" w:rsidR="00D27DDC" w:rsidRPr="00A95DC0" w:rsidRDefault="00D27DDC" w:rsidP="00D27DDC">
            <w:pPr>
              <w:pStyle w:val="Tablesmalltext"/>
            </w:pPr>
            <w:r>
              <w:t>Embankment on in-coupe road subject to mass soil movement</w:t>
            </w:r>
          </w:p>
        </w:tc>
        <w:tc>
          <w:tcPr>
            <w:tcW w:w="1731" w:type="dxa"/>
            <w:shd w:val="clear" w:color="auto" w:fill="auto"/>
          </w:tcPr>
          <w:p w14:paraId="4F35D5C9" w14:textId="77777777" w:rsidR="00D27DDC" w:rsidRPr="00A95DC0" w:rsidRDefault="00D27DDC" w:rsidP="00D27DDC">
            <w:pPr>
              <w:pStyle w:val="Tablesmalltext"/>
            </w:pPr>
            <w:r>
              <w:t>6.01, 8.02, 25.01/04 |</w:t>
            </w:r>
            <w:r>
              <w:br/>
              <w:t>C2.2.1.2/14, 2.4.3.3, M6.2.2.3</w:t>
            </w:r>
          </w:p>
        </w:tc>
        <w:tc>
          <w:tcPr>
            <w:tcW w:w="1163" w:type="dxa"/>
            <w:shd w:val="clear" w:color="auto" w:fill="auto"/>
          </w:tcPr>
          <w:p w14:paraId="5F5762D9" w14:textId="77777777" w:rsidR="00D27DDC" w:rsidRPr="00A95DC0" w:rsidRDefault="00D27DDC" w:rsidP="00D27DDC">
            <w:pPr>
              <w:pStyle w:val="Tablesmalltext"/>
              <w:jc w:val="center"/>
            </w:pPr>
            <w:r>
              <w:t>Minor</w:t>
            </w:r>
          </w:p>
        </w:tc>
      </w:tr>
      <w:tr w:rsidR="00D27DDC" w:rsidRPr="00A95DC0" w14:paraId="668CDBAB" w14:textId="77777777" w:rsidTr="00523E3C">
        <w:trPr>
          <w:trHeight w:val="71"/>
        </w:trPr>
        <w:tc>
          <w:tcPr>
            <w:tcW w:w="579" w:type="dxa"/>
            <w:vMerge/>
            <w:shd w:val="clear" w:color="auto" w:fill="auto"/>
            <w:noWrap/>
          </w:tcPr>
          <w:p w14:paraId="36E7297D" w14:textId="77777777" w:rsidR="00D27DDC" w:rsidRDefault="00D27DDC" w:rsidP="00D27DDC">
            <w:pPr>
              <w:pStyle w:val="Tablesmalltext"/>
              <w:jc w:val="center"/>
              <w:rPr>
                <w:rFonts w:eastAsia="Times New Roman"/>
                <w:lang w:val="en-AU" w:eastAsia="en-AU"/>
              </w:rPr>
            </w:pPr>
          </w:p>
        </w:tc>
        <w:tc>
          <w:tcPr>
            <w:tcW w:w="1406" w:type="dxa"/>
            <w:vMerge/>
            <w:shd w:val="clear" w:color="auto" w:fill="auto"/>
            <w:noWrap/>
          </w:tcPr>
          <w:p w14:paraId="5D2F753A" w14:textId="77777777" w:rsidR="00D27DDC" w:rsidRPr="00826085" w:rsidRDefault="00D27DDC" w:rsidP="00D27DDC">
            <w:pPr>
              <w:pStyle w:val="Tablesmalltext"/>
            </w:pPr>
          </w:p>
        </w:tc>
        <w:tc>
          <w:tcPr>
            <w:tcW w:w="754" w:type="dxa"/>
            <w:vMerge/>
            <w:shd w:val="clear" w:color="auto" w:fill="auto"/>
          </w:tcPr>
          <w:p w14:paraId="00B12397"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26AF1274" w14:textId="77777777" w:rsidR="00D27DDC" w:rsidRPr="00A95DC0" w:rsidRDefault="00D27DDC" w:rsidP="00D27DDC">
            <w:pPr>
              <w:pStyle w:val="Tablesmalltext"/>
            </w:pPr>
            <w:r>
              <w:t>Section of in-coupe road with excessive spacing between drainage structures for slope and soil erosion hazard</w:t>
            </w:r>
          </w:p>
        </w:tc>
        <w:tc>
          <w:tcPr>
            <w:tcW w:w="1731" w:type="dxa"/>
            <w:shd w:val="clear" w:color="auto" w:fill="auto"/>
          </w:tcPr>
          <w:p w14:paraId="2563A145" w14:textId="77777777" w:rsidR="00D27DDC" w:rsidRPr="00A95DC0" w:rsidRDefault="00D27DDC" w:rsidP="00D27DDC">
            <w:pPr>
              <w:pStyle w:val="Tablesmalltext"/>
            </w:pPr>
            <w:r>
              <w:t>26.01 |</w:t>
            </w:r>
            <w:r>
              <w:br/>
              <w:t>C2.4.2.5, M6.2.4.1</w:t>
            </w:r>
          </w:p>
        </w:tc>
        <w:tc>
          <w:tcPr>
            <w:tcW w:w="1163" w:type="dxa"/>
            <w:shd w:val="clear" w:color="auto" w:fill="auto"/>
          </w:tcPr>
          <w:p w14:paraId="7A2E8AB9" w14:textId="77777777" w:rsidR="00D27DDC" w:rsidRPr="00A95DC0" w:rsidRDefault="00D27DDC" w:rsidP="00D27DDC">
            <w:pPr>
              <w:pStyle w:val="Tablesmalltext"/>
              <w:jc w:val="center"/>
            </w:pPr>
            <w:r>
              <w:t>Minor</w:t>
            </w:r>
          </w:p>
        </w:tc>
      </w:tr>
      <w:tr w:rsidR="00D27DDC" w:rsidRPr="00A95DC0" w14:paraId="4009917B" w14:textId="77777777" w:rsidTr="00523E3C">
        <w:trPr>
          <w:trHeight w:val="71"/>
        </w:trPr>
        <w:tc>
          <w:tcPr>
            <w:tcW w:w="579" w:type="dxa"/>
            <w:vMerge/>
            <w:shd w:val="clear" w:color="auto" w:fill="auto"/>
            <w:noWrap/>
          </w:tcPr>
          <w:p w14:paraId="44D42C7A" w14:textId="77777777" w:rsidR="00D27DDC" w:rsidRDefault="00D27DDC" w:rsidP="00D27DDC">
            <w:pPr>
              <w:pStyle w:val="Tablesmalltext"/>
              <w:jc w:val="center"/>
              <w:rPr>
                <w:rFonts w:eastAsia="Times New Roman"/>
                <w:lang w:val="en-AU" w:eastAsia="en-AU"/>
              </w:rPr>
            </w:pPr>
          </w:p>
        </w:tc>
        <w:tc>
          <w:tcPr>
            <w:tcW w:w="1406" w:type="dxa"/>
            <w:vMerge/>
            <w:shd w:val="clear" w:color="auto" w:fill="auto"/>
            <w:noWrap/>
          </w:tcPr>
          <w:p w14:paraId="1ABB19BE" w14:textId="77777777" w:rsidR="00D27DDC" w:rsidRPr="00826085" w:rsidRDefault="00D27DDC" w:rsidP="00D27DDC">
            <w:pPr>
              <w:pStyle w:val="Tablesmalltext"/>
            </w:pPr>
          </w:p>
        </w:tc>
        <w:tc>
          <w:tcPr>
            <w:tcW w:w="754" w:type="dxa"/>
            <w:vMerge/>
            <w:shd w:val="clear" w:color="auto" w:fill="auto"/>
          </w:tcPr>
          <w:p w14:paraId="16D74433"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5B601884" w14:textId="77777777" w:rsidR="00D27DDC" w:rsidRPr="00A95DC0" w:rsidRDefault="00D27DDC" w:rsidP="00D27DDC">
            <w:pPr>
              <w:pStyle w:val="Tablesmalltext"/>
            </w:pPr>
            <w:r>
              <w:t>In-coupe road does not have properly constructed drainage for management of road sediments near waterway crossing (of temporary stream)</w:t>
            </w:r>
          </w:p>
        </w:tc>
        <w:tc>
          <w:tcPr>
            <w:tcW w:w="1731" w:type="dxa"/>
            <w:shd w:val="clear" w:color="auto" w:fill="auto"/>
          </w:tcPr>
          <w:p w14:paraId="10995E71" w14:textId="77777777" w:rsidR="00D27DDC" w:rsidRPr="00A95DC0" w:rsidRDefault="00D27DDC" w:rsidP="00D27DDC">
            <w:pPr>
              <w:pStyle w:val="Tablesmalltext"/>
            </w:pPr>
            <w:r>
              <w:t>26.05/06 |</w:t>
            </w:r>
            <w:r>
              <w:br/>
              <w:t>C2.4.2.9, M6.2.4.4/5/6</w:t>
            </w:r>
          </w:p>
        </w:tc>
        <w:tc>
          <w:tcPr>
            <w:tcW w:w="1163" w:type="dxa"/>
            <w:shd w:val="clear" w:color="auto" w:fill="auto"/>
          </w:tcPr>
          <w:p w14:paraId="66C8CA66" w14:textId="77777777" w:rsidR="00D27DDC" w:rsidRPr="00A95DC0" w:rsidRDefault="00D27DDC" w:rsidP="00D27DDC">
            <w:pPr>
              <w:pStyle w:val="Tablesmalltext"/>
              <w:jc w:val="center"/>
            </w:pPr>
            <w:r>
              <w:t>Minor</w:t>
            </w:r>
          </w:p>
        </w:tc>
      </w:tr>
      <w:tr w:rsidR="00D27DDC" w:rsidRPr="00A95DC0" w14:paraId="5ACAA429" w14:textId="77777777" w:rsidTr="00523E3C">
        <w:trPr>
          <w:trHeight w:val="71"/>
        </w:trPr>
        <w:tc>
          <w:tcPr>
            <w:tcW w:w="579" w:type="dxa"/>
            <w:vMerge/>
            <w:shd w:val="clear" w:color="auto" w:fill="auto"/>
            <w:noWrap/>
          </w:tcPr>
          <w:p w14:paraId="4A1F0123" w14:textId="77777777" w:rsidR="00D27DDC" w:rsidRDefault="00D27DDC" w:rsidP="00D27DDC">
            <w:pPr>
              <w:pStyle w:val="Tablesmalltext"/>
              <w:jc w:val="center"/>
              <w:rPr>
                <w:rFonts w:eastAsia="Times New Roman"/>
                <w:lang w:val="en-AU" w:eastAsia="en-AU"/>
              </w:rPr>
            </w:pPr>
          </w:p>
        </w:tc>
        <w:tc>
          <w:tcPr>
            <w:tcW w:w="1406" w:type="dxa"/>
            <w:vMerge/>
            <w:shd w:val="clear" w:color="auto" w:fill="auto"/>
            <w:noWrap/>
          </w:tcPr>
          <w:p w14:paraId="227B734F" w14:textId="77777777" w:rsidR="00D27DDC" w:rsidRPr="00826085" w:rsidRDefault="00D27DDC" w:rsidP="00D27DDC">
            <w:pPr>
              <w:pStyle w:val="Tablesmalltext"/>
            </w:pPr>
          </w:p>
        </w:tc>
        <w:tc>
          <w:tcPr>
            <w:tcW w:w="754" w:type="dxa"/>
            <w:vMerge/>
            <w:shd w:val="clear" w:color="auto" w:fill="auto"/>
          </w:tcPr>
          <w:p w14:paraId="75035E22"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1D3F46A6" w14:textId="77777777" w:rsidR="00D27DDC" w:rsidRPr="00A95DC0" w:rsidRDefault="00D27DDC" w:rsidP="00D27DDC">
            <w:pPr>
              <w:pStyle w:val="Tablesmalltext"/>
            </w:pPr>
            <w:r>
              <w:t xml:space="preserve">Section of snig track without appropriate drainage for slope and soil erosion hazard </w:t>
            </w:r>
          </w:p>
        </w:tc>
        <w:tc>
          <w:tcPr>
            <w:tcW w:w="1731" w:type="dxa"/>
            <w:shd w:val="clear" w:color="auto" w:fill="auto"/>
          </w:tcPr>
          <w:p w14:paraId="1F86115E" w14:textId="77777777" w:rsidR="00D27DDC" w:rsidRPr="00A95DC0" w:rsidRDefault="00D27DDC" w:rsidP="00D27DDC">
            <w:pPr>
              <w:pStyle w:val="Tablesmalltext"/>
            </w:pPr>
            <w:r>
              <w:t>32.02, 32.12 |</w:t>
            </w:r>
            <w:r>
              <w:br/>
              <w:t>C2.5.2.3, M7.2.2.1</w:t>
            </w:r>
          </w:p>
        </w:tc>
        <w:tc>
          <w:tcPr>
            <w:tcW w:w="1163" w:type="dxa"/>
            <w:shd w:val="clear" w:color="auto" w:fill="auto"/>
          </w:tcPr>
          <w:p w14:paraId="75550C6D" w14:textId="77777777" w:rsidR="00D27DDC" w:rsidRPr="00A95DC0" w:rsidRDefault="00D27DDC" w:rsidP="00D27DDC">
            <w:pPr>
              <w:pStyle w:val="Tablesmalltext"/>
              <w:jc w:val="center"/>
            </w:pPr>
            <w:r>
              <w:t xml:space="preserve">Negligible </w:t>
            </w:r>
          </w:p>
        </w:tc>
      </w:tr>
      <w:tr w:rsidR="00D27DDC" w:rsidRPr="00A95DC0" w14:paraId="32E1B63E" w14:textId="77777777" w:rsidTr="00523E3C">
        <w:tc>
          <w:tcPr>
            <w:tcW w:w="579" w:type="dxa"/>
            <w:vMerge w:val="restart"/>
            <w:shd w:val="clear" w:color="auto" w:fill="auto"/>
            <w:noWrap/>
            <w:hideMark/>
          </w:tcPr>
          <w:p w14:paraId="2B08AEC2"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27</w:t>
            </w:r>
          </w:p>
        </w:tc>
        <w:tc>
          <w:tcPr>
            <w:tcW w:w="1406" w:type="dxa"/>
            <w:vMerge w:val="restart"/>
            <w:shd w:val="clear" w:color="auto" w:fill="auto"/>
            <w:noWrap/>
          </w:tcPr>
          <w:p w14:paraId="0725179B" w14:textId="77777777" w:rsidR="00D27DDC" w:rsidRPr="008B4F4B" w:rsidRDefault="00D27DDC" w:rsidP="00D27DDC">
            <w:pPr>
              <w:pStyle w:val="Tablesmalltext"/>
              <w:rPr>
                <w:rFonts w:eastAsia="Times New Roman"/>
                <w:lang w:val="en-AU" w:eastAsia="en-AU"/>
              </w:rPr>
            </w:pPr>
            <w:r w:rsidRPr="00826085">
              <w:t>Sleepy Hollow</w:t>
            </w:r>
          </w:p>
        </w:tc>
        <w:tc>
          <w:tcPr>
            <w:tcW w:w="754" w:type="dxa"/>
            <w:vMerge w:val="restart"/>
            <w:shd w:val="clear" w:color="auto" w:fill="auto"/>
          </w:tcPr>
          <w:p w14:paraId="35074198"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17.88</w:t>
            </w:r>
          </w:p>
        </w:tc>
        <w:tc>
          <w:tcPr>
            <w:tcW w:w="4349" w:type="dxa"/>
            <w:shd w:val="clear" w:color="auto" w:fill="auto"/>
          </w:tcPr>
          <w:p w14:paraId="726C251B" w14:textId="77777777" w:rsidR="00D27DDC" w:rsidRPr="00A95DC0" w:rsidRDefault="00D27DDC" w:rsidP="00D27DDC">
            <w:pPr>
              <w:pStyle w:val="Tablesmalltext"/>
            </w:pPr>
            <w:r>
              <w:t>Landing embankment experiencing mass soil movement</w:t>
            </w:r>
          </w:p>
        </w:tc>
        <w:tc>
          <w:tcPr>
            <w:tcW w:w="1731" w:type="dxa"/>
            <w:shd w:val="clear" w:color="auto" w:fill="auto"/>
          </w:tcPr>
          <w:p w14:paraId="39D86230" w14:textId="77777777" w:rsidR="00D27DDC" w:rsidRPr="00A95DC0" w:rsidRDefault="00D27DDC" w:rsidP="00D27DDC">
            <w:pPr>
              <w:pStyle w:val="Tablesmalltext"/>
            </w:pPr>
            <w:r>
              <w:t>6.01, 8.02, 32.04 |</w:t>
            </w:r>
            <w:r>
              <w:br/>
              <w:t>C2.2.1.2/14, M7.2.2.2</w:t>
            </w:r>
          </w:p>
        </w:tc>
        <w:tc>
          <w:tcPr>
            <w:tcW w:w="1163" w:type="dxa"/>
            <w:shd w:val="clear" w:color="auto" w:fill="auto"/>
          </w:tcPr>
          <w:p w14:paraId="3D3B9C23" w14:textId="77777777" w:rsidR="00D27DDC" w:rsidRPr="00A95DC0" w:rsidRDefault="00D27DDC" w:rsidP="00D27DDC">
            <w:pPr>
              <w:pStyle w:val="Tablesmalltext"/>
              <w:jc w:val="center"/>
            </w:pPr>
            <w:r>
              <w:t>Minor</w:t>
            </w:r>
          </w:p>
        </w:tc>
      </w:tr>
      <w:tr w:rsidR="00D27DDC" w:rsidRPr="00A95DC0" w14:paraId="366B1ABE" w14:textId="77777777" w:rsidTr="00523E3C">
        <w:tc>
          <w:tcPr>
            <w:tcW w:w="579" w:type="dxa"/>
            <w:vMerge/>
            <w:shd w:val="clear" w:color="auto" w:fill="auto"/>
            <w:noWrap/>
          </w:tcPr>
          <w:p w14:paraId="181945F6"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1C9DB540" w14:textId="77777777" w:rsidR="00D27DDC" w:rsidRPr="00826085" w:rsidRDefault="00D27DDC" w:rsidP="00D27DDC">
            <w:pPr>
              <w:pStyle w:val="Tablesmalltext"/>
            </w:pPr>
          </w:p>
        </w:tc>
        <w:tc>
          <w:tcPr>
            <w:tcW w:w="754" w:type="dxa"/>
            <w:vMerge/>
            <w:shd w:val="clear" w:color="auto" w:fill="auto"/>
          </w:tcPr>
          <w:p w14:paraId="693F2BA5" w14:textId="77777777" w:rsidR="00D27DDC" w:rsidRPr="008B4F4B" w:rsidRDefault="00D27DDC" w:rsidP="00D27DDC">
            <w:pPr>
              <w:pStyle w:val="Tablesmalltext"/>
              <w:jc w:val="center"/>
              <w:rPr>
                <w:rFonts w:eastAsia="Times New Roman"/>
                <w:lang w:val="en-AU" w:eastAsia="en-AU"/>
              </w:rPr>
            </w:pPr>
          </w:p>
        </w:tc>
        <w:tc>
          <w:tcPr>
            <w:tcW w:w="4349" w:type="dxa"/>
            <w:shd w:val="clear" w:color="auto" w:fill="auto"/>
          </w:tcPr>
          <w:p w14:paraId="377A3926" w14:textId="77777777" w:rsidR="00D27DDC" w:rsidRDefault="00D27DDC" w:rsidP="00D27DDC">
            <w:pPr>
              <w:pStyle w:val="Tablesmalltext"/>
            </w:pPr>
            <w:r>
              <w:t>Snig track without adequate drainage for soil erosion hazard and slope</w:t>
            </w:r>
          </w:p>
        </w:tc>
        <w:tc>
          <w:tcPr>
            <w:tcW w:w="1731" w:type="dxa"/>
            <w:shd w:val="clear" w:color="auto" w:fill="auto"/>
          </w:tcPr>
          <w:p w14:paraId="66EF4955" w14:textId="77777777" w:rsidR="00D27DDC" w:rsidRDefault="00D27DDC" w:rsidP="00D27DDC">
            <w:pPr>
              <w:pStyle w:val="Tablesmalltext"/>
            </w:pPr>
            <w:r>
              <w:t>32.02</w:t>
            </w:r>
            <w:r>
              <w:br/>
              <w:t>M7.2.2.1</w:t>
            </w:r>
          </w:p>
        </w:tc>
        <w:tc>
          <w:tcPr>
            <w:tcW w:w="1163" w:type="dxa"/>
            <w:shd w:val="clear" w:color="auto" w:fill="auto"/>
          </w:tcPr>
          <w:p w14:paraId="04DD3C9E" w14:textId="77777777" w:rsidR="00D27DDC" w:rsidRDefault="00D27DDC" w:rsidP="00D27DDC">
            <w:pPr>
              <w:pStyle w:val="Tablesmalltext"/>
              <w:jc w:val="center"/>
            </w:pPr>
            <w:r>
              <w:t>Negligible</w:t>
            </w:r>
          </w:p>
        </w:tc>
      </w:tr>
      <w:tr w:rsidR="00D27DDC" w:rsidRPr="00A95DC0" w14:paraId="2D0BCE27" w14:textId="77777777" w:rsidTr="00523E3C">
        <w:trPr>
          <w:trHeight w:val="81"/>
        </w:trPr>
        <w:tc>
          <w:tcPr>
            <w:tcW w:w="579" w:type="dxa"/>
            <w:vMerge w:val="restart"/>
            <w:shd w:val="clear" w:color="auto" w:fill="auto"/>
            <w:noWrap/>
            <w:hideMark/>
          </w:tcPr>
          <w:p w14:paraId="45EDBE58"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28</w:t>
            </w:r>
          </w:p>
        </w:tc>
        <w:tc>
          <w:tcPr>
            <w:tcW w:w="1406" w:type="dxa"/>
            <w:vMerge w:val="restart"/>
            <w:shd w:val="clear" w:color="auto" w:fill="auto"/>
            <w:noWrap/>
          </w:tcPr>
          <w:p w14:paraId="4CAC0F35" w14:textId="77777777" w:rsidR="00D27DDC" w:rsidRPr="008B4F4B" w:rsidRDefault="00D27DDC" w:rsidP="00D27DDC">
            <w:pPr>
              <w:pStyle w:val="Tablesmalltext"/>
              <w:rPr>
                <w:rFonts w:eastAsia="Times New Roman"/>
                <w:lang w:val="en-AU" w:eastAsia="en-AU"/>
              </w:rPr>
            </w:pPr>
            <w:r w:rsidRPr="00826085">
              <w:t>Vox</w:t>
            </w:r>
          </w:p>
        </w:tc>
        <w:tc>
          <w:tcPr>
            <w:tcW w:w="754" w:type="dxa"/>
            <w:vMerge w:val="restart"/>
            <w:shd w:val="clear" w:color="auto" w:fill="auto"/>
          </w:tcPr>
          <w:p w14:paraId="7FD04AE7"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20.82</w:t>
            </w:r>
          </w:p>
        </w:tc>
        <w:tc>
          <w:tcPr>
            <w:tcW w:w="4349" w:type="dxa"/>
          </w:tcPr>
          <w:p w14:paraId="74D67A46" w14:textId="77777777" w:rsidR="00D27DDC" w:rsidRPr="00A95DC0" w:rsidRDefault="00D27DDC" w:rsidP="00D27DDC">
            <w:pPr>
              <w:pStyle w:val="Tablesmalltext"/>
            </w:pPr>
            <w:r>
              <w:t>Culvert inlet at waterway crossing not at bed elevation</w:t>
            </w:r>
          </w:p>
        </w:tc>
        <w:tc>
          <w:tcPr>
            <w:tcW w:w="1731" w:type="dxa"/>
          </w:tcPr>
          <w:p w14:paraId="631DC118" w14:textId="77777777" w:rsidR="00D27DDC" w:rsidRPr="00A95DC0" w:rsidRDefault="00D27DDC" w:rsidP="00D27DDC">
            <w:pPr>
              <w:pStyle w:val="Tablesmalltext"/>
            </w:pPr>
            <w:r>
              <w:t>7.02 |</w:t>
            </w:r>
            <w:r>
              <w:br/>
              <w:t>C2.2.1.6</w:t>
            </w:r>
          </w:p>
        </w:tc>
        <w:tc>
          <w:tcPr>
            <w:tcW w:w="1163" w:type="dxa"/>
          </w:tcPr>
          <w:p w14:paraId="0785A4B1" w14:textId="77777777" w:rsidR="00D27DDC" w:rsidRPr="00A95DC0" w:rsidRDefault="00D27DDC" w:rsidP="00D27DDC">
            <w:pPr>
              <w:pStyle w:val="Tablesmalltext"/>
              <w:jc w:val="center"/>
            </w:pPr>
            <w:r>
              <w:t>Moderate</w:t>
            </w:r>
          </w:p>
        </w:tc>
      </w:tr>
      <w:tr w:rsidR="00D27DDC" w:rsidRPr="00A95DC0" w14:paraId="5BC99270" w14:textId="77777777" w:rsidTr="00523E3C">
        <w:trPr>
          <w:trHeight w:val="78"/>
        </w:trPr>
        <w:tc>
          <w:tcPr>
            <w:tcW w:w="579" w:type="dxa"/>
            <w:vMerge/>
            <w:shd w:val="clear" w:color="auto" w:fill="auto"/>
            <w:noWrap/>
          </w:tcPr>
          <w:p w14:paraId="38F07C52"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7CDE1A92" w14:textId="77777777" w:rsidR="00D27DDC" w:rsidRPr="00826085" w:rsidRDefault="00D27DDC" w:rsidP="00D27DDC">
            <w:pPr>
              <w:pStyle w:val="Tablesmalltext"/>
            </w:pPr>
          </w:p>
        </w:tc>
        <w:tc>
          <w:tcPr>
            <w:tcW w:w="754" w:type="dxa"/>
            <w:vMerge/>
            <w:shd w:val="clear" w:color="auto" w:fill="auto"/>
          </w:tcPr>
          <w:p w14:paraId="6FAE4980" w14:textId="77777777" w:rsidR="00D27DDC" w:rsidRDefault="00D27DDC" w:rsidP="00D27DDC">
            <w:pPr>
              <w:pStyle w:val="Tablesmalltext"/>
              <w:jc w:val="center"/>
              <w:rPr>
                <w:rFonts w:eastAsia="Times New Roman"/>
                <w:lang w:val="en-AU" w:eastAsia="en-AU"/>
              </w:rPr>
            </w:pPr>
          </w:p>
        </w:tc>
        <w:tc>
          <w:tcPr>
            <w:tcW w:w="4349" w:type="dxa"/>
          </w:tcPr>
          <w:p w14:paraId="0C469416" w14:textId="77777777" w:rsidR="00D27DDC" w:rsidRPr="00A95DC0" w:rsidRDefault="00D27DDC" w:rsidP="00D27DDC">
            <w:pPr>
              <w:pStyle w:val="Tablesmalltext"/>
            </w:pPr>
            <w:r>
              <w:t>Section of in-coupe road with excessive spacing between drainage structures for slope and soil erosion hazard</w:t>
            </w:r>
          </w:p>
        </w:tc>
        <w:tc>
          <w:tcPr>
            <w:tcW w:w="1731" w:type="dxa"/>
          </w:tcPr>
          <w:p w14:paraId="0AABC8B7" w14:textId="77777777" w:rsidR="00D27DDC" w:rsidRPr="00A95DC0" w:rsidRDefault="00D27DDC" w:rsidP="00D27DDC">
            <w:pPr>
              <w:pStyle w:val="Tablesmalltext"/>
            </w:pPr>
            <w:r>
              <w:t>26.01,30.01 |</w:t>
            </w:r>
            <w:r>
              <w:br/>
              <w:t>C2.4.2.5, 2.5.1.2, M6.2.4.1</w:t>
            </w:r>
          </w:p>
        </w:tc>
        <w:tc>
          <w:tcPr>
            <w:tcW w:w="1163" w:type="dxa"/>
          </w:tcPr>
          <w:p w14:paraId="7B3FDB36" w14:textId="77777777" w:rsidR="00D27DDC" w:rsidRPr="00A95DC0" w:rsidRDefault="00D27DDC" w:rsidP="00D27DDC">
            <w:pPr>
              <w:pStyle w:val="Tablesmalltext"/>
              <w:jc w:val="center"/>
            </w:pPr>
            <w:r>
              <w:t>Moderate</w:t>
            </w:r>
          </w:p>
        </w:tc>
      </w:tr>
      <w:tr w:rsidR="00D27DDC" w:rsidRPr="00A95DC0" w14:paraId="6162AFB3" w14:textId="77777777" w:rsidTr="00523E3C">
        <w:trPr>
          <w:trHeight w:val="78"/>
        </w:trPr>
        <w:tc>
          <w:tcPr>
            <w:tcW w:w="579" w:type="dxa"/>
            <w:vMerge/>
            <w:shd w:val="clear" w:color="auto" w:fill="auto"/>
            <w:noWrap/>
          </w:tcPr>
          <w:p w14:paraId="5F03BB36"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2D31EF5E" w14:textId="77777777" w:rsidR="00D27DDC" w:rsidRPr="00826085" w:rsidRDefault="00D27DDC" w:rsidP="00D27DDC">
            <w:pPr>
              <w:pStyle w:val="Tablesmalltext"/>
            </w:pPr>
          </w:p>
        </w:tc>
        <w:tc>
          <w:tcPr>
            <w:tcW w:w="754" w:type="dxa"/>
            <w:vMerge/>
            <w:shd w:val="clear" w:color="auto" w:fill="auto"/>
          </w:tcPr>
          <w:p w14:paraId="6FB8C070" w14:textId="77777777" w:rsidR="00D27DDC" w:rsidRDefault="00D27DDC" w:rsidP="00D27DDC">
            <w:pPr>
              <w:pStyle w:val="Tablesmalltext"/>
              <w:jc w:val="center"/>
              <w:rPr>
                <w:rFonts w:eastAsia="Times New Roman"/>
                <w:lang w:val="en-AU" w:eastAsia="en-AU"/>
              </w:rPr>
            </w:pPr>
          </w:p>
        </w:tc>
        <w:tc>
          <w:tcPr>
            <w:tcW w:w="4349" w:type="dxa"/>
          </w:tcPr>
          <w:p w14:paraId="1DBB79FB" w14:textId="77777777" w:rsidR="00D27DDC" w:rsidRPr="00A95DC0" w:rsidRDefault="00D27DDC" w:rsidP="00D27DDC">
            <w:pPr>
              <w:pStyle w:val="Tablesmalltext"/>
            </w:pPr>
            <w:r>
              <w:t>In-coupe road does not have properly constructed drainage for management of road sediments near waterway crossing (of temporary stream)</w:t>
            </w:r>
          </w:p>
        </w:tc>
        <w:tc>
          <w:tcPr>
            <w:tcW w:w="1731" w:type="dxa"/>
          </w:tcPr>
          <w:p w14:paraId="3C435E3D" w14:textId="77777777" w:rsidR="00D27DDC" w:rsidRPr="00A95DC0" w:rsidRDefault="00D27DDC" w:rsidP="00D27DDC">
            <w:pPr>
              <w:pStyle w:val="Tablesmalltext"/>
            </w:pPr>
            <w:r>
              <w:t>6.01, 7.05/06/07, 8.02, 9.00, 26.04/05/06 |</w:t>
            </w:r>
            <w:r>
              <w:br/>
              <w:t>C2.2.1.2, 2.2.1.8, 2.2.1.12, 2.2.1.14, 2.4.2.9, M6.2.4.4/5/6</w:t>
            </w:r>
          </w:p>
        </w:tc>
        <w:tc>
          <w:tcPr>
            <w:tcW w:w="1163" w:type="dxa"/>
          </w:tcPr>
          <w:p w14:paraId="7F830BA5" w14:textId="77777777" w:rsidR="00D27DDC" w:rsidRPr="00A95DC0" w:rsidRDefault="00D27DDC" w:rsidP="00D27DDC">
            <w:pPr>
              <w:pStyle w:val="Tablesmalltext"/>
              <w:jc w:val="center"/>
            </w:pPr>
            <w:r>
              <w:t>Moderate</w:t>
            </w:r>
          </w:p>
        </w:tc>
      </w:tr>
      <w:tr w:rsidR="00D27DDC" w:rsidRPr="00A95DC0" w14:paraId="5A7BE495" w14:textId="77777777" w:rsidTr="00523E3C">
        <w:trPr>
          <w:trHeight w:val="278"/>
        </w:trPr>
        <w:tc>
          <w:tcPr>
            <w:tcW w:w="579" w:type="dxa"/>
            <w:vMerge/>
            <w:shd w:val="clear" w:color="auto" w:fill="auto"/>
            <w:noWrap/>
          </w:tcPr>
          <w:p w14:paraId="21FB627C"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43FDFD92" w14:textId="77777777" w:rsidR="00D27DDC" w:rsidRPr="00826085" w:rsidRDefault="00D27DDC" w:rsidP="00D27DDC">
            <w:pPr>
              <w:pStyle w:val="Tablesmalltext"/>
            </w:pPr>
          </w:p>
        </w:tc>
        <w:tc>
          <w:tcPr>
            <w:tcW w:w="754" w:type="dxa"/>
            <w:vMerge/>
            <w:shd w:val="clear" w:color="auto" w:fill="auto"/>
          </w:tcPr>
          <w:p w14:paraId="01F5B1AB" w14:textId="77777777" w:rsidR="00D27DDC" w:rsidRDefault="00D27DDC" w:rsidP="00D27DDC">
            <w:pPr>
              <w:pStyle w:val="Tablesmalltext"/>
              <w:jc w:val="center"/>
              <w:rPr>
                <w:rFonts w:eastAsia="Times New Roman"/>
                <w:lang w:val="en-AU" w:eastAsia="en-AU"/>
              </w:rPr>
            </w:pPr>
          </w:p>
        </w:tc>
        <w:tc>
          <w:tcPr>
            <w:tcW w:w="4349" w:type="dxa"/>
          </w:tcPr>
          <w:p w14:paraId="49ADA89D" w14:textId="77777777" w:rsidR="00D27DDC" w:rsidRPr="00A95DC0" w:rsidRDefault="00D27DDC" w:rsidP="00D27DDC">
            <w:pPr>
              <w:pStyle w:val="Tablesmalltext"/>
            </w:pPr>
            <w:r>
              <w:t>Landing not rehabilitated following finalisation of operations.</w:t>
            </w:r>
          </w:p>
        </w:tc>
        <w:tc>
          <w:tcPr>
            <w:tcW w:w="1731" w:type="dxa"/>
          </w:tcPr>
          <w:p w14:paraId="262A716C" w14:textId="77777777" w:rsidR="00D27DDC" w:rsidRPr="00A95DC0" w:rsidRDefault="00D27DDC" w:rsidP="00D27DDC">
            <w:pPr>
              <w:pStyle w:val="Tablesmalltext"/>
            </w:pPr>
            <w:r>
              <w:t>32.04/08/10 |</w:t>
            </w:r>
            <w:r>
              <w:br/>
              <w:t>M7.2.2.2/6/7</w:t>
            </w:r>
          </w:p>
        </w:tc>
        <w:tc>
          <w:tcPr>
            <w:tcW w:w="1163" w:type="dxa"/>
          </w:tcPr>
          <w:p w14:paraId="454DF34F" w14:textId="77777777" w:rsidR="00D27DDC" w:rsidRPr="00A95DC0" w:rsidRDefault="00D27DDC" w:rsidP="00D27DDC">
            <w:pPr>
              <w:pStyle w:val="Tablesmalltext"/>
              <w:jc w:val="center"/>
            </w:pPr>
            <w:r>
              <w:t>Minor</w:t>
            </w:r>
          </w:p>
        </w:tc>
      </w:tr>
      <w:tr w:rsidR="00D27DDC" w:rsidRPr="00A95DC0" w14:paraId="38040C0D" w14:textId="77777777" w:rsidTr="00523E3C">
        <w:trPr>
          <w:trHeight w:val="278"/>
        </w:trPr>
        <w:tc>
          <w:tcPr>
            <w:tcW w:w="579" w:type="dxa"/>
            <w:vMerge/>
            <w:shd w:val="clear" w:color="auto" w:fill="auto"/>
            <w:noWrap/>
          </w:tcPr>
          <w:p w14:paraId="5DFCFB86"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4D4A23E3" w14:textId="77777777" w:rsidR="00D27DDC" w:rsidRPr="00826085" w:rsidRDefault="00D27DDC" w:rsidP="00D27DDC">
            <w:pPr>
              <w:pStyle w:val="Tablesmalltext"/>
            </w:pPr>
          </w:p>
        </w:tc>
        <w:tc>
          <w:tcPr>
            <w:tcW w:w="754" w:type="dxa"/>
            <w:vMerge/>
            <w:shd w:val="clear" w:color="auto" w:fill="auto"/>
          </w:tcPr>
          <w:p w14:paraId="304F9DFF" w14:textId="77777777" w:rsidR="00D27DDC" w:rsidRDefault="00D27DDC" w:rsidP="00D27DDC">
            <w:pPr>
              <w:pStyle w:val="Tablesmalltext"/>
              <w:jc w:val="center"/>
              <w:rPr>
                <w:rFonts w:eastAsia="Times New Roman"/>
                <w:lang w:val="en-AU" w:eastAsia="en-AU"/>
              </w:rPr>
            </w:pPr>
          </w:p>
        </w:tc>
        <w:tc>
          <w:tcPr>
            <w:tcW w:w="4349" w:type="dxa"/>
          </w:tcPr>
          <w:p w14:paraId="796D1401" w14:textId="77777777" w:rsidR="00D27DDC" w:rsidRDefault="00D27DDC" w:rsidP="00D27DDC">
            <w:pPr>
              <w:pStyle w:val="Tablesmalltext"/>
            </w:pPr>
            <w:r>
              <w:t xml:space="preserve">Section of snig/boundary track without appropriate drainage for slope and soil erosion hazard </w:t>
            </w:r>
          </w:p>
        </w:tc>
        <w:tc>
          <w:tcPr>
            <w:tcW w:w="1731" w:type="dxa"/>
          </w:tcPr>
          <w:p w14:paraId="68A5586E" w14:textId="77777777" w:rsidR="00D27DDC" w:rsidRPr="00A95DC0" w:rsidRDefault="00D27DDC" w:rsidP="00D27DDC">
            <w:pPr>
              <w:pStyle w:val="Tablesmalltext"/>
            </w:pPr>
            <w:r>
              <w:t>32.12 |</w:t>
            </w:r>
            <w:r>
              <w:br/>
              <w:t>C2.5.2.5, M7.2.2.1</w:t>
            </w:r>
          </w:p>
        </w:tc>
        <w:tc>
          <w:tcPr>
            <w:tcW w:w="1163" w:type="dxa"/>
          </w:tcPr>
          <w:p w14:paraId="2A3E6DB9" w14:textId="77777777" w:rsidR="00D27DDC" w:rsidRPr="00A95DC0" w:rsidRDefault="00D27DDC" w:rsidP="00D27DDC">
            <w:pPr>
              <w:pStyle w:val="Tablesmalltext"/>
              <w:jc w:val="center"/>
            </w:pPr>
            <w:r>
              <w:t xml:space="preserve">Minor </w:t>
            </w:r>
          </w:p>
        </w:tc>
      </w:tr>
      <w:tr w:rsidR="00D27DDC" w:rsidRPr="00A95DC0" w14:paraId="7ABA1039" w14:textId="77777777" w:rsidTr="00523E3C">
        <w:trPr>
          <w:trHeight w:val="277"/>
        </w:trPr>
        <w:tc>
          <w:tcPr>
            <w:tcW w:w="579" w:type="dxa"/>
            <w:vMerge/>
            <w:shd w:val="clear" w:color="auto" w:fill="auto"/>
            <w:noWrap/>
          </w:tcPr>
          <w:p w14:paraId="0E4F3142" w14:textId="77777777" w:rsidR="00D27DDC" w:rsidRPr="008B4F4B" w:rsidRDefault="00D27DDC" w:rsidP="00D27DDC">
            <w:pPr>
              <w:pStyle w:val="Tablesmalltext"/>
              <w:jc w:val="center"/>
              <w:rPr>
                <w:rFonts w:eastAsia="Times New Roman"/>
                <w:lang w:val="en-AU" w:eastAsia="en-AU"/>
              </w:rPr>
            </w:pPr>
          </w:p>
        </w:tc>
        <w:tc>
          <w:tcPr>
            <w:tcW w:w="1406" w:type="dxa"/>
            <w:vMerge/>
            <w:shd w:val="clear" w:color="auto" w:fill="auto"/>
            <w:noWrap/>
          </w:tcPr>
          <w:p w14:paraId="0F215EFC" w14:textId="77777777" w:rsidR="00D27DDC" w:rsidRPr="00826085" w:rsidRDefault="00D27DDC" w:rsidP="00D27DDC">
            <w:pPr>
              <w:pStyle w:val="Tablesmalltext"/>
            </w:pPr>
          </w:p>
        </w:tc>
        <w:tc>
          <w:tcPr>
            <w:tcW w:w="754" w:type="dxa"/>
            <w:vMerge/>
            <w:shd w:val="clear" w:color="auto" w:fill="auto"/>
          </w:tcPr>
          <w:p w14:paraId="0E45B142" w14:textId="77777777" w:rsidR="00D27DDC" w:rsidRDefault="00D27DDC" w:rsidP="00D27DDC">
            <w:pPr>
              <w:pStyle w:val="Tablesmalltext"/>
              <w:jc w:val="center"/>
              <w:rPr>
                <w:rFonts w:eastAsia="Times New Roman"/>
                <w:lang w:val="en-AU" w:eastAsia="en-AU"/>
              </w:rPr>
            </w:pPr>
          </w:p>
        </w:tc>
        <w:tc>
          <w:tcPr>
            <w:tcW w:w="4349" w:type="dxa"/>
          </w:tcPr>
          <w:p w14:paraId="22ADDDF0" w14:textId="77777777" w:rsidR="00D27DDC" w:rsidRDefault="00D27DDC" w:rsidP="00D27DDC">
            <w:pPr>
              <w:pStyle w:val="Tablesmalltext"/>
            </w:pPr>
            <w:r>
              <w:t>Snig track discharges sediment onto in-coupe road and then into waterway</w:t>
            </w:r>
          </w:p>
        </w:tc>
        <w:tc>
          <w:tcPr>
            <w:tcW w:w="1731" w:type="dxa"/>
          </w:tcPr>
          <w:p w14:paraId="0327F311" w14:textId="77777777" w:rsidR="00D27DDC" w:rsidRDefault="00D27DDC" w:rsidP="00D27DDC">
            <w:pPr>
              <w:pStyle w:val="Tablesmalltext"/>
            </w:pPr>
            <w:r>
              <w:t>32.13 |</w:t>
            </w:r>
            <w:r>
              <w:br/>
              <w:t>C2.5.2.5</w:t>
            </w:r>
          </w:p>
        </w:tc>
        <w:tc>
          <w:tcPr>
            <w:tcW w:w="1163" w:type="dxa"/>
          </w:tcPr>
          <w:p w14:paraId="2EA49377" w14:textId="77777777" w:rsidR="00D27DDC" w:rsidRDefault="00D27DDC" w:rsidP="00D27DDC">
            <w:pPr>
              <w:pStyle w:val="Tablesmalltext"/>
              <w:jc w:val="center"/>
            </w:pPr>
            <w:r>
              <w:t>Minor</w:t>
            </w:r>
          </w:p>
        </w:tc>
      </w:tr>
      <w:tr w:rsidR="00D27DDC" w:rsidRPr="00A95DC0" w14:paraId="46858D34" w14:textId="77777777" w:rsidTr="00523E3C">
        <w:tc>
          <w:tcPr>
            <w:tcW w:w="579" w:type="dxa"/>
            <w:shd w:val="clear" w:color="auto" w:fill="auto"/>
            <w:noWrap/>
            <w:hideMark/>
          </w:tcPr>
          <w:p w14:paraId="4F0D634D"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29</w:t>
            </w:r>
          </w:p>
        </w:tc>
        <w:tc>
          <w:tcPr>
            <w:tcW w:w="1406" w:type="dxa"/>
            <w:shd w:val="clear" w:color="auto" w:fill="auto"/>
            <w:noWrap/>
          </w:tcPr>
          <w:p w14:paraId="4FA75FE8" w14:textId="77777777" w:rsidR="00D27DDC" w:rsidRPr="008B4F4B" w:rsidRDefault="00D27DDC" w:rsidP="00D27DDC">
            <w:pPr>
              <w:pStyle w:val="Tablesmalltext"/>
              <w:rPr>
                <w:rFonts w:eastAsia="Times New Roman"/>
                <w:lang w:val="en-AU" w:eastAsia="en-AU"/>
              </w:rPr>
            </w:pPr>
            <w:r w:rsidRPr="00826085">
              <w:t>Wingan River</w:t>
            </w:r>
          </w:p>
        </w:tc>
        <w:tc>
          <w:tcPr>
            <w:tcW w:w="754" w:type="dxa"/>
            <w:shd w:val="clear" w:color="auto" w:fill="auto"/>
          </w:tcPr>
          <w:p w14:paraId="63172670"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35.08</w:t>
            </w:r>
          </w:p>
        </w:tc>
        <w:tc>
          <w:tcPr>
            <w:tcW w:w="4349" w:type="dxa"/>
            <w:shd w:val="clear" w:color="auto" w:fill="auto"/>
          </w:tcPr>
          <w:p w14:paraId="0A2A8AC1" w14:textId="77777777" w:rsidR="00D27DDC" w:rsidRPr="00A95DC0" w:rsidRDefault="00D27DDC" w:rsidP="00D27DDC">
            <w:pPr>
              <w:pStyle w:val="Tablesmalltext"/>
            </w:pPr>
            <w:r>
              <w:t>Landing not rehabilitated following finalisation of operations.</w:t>
            </w:r>
          </w:p>
        </w:tc>
        <w:tc>
          <w:tcPr>
            <w:tcW w:w="1731" w:type="dxa"/>
            <w:shd w:val="clear" w:color="auto" w:fill="auto"/>
          </w:tcPr>
          <w:p w14:paraId="1D19CF74" w14:textId="77777777" w:rsidR="00D27DDC" w:rsidRPr="00A95DC0" w:rsidRDefault="00D27DDC" w:rsidP="00D27DDC">
            <w:pPr>
              <w:pStyle w:val="Tablesmalltext"/>
            </w:pPr>
            <w:r>
              <w:t>32.04/08 |</w:t>
            </w:r>
            <w:r>
              <w:br/>
              <w:t>M7.2.2.2/6</w:t>
            </w:r>
          </w:p>
        </w:tc>
        <w:tc>
          <w:tcPr>
            <w:tcW w:w="1163" w:type="dxa"/>
            <w:shd w:val="clear" w:color="auto" w:fill="auto"/>
          </w:tcPr>
          <w:p w14:paraId="0238579B" w14:textId="77777777" w:rsidR="00D27DDC" w:rsidRPr="00A95DC0" w:rsidRDefault="00D27DDC" w:rsidP="00D27DDC">
            <w:pPr>
              <w:pStyle w:val="Tablesmalltext"/>
              <w:jc w:val="center"/>
            </w:pPr>
            <w:r>
              <w:t>Negligible</w:t>
            </w:r>
          </w:p>
        </w:tc>
      </w:tr>
      <w:tr w:rsidR="00D27DDC" w:rsidRPr="00A95DC0" w14:paraId="7B1FED86" w14:textId="77777777" w:rsidTr="00523E3C">
        <w:tc>
          <w:tcPr>
            <w:tcW w:w="579" w:type="dxa"/>
            <w:shd w:val="clear" w:color="auto" w:fill="auto"/>
            <w:noWrap/>
            <w:hideMark/>
          </w:tcPr>
          <w:p w14:paraId="0C86F111" w14:textId="77777777" w:rsidR="00D27DDC" w:rsidRPr="008B4F4B" w:rsidRDefault="00D27DDC" w:rsidP="00D27DDC">
            <w:pPr>
              <w:pStyle w:val="Tablesmalltext"/>
              <w:jc w:val="center"/>
              <w:rPr>
                <w:rFonts w:eastAsia="Times New Roman"/>
                <w:lang w:val="en-AU" w:eastAsia="en-AU"/>
              </w:rPr>
            </w:pPr>
            <w:r w:rsidRPr="008B4F4B">
              <w:rPr>
                <w:rFonts w:eastAsia="Times New Roman"/>
                <w:lang w:val="en-AU" w:eastAsia="en-AU"/>
              </w:rPr>
              <w:t>30</w:t>
            </w:r>
          </w:p>
        </w:tc>
        <w:tc>
          <w:tcPr>
            <w:tcW w:w="1406" w:type="dxa"/>
            <w:shd w:val="clear" w:color="auto" w:fill="auto"/>
            <w:noWrap/>
          </w:tcPr>
          <w:p w14:paraId="2FDAD63E" w14:textId="77777777" w:rsidR="00D27DDC" w:rsidRPr="008B4F4B" w:rsidRDefault="00D27DDC" w:rsidP="00D27DDC">
            <w:pPr>
              <w:pStyle w:val="Tablesmalltext"/>
              <w:rPr>
                <w:rFonts w:eastAsia="Times New Roman"/>
                <w:lang w:val="en-AU" w:eastAsia="en-AU"/>
              </w:rPr>
            </w:pPr>
            <w:r w:rsidRPr="00826085">
              <w:t>Another Bit</w:t>
            </w:r>
          </w:p>
        </w:tc>
        <w:tc>
          <w:tcPr>
            <w:tcW w:w="754" w:type="dxa"/>
            <w:shd w:val="clear" w:color="auto" w:fill="auto"/>
          </w:tcPr>
          <w:p w14:paraId="7959E3C8"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46.92</w:t>
            </w:r>
          </w:p>
        </w:tc>
        <w:tc>
          <w:tcPr>
            <w:tcW w:w="4349" w:type="dxa"/>
            <w:shd w:val="clear" w:color="auto" w:fill="auto"/>
          </w:tcPr>
          <w:p w14:paraId="08847901" w14:textId="77777777" w:rsidR="00D27DDC" w:rsidRPr="00A95DC0" w:rsidRDefault="00D27DDC" w:rsidP="00D27DDC">
            <w:pPr>
              <w:pStyle w:val="Tablesmalltext"/>
            </w:pPr>
            <w:r>
              <w:t xml:space="preserve">Section of snig/boundary track without appropriate drainage for slope and soil erosion hazard </w:t>
            </w:r>
          </w:p>
        </w:tc>
        <w:tc>
          <w:tcPr>
            <w:tcW w:w="1731" w:type="dxa"/>
            <w:shd w:val="clear" w:color="auto" w:fill="auto"/>
          </w:tcPr>
          <w:p w14:paraId="5D22CCE4" w14:textId="77777777" w:rsidR="00D27DDC" w:rsidRPr="00A95DC0" w:rsidRDefault="00D27DDC" w:rsidP="00D27DDC">
            <w:pPr>
              <w:pStyle w:val="Tablesmalltext"/>
            </w:pPr>
            <w:r>
              <w:t>32.12 |</w:t>
            </w:r>
            <w:r>
              <w:br/>
              <w:t>C2.5.2.5</w:t>
            </w:r>
          </w:p>
        </w:tc>
        <w:tc>
          <w:tcPr>
            <w:tcW w:w="1163" w:type="dxa"/>
            <w:shd w:val="clear" w:color="auto" w:fill="auto"/>
          </w:tcPr>
          <w:p w14:paraId="1B1B2324" w14:textId="77777777" w:rsidR="00D27DDC" w:rsidRPr="00A95DC0" w:rsidRDefault="00D27DDC" w:rsidP="00D27DDC">
            <w:pPr>
              <w:pStyle w:val="Tablesmalltext"/>
              <w:jc w:val="center"/>
            </w:pPr>
            <w:r>
              <w:t xml:space="preserve">Minor </w:t>
            </w:r>
          </w:p>
        </w:tc>
      </w:tr>
    </w:tbl>
    <w:p w14:paraId="12E81888" w14:textId="77777777" w:rsidR="00D27DDC" w:rsidRDefault="00D27DDC" w:rsidP="00D27DDC">
      <w:pPr>
        <w:pStyle w:val="Tablesmalltext"/>
      </w:pPr>
      <w:r>
        <w:t>Note:</w:t>
      </w:r>
    </w:p>
    <w:p w14:paraId="6D01CDC7" w14:textId="77777777" w:rsidR="00D27DDC" w:rsidRDefault="00D27DDC" w:rsidP="00E74AFC">
      <w:pPr>
        <w:pStyle w:val="Tablesmalltext"/>
        <w:numPr>
          <w:ilvl w:val="0"/>
          <w:numId w:val="85"/>
        </w:numPr>
      </w:pPr>
      <w:r>
        <w:t>Area: gross coupe area (ha)</w:t>
      </w:r>
    </w:p>
    <w:p w14:paraId="79404A38" w14:textId="56169F53" w:rsidR="00D27DDC" w:rsidRDefault="00D27DDC" w:rsidP="00E74AFC">
      <w:pPr>
        <w:pStyle w:val="Tablesmalltext"/>
        <w:numPr>
          <w:ilvl w:val="0"/>
          <w:numId w:val="85"/>
        </w:numPr>
      </w:pPr>
      <w:r>
        <w:t xml:space="preserve">Audit criteria: criteria (from </w:t>
      </w:r>
      <w:r>
        <w:fldChar w:fldCharType="begin" w:fldLock="1"/>
      </w:r>
      <w:r>
        <w:instrText xml:space="preserve"> REF _Ref13827801 \r \h </w:instrText>
      </w:r>
      <w:r>
        <w:fldChar w:fldCharType="separate"/>
      </w:r>
      <w:r w:rsidR="005544E2">
        <w:t>Appendix A</w:t>
      </w:r>
      <w:r>
        <w:fldChar w:fldCharType="end"/>
      </w:r>
      <w:r>
        <w:t>) used to assess coupe planning and management</w:t>
      </w:r>
    </w:p>
    <w:p w14:paraId="326C3B28" w14:textId="77777777" w:rsidR="00D27DDC" w:rsidRDefault="00D27DDC" w:rsidP="00E74AFC">
      <w:pPr>
        <w:pStyle w:val="Tablesmalltext"/>
        <w:numPr>
          <w:ilvl w:val="0"/>
          <w:numId w:val="85"/>
        </w:numPr>
      </w:pPr>
      <w:r>
        <w:t>Compliance element: Code and/or MSP compliance requirements to which non-conformance has been reported</w:t>
      </w:r>
    </w:p>
    <w:p w14:paraId="7D264E43" w14:textId="2144339A" w:rsidR="00D27DDC" w:rsidRDefault="00D27DDC" w:rsidP="00E74AFC">
      <w:pPr>
        <w:pStyle w:val="Tablesmalltext"/>
        <w:numPr>
          <w:ilvl w:val="0"/>
          <w:numId w:val="85"/>
        </w:numPr>
      </w:pPr>
      <w:r>
        <w:t>EI rating: assessed potential environmental impact, using the FAP’s EIA tool (</w:t>
      </w:r>
      <w:r>
        <w:fldChar w:fldCharType="begin" w:fldLock="1"/>
      </w:r>
      <w:r>
        <w:instrText xml:space="preserve"> REF _Ref13845696 \r \h </w:instrText>
      </w:r>
      <w:r>
        <w:fldChar w:fldCharType="separate"/>
      </w:r>
      <w:r w:rsidR="005544E2">
        <w:t>Appendix B</w:t>
      </w:r>
      <w:r>
        <w:fldChar w:fldCharType="end"/>
      </w:r>
      <w:r>
        <w:t>)</w:t>
      </w:r>
    </w:p>
    <w:p w14:paraId="41954D49" w14:textId="77777777" w:rsidR="00D27DDC" w:rsidRDefault="00D27DDC" w:rsidP="00E74AFC">
      <w:pPr>
        <w:pStyle w:val="Tablesmalltext"/>
        <w:numPr>
          <w:ilvl w:val="0"/>
          <w:numId w:val="85"/>
        </w:numPr>
      </w:pPr>
      <w:r>
        <w:t>Grey-shaded cells: no non-conformance incidents with potential for EI observed in the coupe</w:t>
      </w:r>
    </w:p>
    <w:p w14:paraId="17C2C78F" w14:textId="77777777" w:rsidR="00D27DDC" w:rsidRDefault="00D27DDC" w:rsidP="00D27DDC">
      <w:pPr>
        <w:pStyle w:val="Appendixsubheading1"/>
        <w:pageBreakBefore/>
      </w:pPr>
      <w:bookmarkStart w:id="350" w:name="_Toc26891679"/>
      <w:bookmarkStart w:id="351" w:name="_Toc33202329"/>
      <w:r>
        <w:lastRenderedPageBreak/>
        <w:t>Regeneration coupes</w:t>
      </w:r>
      <w:bookmarkEnd w:id="350"/>
      <w:bookmarkEnd w:id="351"/>
    </w:p>
    <w:tbl>
      <w:tblPr>
        <w:tblW w:w="9825" w:type="dxa"/>
        <w:tblInd w:w="93"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ayout w:type="fixed"/>
        <w:tblLook w:val="04A0" w:firstRow="1" w:lastRow="0" w:firstColumn="1" w:lastColumn="0" w:noHBand="0" w:noVBand="1"/>
      </w:tblPr>
      <w:tblGrid>
        <w:gridCol w:w="579"/>
        <w:gridCol w:w="1546"/>
        <w:gridCol w:w="829"/>
        <w:gridCol w:w="4319"/>
        <w:gridCol w:w="1560"/>
        <w:gridCol w:w="992"/>
      </w:tblGrid>
      <w:tr w:rsidR="00D27DDC" w:rsidRPr="00D27DDC" w14:paraId="4013E3F2" w14:textId="77777777" w:rsidTr="00D27DDC">
        <w:trPr>
          <w:trHeight w:val="300"/>
          <w:tblHeader/>
        </w:trPr>
        <w:tc>
          <w:tcPr>
            <w:tcW w:w="579" w:type="dxa"/>
            <w:shd w:val="clear" w:color="auto" w:fill="E5E5E5" w:themeFill="background2"/>
            <w:noWrap/>
            <w:vAlign w:val="center"/>
            <w:hideMark/>
          </w:tcPr>
          <w:p w14:paraId="266E6ADA" w14:textId="77777777" w:rsidR="00D27DDC" w:rsidRPr="00D27DDC" w:rsidRDefault="00D27DDC" w:rsidP="00D27DDC">
            <w:pPr>
              <w:pStyle w:val="Tablesmalltext"/>
              <w:jc w:val="center"/>
              <w:rPr>
                <w:rFonts w:eastAsia="Times New Roman"/>
                <w:b/>
                <w:lang w:val="en-AU" w:eastAsia="en-AU"/>
              </w:rPr>
            </w:pPr>
            <w:r w:rsidRPr="00D27DDC">
              <w:rPr>
                <w:rFonts w:eastAsia="Times New Roman"/>
                <w:b/>
                <w:lang w:val="en-AU" w:eastAsia="en-AU"/>
              </w:rPr>
              <w:t>#</w:t>
            </w:r>
          </w:p>
        </w:tc>
        <w:tc>
          <w:tcPr>
            <w:tcW w:w="1546" w:type="dxa"/>
            <w:shd w:val="clear" w:color="auto" w:fill="E5E5E5" w:themeFill="background2"/>
            <w:noWrap/>
            <w:vAlign w:val="center"/>
            <w:hideMark/>
          </w:tcPr>
          <w:p w14:paraId="750605FC" w14:textId="77777777" w:rsidR="00D27DDC" w:rsidRPr="00D27DDC" w:rsidRDefault="00D27DDC" w:rsidP="00D27DDC">
            <w:pPr>
              <w:pStyle w:val="Tablesmalltext"/>
              <w:rPr>
                <w:rFonts w:eastAsia="Times New Roman"/>
                <w:b/>
                <w:lang w:val="en-AU" w:eastAsia="en-AU"/>
              </w:rPr>
            </w:pPr>
            <w:r w:rsidRPr="00D27DDC">
              <w:rPr>
                <w:rFonts w:eastAsia="Times New Roman"/>
                <w:b/>
                <w:lang w:val="en-AU" w:eastAsia="en-AU"/>
              </w:rPr>
              <w:t>Name</w:t>
            </w:r>
          </w:p>
        </w:tc>
        <w:tc>
          <w:tcPr>
            <w:tcW w:w="829" w:type="dxa"/>
            <w:shd w:val="clear" w:color="auto" w:fill="E5E5E5" w:themeFill="background2"/>
            <w:vAlign w:val="center"/>
          </w:tcPr>
          <w:p w14:paraId="032077C2" w14:textId="77777777" w:rsidR="00D27DDC" w:rsidRPr="00D27DDC" w:rsidRDefault="00D27DDC" w:rsidP="00D27DDC">
            <w:pPr>
              <w:pStyle w:val="Tablesmalltext"/>
              <w:jc w:val="center"/>
              <w:rPr>
                <w:rFonts w:eastAsia="Times New Roman"/>
                <w:b/>
                <w:vertAlign w:val="superscript"/>
                <w:lang w:val="en-AU" w:eastAsia="en-AU"/>
              </w:rPr>
            </w:pPr>
            <w:r w:rsidRPr="00D27DDC">
              <w:rPr>
                <w:rFonts w:eastAsia="Times New Roman"/>
                <w:b/>
                <w:lang w:val="en-AU" w:eastAsia="en-AU"/>
              </w:rPr>
              <w:t>Area</w:t>
            </w:r>
            <w:r w:rsidRPr="00D27DDC">
              <w:rPr>
                <w:rFonts w:eastAsia="Times New Roman"/>
                <w:b/>
                <w:vertAlign w:val="superscript"/>
                <w:lang w:val="en-AU" w:eastAsia="en-AU"/>
              </w:rPr>
              <w:t>1</w:t>
            </w:r>
          </w:p>
        </w:tc>
        <w:tc>
          <w:tcPr>
            <w:tcW w:w="4319" w:type="dxa"/>
            <w:shd w:val="clear" w:color="auto" w:fill="E5E5E5" w:themeFill="background2"/>
            <w:vAlign w:val="center"/>
          </w:tcPr>
          <w:p w14:paraId="0F9EED79" w14:textId="77777777" w:rsidR="00D27DDC" w:rsidRPr="00D27DDC" w:rsidRDefault="00D27DDC" w:rsidP="00D27DDC">
            <w:pPr>
              <w:pStyle w:val="Tablesmalltext"/>
              <w:rPr>
                <w:rFonts w:eastAsia="Times New Roman"/>
                <w:b/>
                <w:vertAlign w:val="superscript"/>
                <w:lang w:val="en-AU" w:eastAsia="en-AU"/>
              </w:rPr>
            </w:pPr>
            <w:r w:rsidRPr="00D27DDC">
              <w:rPr>
                <w:rFonts w:eastAsia="Times New Roman"/>
                <w:b/>
                <w:lang w:val="en-AU" w:eastAsia="en-AU"/>
              </w:rPr>
              <w:t>Non-compliance incident resulting in actual or potential environmental impact (EI)</w:t>
            </w:r>
          </w:p>
        </w:tc>
        <w:tc>
          <w:tcPr>
            <w:tcW w:w="1560" w:type="dxa"/>
            <w:shd w:val="clear" w:color="auto" w:fill="E5E5E5" w:themeFill="background2"/>
            <w:vAlign w:val="center"/>
          </w:tcPr>
          <w:p w14:paraId="5F0903F0" w14:textId="77777777" w:rsidR="00D27DDC" w:rsidRPr="00D27DDC" w:rsidRDefault="00D27DDC" w:rsidP="00D27DDC">
            <w:pPr>
              <w:pStyle w:val="Tablesmalltext"/>
              <w:jc w:val="center"/>
              <w:rPr>
                <w:rFonts w:eastAsia="Times New Roman"/>
                <w:b/>
                <w:lang w:val="en-AU" w:eastAsia="en-AU"/>
              </w:rPr>
            </w:pPr>
            <w:r w:rsidRPr="00D27DDC">
              <w:rPr>
                <w:rFonts w:eastAsia="Times New Roman"/>
                <w:b/>
                <w:lang w:val="en-AU" w:eastAsia="en-AU"/>
              </w:rPr>
              <w:t>Audit criteria</w:t>
            </w:r>
            <w:r w:rsidRPr="00D27DDC">
              <w:rPr>
                <w:rFonts w:eastAsia="Times New Roman"/>
                <w:b/>
                <w:vertAlign w:val="superscript"/>
                <w:lang w:val="en-AU" w:eastAsia="en-AU"/>
              </w:rPr>
              <w:t>2</w:t>
            </w:r>
            <w:r w:rsidRPr="00D27DDC">
              <w:rPr>
                <w:rFonts w:eastAsia="Times New Roman"/>
                <w:b/>
                <w:lang w:val="en-AU" w:eastAsia="en-AU"/>
              </w:rPr>
              <w:t xml:space="preserve"> | Compliance element</w:t>
            </w:r>
            <w:r w:rsidRPr="00D27DDC">
              <w:rPr>
                <w:rFonts w:eastAsia="Times New Roman"/>
                <w:b/>
                <w:vertAlign w:val="superscript"/>
                <w:lang w:val="en-AU" w:eastAsia="en-AU"/>
              </w:rPr>
              <w:t>3</w:t>
            </w:r>
          </w:p>
        </w:tc>
        <w:tc>
          <w:tcPr>
            <w:tcW w:w="992" w:type="dxa"/>
            <w:shd w:val="clear" w:color="auto" w:fill="E5E5E5" w:themeFill="background2"/>
            <w:vAlign w:val="center"/>
          </w:tcPr>
          <w:p w14:paraId="77E8FBE1" w14:textId="77777777" w:rsidR="00D27DDC" w:rsidRPr="00D27DDC" w:rsidRDefault="00D27DDC" w:rsidP="00D27DDC">
            <w:pPr>
              <w:pStyle w:val="Tablesmalltext"/>
              <w:jc w:val="center"/>
              <w:rPr>
                <w:rFonts w:eastAsia="Times New Roman"/>
                <w:b/>
                <w:vertAlign w:val="superscript"/>
                <w:lang w:val="en-AU" w:eastAsia="en-AU"/>
              </w:rPr>
            </w:pPr>
            <w:r w:rsidRPr="00D27DDC">
              <w:rPr>
                <w:rFonts w:eastAsia="Times New Roman"/>
                <w:b/>
                <w:lang w:val="en-AU" w:eastAsia="en-AU"/>
              </w:rPr>
              <w:t>EI rating</w:t>
            </w:r>
            <w:r w:rsidRPr="00D27DDC">
              <w:rPr>
                <w:rFonts w:eastAsia="Times New Roman"/>
                <w:b/>
                <w:vertAlign w:val="superscript"/>
                <w:lang w:val="en-AU" w:eastAsia="en-AU"/>
              </w:rPr>
              <w:t>4</w:t>
            </w:r>
          </w:p>
        </w:tc>
      </w:tr>
      <w:tr w:rsidR="00D27DDC" w:rsidRPr="00A95DC0" w14:paraId="11F83969" w14:textId="77777777" w:rsidTr="00D27DDC">
        <w:trPr>
          <w:trHeight w:val="158"/>
        </w:trPr>
        <w:tc>
          <w:tcPr>
            <w:tcW w:w="579" w:type="dxa"/>
            <w:vMerge w:val="restart"/>
            <w:shd w:val="clear" w:color="auto" w:fill="auto"/>
            <w:noWrap/>
          </w:tcPr>
          <w:p w14:paraId="561C8278"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1</w:t>
            </w:r>
          </w:p>
        </w:tc>
        <w:tc>
          <w:tcPr>
            <w:tcW w:w="1546" w:type="dxa"/>
            <w:vMerge w:val="restart"/>
            <w:shd w:val="clear" w:color="auto" w:fill="auto"/>
            <w:noWrap/>
          </w:tcPr>
          <w:p w14:paraId="1EC62158" w14:textId="77777777" w:rsidR="00D27DDC" w:rsidRPr="008B4F4B" w:rsidRDefault="00D27DDC" w:rsidP="00D27DDC">
            <w:pPr>
              <w:pStyle w:val="Tablesmalltext"/>
              <w:rPr>
                <w:rFonts w:eastAsia="Times New Roman"/>
                <w:lang w:val="en-AU" w:eastAsia="en-AU"/>
              </w:rPr>
            </w:pPr>
            <w:r>
              <w:rPr>
                <w:rFonts w:eastAsia="Times New Roman"/>
                <w:lang w:val="en-AU" w:eastAsia="en-AU"/>
              </w:rPr>
              <w:t>Lil Jon</w:t>
            </w:r>
          </w:p>
        </w:tc>
        <w:tc>
          <w:tcPr>
            <w:tcW w:w="829" w:type="dxa"/>
            <w:vMerge w:val="restart"/>
            <w:shd w:val="clear" w:color="auto" w:fill="auto"/>
          </w:tcPr>
          <w:p w14:paraId="31F9E817"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70.61</w:t>
            </w:r>
          </w:p>
        </w:tc>
        <w:tc>
          <w:tcPr>
            <w:tcW w:w="4319" w:type="dxa"/>
          </w:tcPr>
          <w:p w14:paraId="5B4979E5" w14:textId="77777777" w:rsidR="00D27DDC" w:rsidRPr="00A95DC0" w:rsidRDefault="00D27DDC" w:rsidP="00D27DDC">
            <w:pPr>
              <w:pStyle w:val="Tablesmalltext"/>
            </w:pPr>
            <w:r>
              <w:t>Intensity of fire on parts of landing suggests that bark piles were not removed prior to regeneration burning</w:t>
            </w:r>
          </w:p>
        </w:tc>
        <w:tc>
          <w:tcPr>
            <w:tcW w:w="1560" w:type="dxa"/>
          </w:tcPr>
          <w:p w14:paraId="2CD6213B" w14:textId="77777777" w:rsidR="00D27DDC" w:rsidRPr="00A95DC0" w:rsidRDefault="00D27DDC" w:rsidP="00D27DDC">
            <w:pPr>
              <w:pStyle w:val="Tablesmalltext"/>
            </w:pPr>
            <w:r>
              <w:t>32.07 |</w:t>
            </w:r>
            <w:r>
              <w:br/>
              <w:t>7.2.2.5</w:t>
            </w:r>
          </w:p>
        </w:tc>
        <w:tc>
          <w:tcPr>
            <w:tcW w:w="992" w:type="dxa"/>
          </w:tcPr>
          <w:p w14:paraId="2DC5A283" w14:textId="77777777" w:rsidR="00D27DDC" w:rsidRPr="00A95DC0" w:rsidRDefault="00D27DDC" w:rsidP="00D27DDC">
            <w:pPr>
              <w:pStyle w:val="Tablesmalltext"/>
              <w:jc w:val="center"/>
            </w:pPr>
            <w:r>
              <w:t>Negligible</w:t>
            </w:r>
          </w:p>
        </w:tc>
      </w:tr>
      <w:tr w:rsidR="00D27DDC" w:rsidRPr="00A95DC0" w14:paraId="04F32B58" w14:textId="77777777" w:rsidTr="00D27DDC">
        <w:trPr>
          <w:trHeight w:val="157"/>
        </w:trPr>
        <w:tc>
          <w:tcPr>
            <w:tcW w:w="579" w:type="dxa"/>
            <w:vMerge/>
            <w:shd w:val="clear" w:color="auto" w:fill="auto"/>
            <w:noWrap/>
          </w:tcPr>
          <w:p w14:paraId="7ABF1EFF" w14:textId="77777777" w:rsidR="00D27DDC" w:rsidRDefault="00D27DDC" w:rsidP="00D27DDC">
            <w:pPr>
              <w:pStyle w:val="Tablesmalltext"/>
              <w:jc w:val="center"/>
              <w:rPr>
                <w:rFonts w:eastAsia="Times New Roman"/>
                <w:lang w:val="en-AU" w:eastAsia="en-AU"/>
              </w:rPr>
            </w:pPr>
          </w:p>
        </w:tc>
        <w:tc>
          <w:tcPr>
            <w:tcW w:w="1546" w:type="dxa"/>
            <w:vMerge/>
            <w:shd w:val="clear" w:color="auto" w:fill="auto"/>
            <w:noWrap/>
          </w:tcPr>
          <w:p w14:paraId="11152323" w14:textId="77777777" w:rsidR="00D27DDC" w:rsidRDefault="00D27DDC" w:rsidP="00D27DDC">
            <w:pPr>
              <w:pStyle w:val="Tablesmalltext"/>
              <w:rPr>
                <w:rFonts w:eastAsia="Times New Roman"/>
                <w:lang w:val="en-AU" w:eastAsia="en-AU"/>
              </w:rPr>
            </w:pPr>
          </w:p>
        </w:tc>
        <w:tc>
          <w:tcPr>
            <w:tcW w:w="829" w:type="dxa"/>
            <w:vMerge/>
            <w:shd w:val="clear" w:color="auto" w:fill="auto"/>
          </w:tcPr>
          <w:p w14:paraId="72F1AAFC" w14:textId="77777777" w:rsidR="00D27DDC" w:rsidRDefault="00D27DDC" w:rsidP="00D27DDC">
            <w:pPr>
              <w:pStyle w:val="Tablesmalltext"/>
              <w:jc w:val="center"/>
              <w:rPr>
                <w:rFonts w:eastAsia="Times New Roman"/>
                <w:lang w:val="en-AU" w:eastAsia="en-AU"/>
              </w:rPr>
            </w:pPr>
          </w:p>
        </w:tc>
        <w:tc>
          <w:tcPr>
            <w:tcW w:w="4319" w:type="dxa"/>
          </w:tcPr>
          <w:p w14:paraId="3C398B5F" w14:textId="281C34FB" w:rsidR="00D27DDC" w:rsidRPr="00A95DC0" w:rsidRDefault="00D27DDC" w:rsidP="00D27DDC">
            <w:pPr>
              <w:pStyle w:val="Tablesmalltext"/>
            </w:pPr>
            <w:r>
              <w:t xml:space="preserve">Regeneration burn </w:t>
            </w:r>
            <w:r w:rsidR="00F42977">
              <w:t>crossed</w:t>
            </w:r>
            <w:r>
              <w:t xml:space="preserve"> into adjacent SPZ, with damage to understorey vegetation</w:t>
            </w:r>
          </w:p>
        </w:tc>
        <w:tc>
          <w:tcPr>
            <w:tcW w:w="1560" w:type="dxa"/>
          </w:tcPr>
          <w:p w14:paraId="06A47EE0" w14:textId="77777777" w:rsidR="00D27DDC" w:rsidRPr="00A95DC0" w:rsidRDefault="00D27DDC" w:rsidP="00D27DDC">
            <w:pPr>
              <w:pStyle w:val="Tablesmalltext"/>
            </w:pPr>
            <w:r>
              <w:t>9.00, 34.01 |</w:t>
            </w:r>
            <w:r>
              <w:br/>
              <w:t>C2.2.2.4, 2.6.1.8</w:t>
            </w:r>
          </w:p>
        </w:tc>
        <w:tc>
          <w:tcPr>
            <w:tcW w:w="992" w:type="dxa"/>
          </w:tcPr>
          <w:p w14:paraId="6FA4162A" w14:textId="77777777" w:rsidR="00D27DDC" w:rsidRPr="00A95DC0" w:rsidRDefault="00D27DDC" w:rsidP="00D27DDC">
            <w:pPr>
              <w:pStyle w:val="Tablesmalltext"/>
              <w:jc w:val="center"/>
            </w:pPr>
            <w:r>
              <w:t>Major</w:t>
            </w:r>
          </w:p>
        </w:tc>
      </w:tr>
      <w:tr w:rsidR="00D27DDC" w:rsidRPr="00A95DC0" w14:paraId="1307D328" w14:textId="77777777" w:rsidTr="00523E3C">
        <w:tc>
          <w:tcPr>
            <w:tcW w:w="579" w:type="dxa"/>
            <w:shd w:val="clear" w:color="auto" w:fill="auto"/>
            <w:noWrap/>
          </w:tcPr>
          <w:p w14:paraId="7FD27999"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2</w:t>
            </w:r>
          </w:p>
        </w:tc>
        <w:tc>
          <w:tcPr>
            <w:tcW w:w="1546" w:type="dxa"/>
            <w:shd w:val="clear" w:color="auto" w:fill="auto"/>
            <w:noWrap/>
          </w:tcPr>
          <w:p w14:paraId="488FF059" w14:textId="77777777" w:rsidR="00D27DDC" w:rsidRPr="00572D5E" w:rsidRDefault="00D27DDC" w:rsidP="00D27DDC">
            <w:pPr>
              <w:pStyle w:val="Tablesmalltext"/>
              <w:rPr>
                <w:rFonts w:eastAsia="Times New Roman"/>
                <w:vertAlign w:val="superscript"/>
                <w:lang w:val="en-AU" w:eastAsia="en-AU"/>
              </w:rPr>
            </w:pPr>
            <w:r>
              <w:rPr>
                <w:rFonts w:eastAsia="Times New Roman"/>
                <w:lang w:val="en-AU" w:eastAsia="en-AU"/>
              </w:rPr>
              <w:t>Sandman</w:t>
            </w:r>
            <w:r>
              <w:rPr>
                <w:rFonts w:eastAsia="Times New Roman"/>
                <w:vertAlign w:val="superscript"/>
                <w:lang w:val="en-AU" w:eastAsia="en-AU"/>
              </w:rPr>
              <w:t>5</w:t>
            </w:r>
          </w:p>
        </w:tc>
        <w:tc>
          <w:tcPr>
            <w:tcW w:w="829" w:type="dxa"/>
            <w:shd w:val="clear" w:color="auto" w:fill="auto"/>
          </w:tcPr>
          <w:p w14:paraId="55045348"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39.71</w:t>
            </w:r>
          </w:p>
        </w:tc>
        <w:tc>
          <w:tcPr>
            <w:tcW w:w="4319" w:type="dxa"/>
            <w:shd w:val="clear" w:color="auto" w:fill="FFFFCC"/>
          </w:tcPr>
          <w:p w14:paraId="21FBDFE7" w14:textId="77777777" w:rsidR="00D27DDC" w:rsidRPr="00A95DC0" w:rsidRDefault="00D27DDC" w:rsidP="00D27DDC">
            <w:pPr>
              <w:pStyle w:val="Tablesmalltext"/>
            </w:pPr>
          </w:p>
        </w:tc>
        <w:tc>
          <w:tcPr>
            <w:tcW w:w="1560" w:type="dxa"/>
            <w:shd w:val="clear" w:color="auto" w:fill="FFFFCC"/>
          </w:tcPr>
          <w:p w14:paraId="56C9663A" w14:textId="77777777" w:rsidR="00D27DDC" w:rsidRPr="00A95DC0" w:rsidRDefault="00D27DDC" w:rsidP="00D27DDC">
            <w:pPr>
              <w:pStyle w:val="Tablesmalltext"/>
            </w:pPr>
          </w:p>
        </w:tc>
        <w:tc>
          <w:tcPr>
            <w:tcW w:w="992" w:type="dxa"/>
            <w:shd w:val="clear" w:color="auto" w:fill="FFFFCC"/>
          </w:tcPr>
          <w:p w14:paraId="07639996" w14:textId="77777777" w:rsidR="00D27DDC" w:rsidRPr="00A95DC0" w:rsidRDefault="00D27DDC" w:rsidP="00D27DDC">
            <w:pPr>
              <w:pStyle w:val="Tablesmalltext"/>
              <w:jc w:val="center"/>
            </w:pPr>
          </w:p>
        </w:tc>
      </w:tr>
      <w:tr w:rsidR="00D27DDC" w:rsidRPr="00A95DC0" w14:paraId="57FD5AE1" w14:textId="77777777" w:rsidTr="00D27DDC">
        <w:tc>
          <w:tcPr>
            <w:tcW w:w="579" w:type="dxa"/>
            <w:shd w:val="clear" w:color="auto" w:fill="auto"/>
            <w:noWrap/>
          </w:tcPr>
          <w:p w14:paraId="2E3C59D5"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3</w:t>
            </w:r>
          </w:p>
        </w:tc>
        <w:tc>
          <w:tcPr>
            <w:tcW w:w="1546" w:type="dxa"/>
            <w:shd w:val="clear" w:color="auto" w:fill="auto"/>
            <w:noWrap/>
          </w:tcPr>
          <w:p w14:paraId="5C4F11F9" w14:textId="77777777" w:rsidR="00D27DDC" w:rsidRPr="008B4F4B" w:rsidRDefault="00D27DDC" w:rsidP="00D27DDC">
            <w:pPr>
              <w:pStyle w:val="Tablesmalltext"/>
              <w:rPr>
                <w:rFonts w:eastAsia="Times New Roman"/>
                <w:lang w:val="en-AU" w:eastAsia="en-AU"/>
              </w:rPr>
            </w:pPr>
            <w:r>
              <w:rPr>
                <w:rFonts w:eastAsia="Times New Roman"/>
                <w:lang w:val="en-AU" w:eastAsia="en-AU"/>
              </w:rPr>
              <w:t>You just know</w:t>
            </w:r>
          </w:p>
        </w:tc>
        <w:tc>
          <w:tcPr>
            <w:tcW w:w="829" w:type="dxa"/>
            <w:shd w:val="clear" w:color="auto" w:fill="auto"/>
          </w:tcPr>
          <w:p w14:paraId="6071763D"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37.85</w:t>
            </w:r>
          </w:p>
        </w:tc>
        <w:tc>
          <w:tcPr>
            <w:tcW w:w="4319" w:type="dxa"/>
          </w:tcPr>
          <w:p w14:paraId="7BD1FADE" w14:textId="77777777" w:rsidR="00D27DDC" w:rsidRPr="00A95DC0" w:rsidRDefault="00D27DDC" w:rsidP="00D27DDC">
            <w:pPr>
              <w:pStyle w:val="Tablesmalltext"/>
            </w:pPr>
            <w:r>
              <w:t>One section of snig track used for regeneration not rehabilitated</w:t>
            </w:r>
          </w:p>
        </w:tc>
        <w:tc>
          <w:tcPr>
            <w:tcW w:w="1560" w:type="dxa"/>
          </w:tcPr>
          <w:p w14:paraId="41920864" w14:textId="77777777" w:rsidR="00D27DDC" w:rsidRPr="00A95DC0" w:rsidRDefault="00D27DDC" w:rsidP="00D27DDC">
            <w:pPr>
              <w:pStyle w:val="Tablesmalltext"/>
            </w:pPr>
            <w:r>
              <w:t>32.01/12 |</w:t>
            </w:r>
            <w:r>
              <w:br/>
              <w:t>C2.5.2.3/5, M7.2.2.1</w:t>
            </w:r>
          </w:p>
        </w:tc>
        <w:tc>
          <w:tcPr>
            <w:tcW w:w="992" w:type="dxa"/>
          </w:tcPr>
          <w:p w14:paraId="1A58B3FB" w14:textId="77777777" w:rsidR="00D27DDC" w:rsidRPr="00A95DC0" w:rsidRDefault="00D27DDC" w:rsidP="00D27DDC">
            <w:pPr>
              <w:pStyle w:val="Tablesmalltext"/>
              <w:jc w:val="center"/>
            </w:pPr>
            <w:r>
              <w:t>Minor</w:t>
            </w:r>
          </w:p>
        </w:tc>
      </w:tr>
      <w:tr w:rsidR="00D27DDC" w:rsidRPr="00A95DC0" w14:paraId="40E790F6" w14:textId="77777777" w:rsidTr="00523E3C">
        <w:tc>
          <w:tcPr>
            <w:tcW w:w="579" w:type="dxa"/>
            <w:shd w:val="clear" w:color="auto" w:fill="auto"/>
            <w:noWrap/>
          </w:tcPr>
          <w:p w14:paraId="2D945A82"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4</w:t>
            </w:r>
          </w:p>
        </w:tc>
        <w:tc>
          <w:tcPr>
            <w:tcW w:w="1546" w:type="dxa"/>
            <w:shd w:val="clear" w:color="auto" w:fill="auto"/>
            <w:noWrap/>
          </w:tcPr>
          <w:p w14:paraId="2F60EEDD" w14:textId="77777777" w:rsidR="00D27DDC" w:rsidRPr="00572D5E" w:rsidRDefault="00D27DDC" w:rsidP="00D27DDC">
            <w:pPr>
              <w:pStyle w:val="Tablesmalltext"/>
              <w:rPr>
                <w:rFonts w:eastAsia="Times New Roman"/>
                <w:vertAlign w:val="superscript"/>
                <w:lang w:val="en-AU" w:eastAsia="en-AU"/>
              </w:rPr>
            </w:pPr>
            <w:r>
              <w:rPr>
                <w:rFonts w:eastAsia="Times New Roman"/>
                <w:lang w:val="en-AU" w:eastAsia="en-AU"/>
              </w:rPr>
              <w:t>Behind the gate</w:t>
            </w:r>
            <w:r>
              <w:rPr>
                <w:rFonts w:eastAsia="Times New Roman"/>
                <w:vertAlign w:val="superscript"/>
                <w:lang w:val="en-AU" w:eastAsia="en-AU"/>
              </w:rPr>
              <w:t>5</w:t>
            </w:r>
          </w:p>
        </w:tc>
        <w:tc>
          <w:tcPr>
            <w:tcW w:w="829" w:type="dxa"/>
            <w:shd w:val="clear" w:color="auto" w:fill="auto"/>
          </w:tcPr>
          <w:p w14:paraId="34B8729F"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31.20</w:t>
            </w:r>
          </w:p>
        </w:tc>
        <w:tc>
          <w:tcPr>
            <w:tcW w:w="4319" w:type="dxa"/>
            <w:shd w:val="clear" w:color="auto" w:fill="FFFFCC"/>
          </w:tcPr>
          <w:p w14:paraId="23120B8A" w14:textId="77777777" w:rsidR="00D27DDC" w:rsidRPr="00A95DC0" w:rsidRDefault="00D27DDC" w:rsidP="00D27DDC">
            <w:pPr>
              <w:pStyle w:val="Tablesmalltext"/>
            </w:pPr>
          </w:p>
        </w:tc>
        <w:tc>
          <w:tcPr>
            <w:tcW w:w="1560" w:type="dxa"/>
            <w:shd w:val="clear" w:color="auto" w:fill="FFFFCC"/>
          </w:tcPr>
          <w:p w14:paraId="06517571" w14:textId="77777777" w:rsidR="00D27DDC" w:rsidRPr="00A95DC0" w:rsidRDefault="00D27DDC" w:rsidP="00D27DDC">
            <w:pPr>
              <w:pStyle w:val="Tablesmalltext"/>
            </w:pPr>
          </w:p>
        </w:tc>
        <w:tc>
          <w:tcPr>
            <w:tcW w:w="992" w:type="dxa"/>
            <w:shd w:val="clear" w:color="auto" w:fill="FFFFCC"/>
          </w:tcPr>
          <w:p w14:paraId="7E132E63" w14:textId="77777777" w:rsidR="00D27DDC" w:rsidRPr="00A95DC0" w:rsidRDefault="00D27DDC" w:rsidP="00D27DDC">
            <w:pPr>
              <w:pStyle w:val="Tablesmalltext"/>
              <w:jc w:val="center"/>
            </w:pPr>
          </w:p>
        </w:tc>
      </w:tr>
      <w:tr w:rsidR="00D27DDC" w:rsidRPr="00A95DC0" w14:paraId="58AFED2A" w14:textId="77777777" w:rsidTr="00D27DDC">
        <w:tc>
          <w:tcPr>
            <w:tcW w:w="579" w:type="dxa"/>
            <w:shd w:val="clear" w:color="auto" w:fill="auto"/>
            <w:noWrap/>
          </w:tcPr>
          <w:p w14:paraId="0EB11718"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5</w:t>
            </w:r>
          </w:p>
        </w:tc>
        <w:tc>
          <w:tcPr>
            <w:tcW w:w="1546" w:type="dxa"/>
            <w:shd w:val="clear" w:color="auto" w:fill="auto"/>
            <w:noWrap/>
          </w:tcPr>
          <w:p w14:paraId="3ACFB282" w14:textId="77777777" w:rsidR="00D27DDC" w:rsidRPr="008B4F4B" w:rsidRDefault="00D27DDC" w:rsidP="00D27DDC">
            <w:pPr>
              <w:pStyle w:val="Tablesmalltext"/>
              <w:rPr>
                <w:rFonts w:eastAsia="Times New Roman"/>
                <w:lang w:val="en-AU" w:eastAsia="en-AU"/>
              </w:rPr>
            </w:pPr>
            <w:r>
              <w:rPr>
                <w:rFonts w:eastAsia="Times New Roman"/>
                <w:lang w:val="en-AU" w:eastAsia="en-AU"/>
              </w:rPr>
              <w:t>Below</w:t>
            </w:r>
          </w:p>
        </w:tc>
        <w:tc>
          <w:tcPr>
            <w:tcW w:w="829" w:type="dxa"/>
            <w:shd w:val="clear" w:color="auto" w:fill="auto"/>
          </w:tcPr>
          <w:p w14:paraId="4D00074F"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13.73</w:t>
            </w:r>
          </w:p>
        </w:tc>
        <w:tc>
          <w:tcPr>
            <w:tcW w:w="4319" w:type="dxa"/>
            <w:shd w:val="clear" w:color="auto" w:fill="auto"/>
          </w:tcPr>
          <w:p w14:paraId="152532A0" w14:textId="77777777" w:rsidR="00D27DDC" w:rsidRPr="00A95DC0" w:rsidRDefault="00D27DDC" w:rsidP="00D27DDC">
            <w:pPr>
              <w:pStyle w:val="Tablesmalltext"/>
            </w:pPr>
            <w:r>
              <w:t>Embankment of section of closed in-coupe road and embankment have experienced mass soil movement</w:t>
            </w:r>
          </w:p>
        </w:tc>
        <w:tc>
          <w:tcPr>
            <w:tcW w:w="1560" w:type="dxa"/>
            <w:shd w:val="clear" w:color="auto" w:fill="auto"/>
          </w:tcPr>
          <w:p w14:paraId="4F13DE32" w14:textId="77777777" w:rsidR="00D27DDC" w:rsidRPr="00A95DC0" w:rsidRDefault="00D27DDC" w:rsidP="00D27DDC">
            <w:pPr>
              <w:pStyle w:val="Tablesmalltext"/>
            </w:pPr>
            <w:r>
              <w:t>25.01/04 |</w:t>
            </w:r>
            <w:r>
              <w:br/>
              <w:t>C2.4.3.3, M6.2.2.3</w:t>
            </w:r>
          </w:p>
        </w:tc>
        <w:tc>
          <w:tcPr>
            <w:tcW w:w="992" w:type="dxa"/>
            <w:shd w:val="clear" w:color="auto" w:fill="auto"/>
          </w:tcPr>
          <w:p w14:paraId="483FF53C" w14:textId="77777777" w:rsidR="00D27DDC" w:rsidRPr="00A95DC0" w:rsidRDefault="00D27DDC" w:rsidP="00D27DDC">
            <w:pPr>
              <w:pStyle w:val="Tablesmalltext"/>
              <w:jc w:val="center"/>
            </w:pPr>
            <w:r>
              <w:t>Minor</w:t>
            </w:r>
          </w:p>
        </w:tc>
      </w:tr>
      <w:tr w:rsidR="00D27DDC" w:rsidRPr="00A95DC0" w14:paraId="2E1F2C14" w14:textId="77777777" w:rsidTr="00523E3C">
        <w:tc>
          <w:tcPr>
            <w:tcW w:w="579" w:type="dxa"/>
            <w:shd w:val="clear" w:color="auto" w:fill="auto"/>
            <w:noWrap/>
          </w:tcPr>
          <w:p w14:paraId="702A5373"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6</w:t>
            </w:r>
          </w:p>
        </w:tc>
        <w:tc>
          <w:tcPr>
            <w:tcW w:w="1546" w:type="dxa"/>
            <w:shd w:val="clear" w:color="auto" w:fill="auto"/>
            <w:noWrap/>
          </w:tcPr>
          <w:p w14:paraId="22D051E6" w14:textId="77777777" w:rsidR="00D27DDC" w:rsidRPr="00572D5E" w:rsidRDefault="00D27DDC" w:rsidP="00D27DDC">
            <w:pPr>
              <w:pStyle w:val="Tablesmalltext"/>
              <w:rPr>
                <w:rFonts w:eastAsia="Times New Roman"/>
                <w:vertAlign w:val="superscript"/>
                <w:lang w:val="en-AU" w:eastAsia="en-AU"/>
              </w:rPr>
            </w:pPr>
            <w:r>
              <w:rPr>
                <w:rFonts w:eastAsia="Times New Roman"/>
                <w:lang w:val="en-AU" w:eastAsia="en-AU"/>
              </w:rPr>
              <w:t>Bottom End</w:t>
            </w:r>
            <w:r>
              <w:rPr>
                <w:rFonts w:eastAsia="Times New Roman"/>
                <w:vertAlign w:val="superscript"/>
                <w:lang w:val="en-AU" w:eastAsia="en-AU"/>
              </w:rPr>
              <w:t>5</w:t>
            </w:r>
          </w:p>
        </w:tc>
        <w:tc>
          <w:tcPr>
            <w:tcW w:w="829" w:type="dxa"/>
            <w:shd w:val="clear" w:color="auto" w:fill="auto"/>
          </w:tcPr>
          <w:p w14:paraId="2CE2A66B" w14:textId="77777777" w:rsidR="00D27DDC" w:rsidRPr="00572D5E" w:rsidRDefault="00D27DDC" w:rsidP="00D27DDC">
            <w:pPr>
              <w:pStyle w:val="Tablesmalltext"/>
              <w:jc w:val="center"/>
              <w:rPr>
                <w:rFonts w:eastAsia="Times New Roman"/>
                <w:lang w:val="en-AU" w:eastAsia="en-AU"/>
              </w:rPr>
            </w:pPr>
            <w:r>
              <w:rPr>
                <w:rFonts w:eastAsia="Times New Roman"/>
                <w:lang w:val="en-AU" w:eastAsia="en-AU"/>
              </w:rPr>
              <w:t>25.1</w:t>
            </w:r>
          </w:p>
        </w:tc>
        <w:tc>
          <w:tcPr>
            <w:tcW w:w="4319" w:type="dxa"/>
            <w:shd w:val="clear" w:color="auto" w:fill="FFFFCC"/>
          </w:tcPr>
          <w:p w14:paraId="0E1723C0" w14:textId="77777777" w:rsidR="00D27DDC" w:rsidRPr="00A95DC0" w:rsidRDefault="00D27DDC" w:rsidP="00D27DDC">
            <w:pPr>
              <w:pStyle w:val="Tablesmalltext"/>
            </w:pPr>
          </w:p>
        </w:tc>
        <w:tc>
          <w:tcPr>
            <w:tcW w:w="1560" w:type="dxa"/>
            <w:shd w:val="clear" w:color="auto" w:fill="FFFFCC"/>
          </w:tcPr>
          <w:p w14:paraId="28C33E2A" w14:textId="77777777" w:rsidR="00D27DDC" w:rsidRPr="00A95DC0" w:rsidRDefault="00D27DDC" w:rsidP="00D27DDC">
            <w:pPr>
              <w:pStyle w:val="Tablesmalltext"/>
            </w:pPr>
          </w:p>
        </w:tc>
        <w:tc>
          <w:tcPr>
            <w:tcW w:w="992" w:type="dxa"/>
            <w:shd w:val="clear" w:color="auto" w:fill="FFFFCC"/>
          </w:tcPr>
          <w:p w14:paraId="65349AB0" w14:textId="77777777" w:rsidR="00D27DDC" w:rsidRPr="00A95DC0" w:rsidRDefault="00D27DDC" w:rsidP="00D27DDC">
            <w:pPr>
              <w:pStyle w:val="Tablesmalltext"/>
              <w:jc w:val="center"/>
            </w:pPr>
          </w:p>
        </w:tc>
      </w:tr>
      <w:tr w:rsidR="00D27DDC" w:rsidRPr="00A95DC0" w14:paraId="366398AA" w14:textId="77777777" w:rsidTr="00523E3C">
        <w:tc>
          <w:tcPr>
            <w:tcW w:w="579" w:type="dxa"/>
            <w:shd w:val="clear" w:color="auto" w:fill="auto"/>
            <w:noWrap/>
          </w:tcPr>
          <w:p w14:paraId="7CEAC272"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7</w:t>
            </w:r>
          </w:p>
        </w:tc>
        <w:tc>
          <w:tcPr>
            <w:tcW w:w="1546" w:type="dxa"/>
            <w:shd w:val="clear" w:color="auto" w:fill="auto"/>
            <w:noWrap/>
          </w:tcPr>
          <w:p w14:paraId="55327EAE" w14:textId="77777777" w:rsidR="00D27DDC" w:rsidRPr="00572D5E" w:rsidRDefault="00D27DDC" w:rsidP="00D27DDC">
            <w:pPr>
              <w:pStyle w:val="Tablesmalltext"/>
              <w:rPr>
                <w:rFonts w:eastAsia="Times New Roman"/>
                <w:vertAlign w:val="superscript"/>
                <w:lang w:val="en-AU" w:eastAsia="en-AU"/>
              </w:rPr>
            </w:pPr>
            <w:r w:rsidRPr="00572D5E">
              <w:rPr>
                <w:rFonts w:eastAsia="Times New Roman"/>
                <w:lang w:val="en-AU" w:eastAsia="en-AU"/>
              </w:rPr>
              <w:t>Tym Tym</w:t>
            </w:r>
            <w:r>
              <w:rPr>
                <w:rFonts w:eastAsia="Times New Roman"/>
                <w:vertAlign w:val="superscript"/>
                <w:lang w:val="en-AU" w:eastAsia="en-AU"/>
              </w:rPr>
              <w:t>5</w:t>
            </w:r>
          </w:p>
        </w:tc>
        <w:tc>
          <w:tcPr>
            <w:tcW w:w="829" w:type="dxa"/>
            <w:shd w:val="clear" w:color="auto" w:fill="auto"/>
          </w:tcPr>
          <w:p w14:paraId="0D32CF60"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33.07</w:t>
            </w:r>
          </w:p>
        </w:tc>
        <w:tc>
          <w:tcPr>
            <w:tcW w:w="4319" w:type="dxa"/>
            <w:shd w:val="clear" w:color="auto" w:fill="FFFFCC"/>
          </w:tcPr>
          <w:p w14:paraId="714A5A82" w14:textId="77777777" w:rsidR="00D27DDC" w:rsidRPr="00A95DC0" w:rsidRDefault="00D27DDC" w:rsidP="00D27DDC">
            <w:pPr>
              <w:pStyle w:val="Tablesmalltext"/>
            </w:pPr>
          </w:p>
        </w:tc>
        <w:tc>
          <w:tcPr>
            <w:tcW w:w="1560" w:type="dxa"/>
            <w:shd w:val="clear" w:color="auto" w:fill="FFFFCC"/>
          </w:tcPr>
          <w:p w14:paraId="4C7F15C0" w14:textId="77777777" w:rsidR="00D27DDC" w:rsidRPr="00A95DC0" w:rsidRDefault="00D27DDC" w:rsidP="00D27DDC">
            <w:pPr>
              <w:pStyle w:val="Tablesmalltext"/>
            </w:pPr>
          </w:p>
        </w:tc>
        <w:tc>
          <w:tcPr>
            <w:tcW w:w="992" w:type="dxa"/>
            <w:shd w:val="clear" w:color="auto" w:fill="FFFFCC"/>
          </w:tcPr>
          <w:p w14:paraId="42724F93" w14:textId="77777777" w:rsidR="00D27DDC" w:rsidRPr="00A95DC0" w:rsidRDefault="00D27DDC" w:rsidP="00D27DDC">
            <w:pPr>
              <w:pStyle w:val="Tablesmalltext"/>
              <w:jc w:val="center"/>
            </w:pPr>
          </w:p>
        </w:tc>
      </w:tr>
      <w:tr w:rsidR="00D27DDC" w:rsidRPr="00A95DC0" w14:paraId="647752F4" w14:textId="77777777" w:rsidTr="00523E3C">
        <w:tc>
          <w:tcPr>
            <w:tcW w:w="579" w:type="dxa"/>
            <w:shd w:val="clear" w:color="auto" w:fill="auto"/>
            <w:noWrap/>
          </w:tcPr>
          <w:p w14:paraId="25E47891"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8</w:t>
            </w:r>
          </w:p>
        </w:tc>
        <w:tc>
          <w:tcPr>
            <w:tcW w:w="1546" w:type="dxa"/>
            <w:shd w:val="clear" w:color="auto" w:fill="auto"/>
            <w:noWrap/>
          </w:tcPr>
          <w:p w14:paraId="48F21F1A" w14:textId="77777777" w:rsidR="00D27DDC" w:rsidRPr="00572D5E" w:rsidRDefault="00D27DDC" w:rsidP="00D27DDC">
            <w:pPr>
              <w:pStyle w:val="Tablesmalltext"/>
              <w:rPr>
                <w:rFonts w:eastAsia="Times New Roman"/>
                <w:vertAlign w:val="superscript"/>
                <w:lang w:val="en-AU" w:eastAsia="en-AU"/>
              </w:rPr>
            </w:pPr>
            <w:r>
              <w:rPr>
                <w:rFonts w:eastAsia="Times New Roman"/>
                <w:lang w:val="en-AU" w:eastAsia="en-AU"/>
              </w:rPr>
              <w:t>Fire Exit</w:t>
            </w:r>
            <w:r>
              <w:rPr>
                <w:rFonts w:eastAsia="Times New Roman"/>
                <w:vertAlign w:val="superscript"/>
                <w:lang w:val="en-AU" w:eastAsia="en-AU"/>
              </w:rPr>
              <w:t>5</w:t>
            </w:r>
          </w:p>
        </w:tc>
        <w:tc>
          <w:tcPr>
            <w:tcW w:w="829" w:type="dxa"/>
            <w:shd w:val="clear" w:color="auto" w:fill="auto"/>
          </w:tcPr>
          <w:p w14:paraId="0BA00CC7"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42.80</w:t>
            </w:r>
          </w:p>
        </w:tc>
        <w:tc>
          <w:tcPr>
            <w:tcW w:w="4319" w:type="dxa"/>
            <w:shd w:val="clear" w:color="auto" w:fill="FFFFCC"/>
          </w:tcPr>
          <w:p w14:paraId="1616EA17" w14:textId="77777777" w:rsidR="00D27DDC" w:rsidRPr="00A95DC0" w:rsidRDefault="00D27DDC" w:rsidP="00D27DDC">
            <w:pPr>
              <w:pStyle w:val="Tablesmalltext"/>
            </w:pPr>
          </w:p>
        </w:tc>
        <w:tc>
          <w:tcPr>
            <w:tcW w:w="1560" w:type="dxa"/>
            <w:shd w:val="clear" w:color="auto" w:fill="FFFFCC"/>
          </w:tcPr>
          <w:p w14:paraId="081F25E3" w14:textId="77777777" w:rsidR="00D27DDC" w:rsidRPr="00A95DC0" w:rsidRDefault="00D27DDC" w:rsidP="00D27DDC">
            <w:pPr>
              <w:pStyle w:val="Tablesmalltext"/>
            </w:pPr>
          </w:p>
        </w:tc>
        <w:tc>
          <w:tcPr>
            <w:tcW w:w="992" w:type="dxa"/>
            <w:shd w:val="clear" w:color="auto" w:fill="FFFFCC"/>
          </w:tcPr>
          <w:p w14:paraId="2DFD2B6A" w14:textId="77777777" w:rsidR="00D27DDC" w:rsidRPr="00A95DC0" w:rsidRDefault="00D27DDC" w:rsidP="00D27DDC">
            <w:pPr>
              <w:pStyle w:val="Tablesmalltext"/>
              <w:jc w:val="center"/>
            </w:pPr>
          </w:p>
        </w:tc>
      </w:tr>
      <w:tr w:rsidR="00D27DDC" w:rsidRPr="00A95DC0" w14:paraId="038F7B53" w14:textId="77777777" w:rsidTr="00D27DDC">
        <w:tc>
          <w:tcPr>
            <w:tcW w:w="579" w:type="dxa"/>
            <w:shd w:val="clear" w:color="auto" w:fill="auto"/>
            <w:noWrap/>
          </w:tcPr>
          <w:p w14:paraId="50B6457D"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9</w:t>
            </w:r>
          </w:p>
        </w:tc>
        <w:tc>
          <w:tcPr>
            <w:tcW w:w="1546" w:type="dxa"/>
            <w:shd w:val="clear" w:color="auto" w:fill="auto"/>
            <w:noWrap/>
          </w:tcPr>
          <w:p w14:paraId="7B94A6FF" w14:textId="77777777" w:rsidR="00D27DDC" w:rsidRPr="00572D5E" w:rsidRDefault="00D27DDC" w:rsidP="00D27DDC">
            <w:pPr>
              <w:pStyle w:val="Tablesmalltext"/>
              <w:rPr>
                <w:rFonts w:eastAsia="Times New Roman"/>
                <w:lang w:val="en-AU" w:eastAsia="en-AU"/>
              </w:rPr>
            </w:pPr>
            <w:r>
              <w:rPr>
                <w:rFonts w:eastAsia="Times New Roman"/>
                <w:lang w:val="en-AU" w:eastAsia="en-AU"/>
              </w:rPr>
              <w:t>Tick</w:t>
            </w:r>
          </w:p>
        </w:tc>
        <w:tc>
          <w:tcPr>
            <w:tcW w:w="829" w:type="dxa"/>
            <w:shd w:val="clear" w:color="auto" w:fill="auto"/>
          </w:tcPr>
          <w:p w14:paraId="10D775A2"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45.71</w:t>
            </w:r>
          </w:p>
        </w:tc>
        <w:tc>
          <w:tcPr>
            <w:tcW w:w="4319" w:type="dxa"/>
            <w:shd w:val="clear" w:color="auto" w:fill="auto"/>
          </w:tcPr>
          <w:p w14:paraId="34C87808" w14:textId="77777777" w:rsidR="00D27DDC" w:rsidRPr="00A95DC0" w:rsidRDefault="00D27DDC" w:rsidP="00D27DDC">
            <w:pPr>
              <w:pStyle w:val="Tablesmalltext"/>
            </w:pPr>
            <w:r>
              <w:t xml:space="preserve">Part of one of the landings has not been effectively rehabilitated </w:t>
            </w:r>
          </w:p>
        </w:tc>
        <w:tc>
          <w:tcPr>
            <w:tcW w:w="1560" w:type="dxa"/>
            <w:shd w:val="clear" w:color="auto" w:fill="auto"/>
          </w:tcPr>
          <w:p w14:paraId="09B19CE2" w14:textId="77777777" w:rsidR="00D27DDC" w:rsidRPr="00A95DC0" w:rsidRDefault="00D27DDC" w:rsidP="00D27DDC">
            <w:pPr>
              <w:pStyle w:val="Tablesmalltext"/>
            </w:pPr>
            <w:r>
              <w:t>32.04 |</w:t>
            </w:r>
            <w:r>
              <w:br/>
              <w:t>C2.5.2.3, M7.2.2.2</w:t>
            </w:r>
          </w:p>
        </w:tc>
        <w:tc>
          <w:tcPr>
            <w:tcW w:w="992" w:type="dxa"/>
            <w:shd w:val="clear" w:color="auto" w:fill="auto"/>
          </w:tcPr>
          <w:p w14:paraId="7DDC32A2" w14:textId="77777777" w:rsidR="00D27DDC" w:rsidRPr="00A95DC0" w:rsidRDefault="00D27DDC" w:rsidP="00D27DDC">
            <w:pPr>
              <w:pStyle w:val="Tablesmalltext"/>
              <w:jc w:val="center"/>
            </w:pPr>
            <w:r>
              <w:t>Minor</w:t>
            </w:r>
          </w:p>
        </w:tc>
      </w:tr>
      <w:tr w:rsidR="00D27DDC" w:rsidRPr="00A95DC0" w14:paraId="58FB5005" w14:textId="77777777" w:rsidTr="00523E3C">
        <w:tc>
          <w:tcPr>
            <w:tcW w:w="579" w:type="dxa"/>
            <w:shd w:val="clear" w:color="auto" w:fill="auto"/>
            <w:noWrap/>
          </w:tcPr>
          <w:p w14:paraId="327AC60B"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10</w:t>
            </w:r>
          </w:p>
        </w:tc>
        <w:tc>
          <w:tcPr>
            <w:tcW w:w="1546" w:type="dxa"/>
            <w:shd w:val="clear" w:color="auto" w:fill="auto"/>
            <w:noWrap/>
          </w:tcPr>
          <w:p w14:paraId="2B0C51E3" w14:textId="77777777" w:rsidR="00D27DDC" w:rsidRPr="00572D5E" w:rsidRDefault="00D27DDC" w:rsidP="00D27DDC">
            <w:pPr>
              <w:pStyle w:val="Tablesmalltext"/>
              <w:rPr>
                <w:rFonts w:eastAsia="Times New Roman"/>
                <w:vertAlign w:val="superscript"/>
                <w:lang w:val="en-AU" w:eastAsia="en-AU"/>
              </w:rPr>
            </w:pPr>
            <w:r>
              <w:rPr>
                <w:rFonts w:eastAsia="Times New Roman"/>
                <w:lang w:val="en-AU" w:eastAsia="en-AU"/>
              </w:rPr>
              <w:t>Buckskin</w:t>
            </w:r>
            <w:r>
              <w:rPr>
                <w:rFonts w:eastAsia="Times New Roman"/>
                <w:vertAlign w:val="superscript"/>
                <w:lang w:val="en-AU" w:eastAsia="en-AU"/>
              </w:rPr>
              <w:t>5</w:t>
            </w:r>
          </w:p>
        </w:tc>
        <w:tc>
          <w:tcPr>
            <w:tcW w:w="829" w:type="dxa"/>
            <w:shd w:val="clear" w:color="auto" w:fill="auto"/>
          </w:tcPr>
          <w:p w14:paraId="12AE4CA8" w14:textId="77777777" w:rsidR="00D27DDC" w:rsidRPr="008B4F4B" w:rsidRDefault="00D27DDC" w:rsidP="00D27DDC">
            <w:pPr>
              <w:pStyle w:val="Tablesmalltext"/>
              <w:jc w:val="center"/>
              <w:rPr>
                <w:rFonts w:eastAsia="Times New Roman"/>
                <w:lang w:val="en-AU" w:eastAsia="en-AU"/>
              </w:rPr>
            </w:pPr>
            <w:r>
              <w:rPr>
                <w:rFonts w:eastAsia="Times New Roman"/>
                <w:lang w:val="en-AU" w:eastAsia="en-AU"/>
              </w:rPr>
              <w:t>35.88</w:t>
            </w:r>
          </w:p>
        </w:tc>
        <w:tc>
          <w:tcPr>
            <w:tcW w:w="4319" w:type="dxa"/>
            <w:shd w:val="clear" w:color="auto" w:fill="FFFFCC"/>
          </w:tcPr>
          <w:p w14:paraId="43BF7EAE" w14:textId="77777777" w:rsidR="00D27DDC" w:rsidRPr="00A95DC0" w:rsidRDefault="00D27DDC" w:rsidP="00D27DDC">
            <w:pPr>
              <w:pStyle w:val="Tablesmalltext"/>
            </w:pPr>
          </w:p>
        </w:tc>
        <w:tc>
          <w:tcPr>
            <w:tcW w:w="1560" w:type="dxa"/>
            <w:shd w:val="clear" w:color="auto" w:fill="FFFFCC"/>
          </w:tcPr>
          <w:p w14:paraId="246BB526" w14:textId="77777777" w:rsidR="00D27DDC" w:rsidRPr="00A95DC0" w:rsidRDefault="00D27DDC" w:rsidP="00D27DDC">
            <w:pPr>
              <w:pStyle w:val="Tablesmalltext"/>
            </w:pPr>
          </w:p>
        </w:tc>
        <w:tc>
          <w:tcPr>
            <w:tcW w:w="992" w:type="dxa"/>
            <w:shd w:val="clear" w:color="auto" w:fill="FFFFCC"/>
          </w:tcPr>
          <w:p w14:paraId="531147C6" w14:textId="77777777" w:rsidR="00D27DDC" w:rsidRPr="00A95DC0" w:rsidRDefault="00D27DDC" w:rsidP="00D27DDC">
            <w:pPr>
              <w:pStyle w:val="Tablesmalltext"/>
              <w:jc w:val="center"/>
            </w:pPr>
          </w:p>
        </w:tc>
      </w:tr>
    </w:tbl>
    <w:p w14:paraId="3C39A888" w14:textId="77777777" w:rsidR="00D27DDC" w:rsidRDefault="00D27DDC" w:rsidP="00D27DDC">
      <w:pPr>
        <w:pStyle w:val="Tablesmalltext"/>
      </w:pPr>
      <w:r>
        <w:t>Note:</w:t>
      </w:r>
    </w:p>
    <w:p w14:paraId="0B0345A6" w14:textId="77777777" w:rsidR="00D27DDC" w:rsidRDefault="00D27DDC" w:rsidP="00E74AFC">
      <w:pPr>
        <w:pStyle w:val="Tablesmalltext"/>
        <w:numPr>
          <w:ilvl w:val="0"/>
          <w:numId w:val="86"/>
        </w:numPr>
      </w:pPr>
      <w:r>
        <w:t>Area: gross coupe area (ha)</w:t>
      </w:r>
    </w:p>
    <w:p w14:paraId="1793956C" w14:textId="4E1DFCC8" w:rsidR="00D27DDC" w:rsidRDefault="00D27DDC" w:rsidP="00E74AFC">
      <w:pPr>
        <w:pStyle w:val="Tablesmalltext"/>
        <w:numPr>
          <w:ilvl w:val="0"/>
          <w:numId w:val="86"/>
        </w:numPr>
      </w:pPr>
      <w:r>
        <w:t xml:space="preserve">Audit criteria: criteria (from </w:t>
      </w:r>
      <w:r>
        <w:fldChar w:fldCharType="begin" w:fldLock="1"/>
      </w:r>
      <w:r>
        <w:instrText xml:space="preserve"> REF _Ref13827801 \r \h </w:instrText>
      </w:r>
      <w:r>
        <w:fldChar w:fldCharType="separate"/>
      </w:r>
      <w:r w:rsidR="005544E2">
        <w:t>Appendix A</w:t>
      </w:r>
      <w:r>
        <w:fldChar w:fldCharType="end"/>
      </w:r>
      <w:r>
        <w:t>) used to assess coupe planning and management</w:t>
      </w:r>
    </w:p>
    <w:p w14:paraId="13D818D8" w14:textId="77777777" w:rsidR="00D27DDC" w:rsidRDefault="00D27DDC" w:rsidP="00E74AFC">
      <w:pPr>
        <w:pStyle w:val="Tablesmalltext"/>
        <w:numPr>
          <w:ilvl w:val="0"/>
          <w:numId w:val="86"/>
        </w:numPr>
      </w:pPr>
      <w:r>
        <w:t>Compliance element: Code and/or MSP compliance requirements to which non-conformance has been reported</w:t>
      </w:r>
    </w:p>
    <w:p w14:paraId="643DCA51" w14:textId="531A6CAB" w:rsidR="00D27DDC" w:rsidRDefault="00D27DDC" w:rsidP="00E74AFC">
      <w:pPr>
        <w:pStyle w:val="Tablesmalltext"/>
        <w:numPr>
          <w:ilvl w:val="0"/>
          <w:numId w:val="86"/>
        </w:numPr>
      </w:pPr>
      <w:r>
        <w:t>EI rating: assessed potential environmental impact, using the FAP’s EIA tool (</w:t>
      </w:r>
      <w:r>
        <w:fldChar w:fldCharType="begin" w:fldLock="1"/>
      </w:r>
      <w:r>
        <w:instrText xml:space="preserve"> REF _Ref13845696 \r \h </w:instrText>
      </w:r>
      <w:r>
        <w:fldChar w:fldCharType="separate"/>
      </w:r>
      <w:r w:rsidR="005544E2">
        <w:t>Appendix B</w:t>
      </w:r>
      <w:r>
        <w:fldChar w:fldCharType="end"/>
      </w:r>
      <w:r>
        <w:t>)</w:t>
      </w:r>
    </w:p>
    <w:p w14:paraId="318779F1" w14:textId="77777777" w:rsidR="00D27DDC" w:rsidRDefault="00D27DDC" w:rsidP="00E74AFC">
      <w:pPr>
        <w:pStyle w:val="Tablesmalltext"/>
        <w:numPr>
          <w:ilvl w:val="0"/>
          <w:numId w:val="86"/>
        </w:numPr>
      </w:pPr>
      <w:r>
        <w:t>Grey-shaded cells: no non-conformance incidents with potential for EI observed in the coupe</w:t>
      </w:r>
    </w:p>
    <w:p w14:paraId="355DD756" w14:textId="77777777" w:rsidR="00D27DDC" w:rsidRPr="00572D5E" w:rsidRDefault="00D27DDC" w:rsidP="00D27DDC">
      <w:pPr>
        <w:pStyle w:val="Para0"/>
      </w:pPr>
    </w:p>
    <w:p w14:paraId="367F54BA" w14:textId="77777777" w:rsidR="00032E15" w:rsidRPr="00032E15" w:rsidRDefault="00032E15" w:rsidP="00D61A6B">
      <w:pPr>
        <w:pStyle w:val="Tablesmallitem"/>
        <w:numPr>
          <w:ilvl w:val="0"/>
          <w:numId w:val="0"/>
        </w:numPr>
      </w:pPr>
    </w:p>
    <w:p w14:paraId="4DE246ED" w14:textId="7029ADD1" w:rsidR="00EC77D1" w:rsidRDefault="00054E16" w:rsidP="00054E16">
      <w:pPr>
        <w:pStyle w:val="Heading9"/>
      </w:pPr>
      <w:bookmarkStart w:id="352" w:name="_Ref31212804"/>
      <w:bookmarkStart w:id="353" w:name="_Toc33202330"/>
      <w:r>
        <w:lastRenderedPageBreak/>
        <w:t>VicForests’ comments on draft audit report</w:t>
      </w:r>
      <w:bookmarkEnd w:id="352"/>
      <w:bookmarkEnd w:id="353"/>
    </w:p>
    <w:p w14:paraId="6B1B12BD" w14:textId="0568468B" w:rsidR="00054E16" w:rsidRDefault="00054E16" w:rsidP="00054E16">
      <w:pPr>
        <w:pStyle w:val="Para0"/>
      </w:pPr>
      <w:r>
        <w:t>The draft version of this audit report was provided to VicForests, as auditees, for comment. A summary of VicForests’ substantive comments and the auditors’ responses are given in Table D.1.</w:t>
      </w:r>
    </w:p>
    <w:p w14:paraId="08AADDB1" w14:textId="77777777" w:rsidR="00054E16" w:rsidRDefault="00054E16" w:rsidP="00054E16">
      <w:pPr>
        <w:pStyle w:val="Caption"/>
      </w:pPr>
      <w:r w:rsidRPr="009038E7">
        <w:t>Table</w:t>
      </w:r>
      <w:r>
        <w:t xml:space="preserve"> D.1 </w:t>
      </w:r>
      <w:r w:rsidRPr="009038E7">
        <w:t xml:space="preserve">: </w:t>
      </w:r>
      <w:r>
        <w:t>Summary of substantive comments on draft audit report provide by VicForests and auditors’ response</w:t>
      </w:r>
    </w:p>
    <w:tbl>
      <w:tblPr>
        <w:tblStyle w:val="TableGrid"/>
        <w:tblW w:w="4958" w:type="pct"/>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85" w:type="dxa"/>
          <w:right w:w="85" w:type="dxa"/>
        </w:tblCellMar>
        <w:tblLook w:val="04A0" w:firstRow="1" w:lastRow="0" w:firstColumn="1" w:lastColumn="0" w:noHBand="0" w:noVBand="1"/>
      </w:tblPr>
      <w:tblGrid>
        <w:gridCol w:w="1759"/>
        <w:gridCol w:w="2986"/>
        <w:gridCol w:w="5111"/>
      </w:tblGrid>
      <w:tr w:rsidR="00054E16" w14:paraId="04516B98" w14:textId="77777777" w:rsidTr="00054E16">
        <w:trPr>
          <w:tblHeader/>
        </w:trPr>
        <w:tc>
          <w:tcPr>
            <w:tcW w:w="892" w:type="pct"/>
            <w:tcBorders>
              <w:right w:val="single" w:sz="4" w:space="0" w:color="808080"/>
            </w:tcBorders>
            <w:shd w:val="clear" w:color="auto" w:fill="E5E5E5" w:themeFill="background2"/>
          </w:tcPr>
          <w:p w14:paraId="1E077AB0" w14:textId="77777777" w:rsidR="00054E16" w:rsidRDefault="00054E16" w:rsidP="00054E16">
            <w:pPr>
              <w:pStyle w:val="Tablesmalltext"/>
            </w:pPr>
            <w:r>
              <w:t>Document reference</w:t>
            </w:r>
          </w:p>
        </w:tc>
        <w:tc>
          <w:tcPr>
            <w:tcW w:w="1515" w:type="pct"/>
            <w:tcBorders>
              <w:left w:val="single" w:sz="4" w:space="0" w:color="808080"/>
              <w:right w:val="single" w:sz="4" w:space="0" w:color="808080"/>
            </w:tcBorders>
            <w:shd w:val="clear" w:color="auto" w:fill="E5E5E5" w:themeFill="background2"/>
          </w:tcPr>
          <w:p w14:paraId="1FFA6BEF" w14:textId="77777777" w:rsidR="00054E16" w:rsidRDefault="00054E16" w:rsidP="00054E16">
            <w:pPr>
              <w:pStyle w:val="Tablesmalltext"/>
            </w:pPr>
            <w:r>
              <w:t>VicForests’ comment</w:t>
            </w:r>
          </w:p>
        </w:tc>
        <w:tc>
          <w:tcPr>
            <w:tcW w:w="2593" w:type="pct"/>
            <w:tcBorders>
              <w:left w:val="single" w:sz="4" w:space="0" w:color="808080"/>
            </w:tcBorders>
            <w:shd w:val="clear" w:color="auto" w:fill="E5E5E5" w:themeFill="background2"/>
          </w:tcPr>
          <w:p w14:paraId="650B79ED" w14:textId="77777777" w:rsidR="00054E16" w:rsidRDefault="00054E16" w:rsidP="00054E16">
            <w:pPr>
              <w:pStyle w:val="Tablesmalltext"/>
            </w:pPr>
            <w:r>
              <w:t>Auditors’ response</w:t>
            </w:r>
          </w:p>
        </w:tc>
      </w:tr>
      <w:tr w:rsidR="00054E16" w14:paraId="3968F00E" w14:textId="77777777" w:rsidTr="00054E16">
        <w:tc>
          <w:tcPr>
            <w:tcW w:w="892" w:type="pct"/>
          </w:tcPr>
          <w:p w14:paraId="42994850" w14:textId="1D13048E" w:rsidR="00054E16" w:rsidRDefault="00EA2CC9" w:rsidP="00054E16">
            <w:pPr>
              <w:pStyle w:val="Tablesmalltext"/>
            </w:pPr>
            <w:r>
              <w:t>4.2.3 Biodiversity values</w:t>
            </w:r>
            <w:r w:rsidR="00B77B26">
              <w:t xml:space="preserve"> and 4.5 Coupe planning and management</w:t>
            </w:r>
            <w:r>
              <w:t>: regeneration burns</w:t>
            </w:r>
          </w:p>
        </w:tc>
        <w:tc>
          <w:tcPr>
            <w:tcW w:w="1515" w:type="pct"/>
          </w:tcPr>
          <w:p w14:paraId="77D4EB5E" w14:textId="77777777" w:rsidR="00054E16" w:rsidRDefault="00EA2CC9" w:rsidP="00054E16">
            <w:pPr>
              <w:pStyle w:val="Tablesmalltext"/>
            </w:pPr>
            <w:r>
              <w:t>Code 2.6.1.8 states “All practical measures must be taken to protect areas excluded from harvesting from the impacts of burns and other regeneration activities”.</w:t>
            </w:r>
          </w:p>
          <w:p w14:paraId="0D77F158" w14:textId="2D454586" w:rsidR="006B3890" w:rsidRDefault="006B3890" w:rsidP="00054E16">
            <w:pPr>
              <w:pStyle w:val="Tablesmalltext"/>
            </w:pPr>
            <w:r>
              <w:t>For 17 Orca, is it reasonable to record a non-conformance when the burn did not cross the harvested boundary?</w:t>
            </w:r>
          </w:p>
        </w:tc>
        <w:tc>
          <w:tcPr>
            <w:tcW w:w="2593" w:type="pct"/>
          </w:tcPr>
          <w:p w14:paraId="4DACD486" w14:textId="77777777" w:rsidR="006B3890" w:rsidRDefault="00EA2CC9" w:rsidP="00054E16">
            <w:pPr>
              <w:pStyle w:val="Tablesmalltext"/>
            </w:pPr>
            <w:r>
              <w:t>It is not within the scope of this audit to determine whether “all practical measures” were undertaken to prevent regeneration burns entering planned exclusion areas. The audit assesses regeneration burning based on Code 2.2.2.5 “</w:t>
            </w:r>
            <w:r w:rsidR="006B3890">
              <w:t>Protect areas excluded from harvesting from the impacts of timber harvesting operations”. This includes regeneration burning.</w:t>
            </w:r>
          </w:p>
          <w:p w14:paraId="08EC3B99" w14:textId="77777777" w:rsidR="00054E16" w:rsidRDefault="006B3890" w:rsidP="00054E16">
            <w:pPr>
              <w:pStyle w:val="Tablesmalltext"/>
            </w:pPr>
            <w:r>
              <w:t xml:space="preserve">In the case of the coupes considered in the audit, the measures undertaken were sometimes unsuccessful in protecting exclusion areas from the impacts of regeneration burning – due to the burn entering the exclusion area and the transmission of radiant heat. For 17 Orca, the impact was realised because radiant heat scorched the canopy of a nearby Myrtle Beech tree, despite the ground fire not actually crossing the boundary track. </w:t>
            </w:r>
          </w:p>
          <w:p w14:paraId="78038096" w14:textId="7ECEECDA" w:rsidR="00EE272A" w:rsidRDefault="00EE272A" w:rsidP="00054E16">
            <w:pPr>
              <w:pStyle w:val="Tablesmalltext"/>
            </w:pPr>
            <w:r>
              <w:t>We consider the non-conformance assessment for 17 Orca and other relevant coupes to be appropriate given the requirements of Code 2.2.2.5.</w:t>
            </w:r>
          </w:p>
        </w:tc>
      </w:tr>
      <w:tr w:rsidR="00EE272A" w14:paraId="11B25288" w14:textId="77777777" w:rsidTr="00054E16">
        <w:tc>
          <w:tcPr>
            <w:tcW w:w="892" w:type="pct"/>
          </w:tcPr>
          <w:p w14:paraId="7E2E83AB" w14:textId="510D69A3" w:rsidR="00EE272A" w:rsidRDefault="00EE272A" w:rsidP="00054E16">
            <w:pPr>
              <w:pStyle w:val="Tablesmalltext"/>
            </w:pPr>
            <w:r>
              <w:t>4.2.3 Biodiversity values: 10 Shaq is back coupe</w:t>
            </w:r>
          </w:p>
        </w:tc>
        <w:tc>
          <w:tcPr>
            <w:tcW w:w="1515" w:type="pct"/>
          </w:tcPr>
          <w:p w14:paraId="597E2258" w14:textId="1DA88C8A" w:rsidR="00EE272A" w:rsidRDefault="00EE272A" w:rsidP="00054E16">
            <w:pPr>
              <w:pStyle w:val="Tablesmalltext"/>
            </w:pPr>
            <w:r>
              <w:t>It is unreasonable to record as a non-conformance the loss of retained trees in the riparian buffer (on the boundary of 10 Shaq is back) due to windthrow.</w:t>
            </w:r>
          </w:p>
        </w:tc>
        <w:tc>
          <w:tcPr>
            <w:tcW w:w="2593" w:type="pct"/>
          </w:tcPr>
          <w:p w14:paraId="56F8611C" w14:textId="4AA27BFB" w:rsidR="00EE272A" w:rsidRDefault="00EE272A" w:rsidP="00054E16">
            <w:pPr>
              <w:pStyle w:val="Tablesmalltext"/>
            </w:pPr>
            <w:r w:rsidRPr="00EE272A">
              <w:t xml:space="preserve">While the damage is inconsistent with the Code requirement (2.2.2.4) to identify and manage risks to biodiversity values, the Code specifies that these risks are to be addressed through management actions that are consistent with the MSPs. As none of the management actions on the coupe (related to the windthrow event) were inconsistent with the MSPs, </w:t>
            </w:r>
            <w:r>
              <w:t xml:space="preserve">the </w:t>
            </w:r>
            <w:r w:rsidRPr="00EE272A">
              <w:t xml:space="preserve">non-conformance </w:t>
            </w:r>
            <w:r>
              <w:t>assessment was rescinded and the text modified to reflect this.</w:t>
            </w:r>
          </w:p>
        </w:tc>
      </w:tr>
      <w:tr w:rsidR="00EE272A" w14:paraId="19B2A16B" w14:textId="77777777" w:rsidTr="00054E16">
        <w:tc>
          <w:tcPr>
            <w:tcW w:w="892" w:type="pct"/>
          </w:tcPr>
          <w:p w14:paraId="2915D1EC" w14:textId="53A177F6" w:rsidR="00EE272A" w:rsidRDefault="00EE272A" w:rsidP="00054E16">
            <w:pPr>
              <w:pStyle w:val="Tablesmalltext"/>
            </w:pPr>
            <w:r>
              <w:t>4.2.3 Biodiversity values: biosecurity</w:t>
            </w:r>
          </w:p>
        </w:tc>
        <w:tc>
          <w:tcPr>
            <w:tcW w:w="1515" w:type="pct"/>
          </w:tcPr>
          <w:p w14:paraId="62D4AAB2" w14:textId="77777777" w:rsidR="00EE272A" w:rsidRDefault="0060302D" w:rsidP="00054E16">
            <w:pPr>
              <w:pStyle w:val="Tablesmalltext"/>
            </w:pPr>
            <w:r>
              <w:t>P</w:t>
            </w:r>
            <w:r w:rsidRPr="0060302D">
              <w:t>est</w:t>
            </w:r>
            <w:r>
              <w:t>s,</w:t>
            </w:r>
            <w:r w:rsidRPr="0060302D">
              <w:t xml:space="preserve"> weeds and diseases are assessed for every coupe. Where no diseases </w:t>
            </w:r>
            <w:r>
              <w:t xml:space="preserve">have been </w:t>
            </w:r>
            <w:r w:rsidRPr="0060302D">
              <w:t>identified there will be no info</w:t>
            </w:r>
            <w:r>
              <w:t>rmation</w:t>
            </w:r>
            <w:r w:rsidRPr="0060302D">
              <w:t xml:space="preserve"> in coupe plan.</w:t>
            </w:r>
          </w:p>
          <w:p w14:paraId="45232061" w14:textId="072EC726" w:rsidR="0060302D" w:rsidRDefault="0060302D" w:rsidP="00054E16">
            <w:pPr>
              <w:pStyle w:val="Tablesmalltext"/>
            </w:pPr>
            <w:r>
              <w:t xml:space="preserve">Machinery washdowns are </w:t>
            </w:r>
            <w:r w:rsidRPr="0060302D">
              <w:t xml:space="preserve">recorded in the Coupe Monitoring Records and the Coupe Planning Checklist. </w:t>
            </w:r>
          </w:p>
        </w:tc>
        <w:tc>
          <w:tcPr>
            <w:tcW w:w="2593" w:type="pct"/>
          </w:tcPr>
          <w:p w14:paraId="714B1617" w14:textId="77777777" w:rsidR="00EE272A" w:rsidRDefault="0060302D" w:rsidP="00054E16">
            <w:pPr>
              <w:pStyle w:val="Tablesmalltext"/>
            </w:pPr>
            <w:r>
              <w:t>Supplementary evidence of responses to most of the biosecurity criteria was provided by VicForests, leading to a reassessment of conformance with relevant criteria.</w:t>
            </w:r>
          </w:p>
          <w:p w14:paraId="0A9339BE" w14:textId="77777777" w:rsidR="0060302D" w:rsidRDefault="0060302D" w:rsidP="00054E16">
            <w:pPr>
              <w:pStyle w:val="Tablesmalltext"/>
            </w:pPr>
            <w:r>
              <w:t xml:space="preserve">This review also prompted a review of criterion 20.3 </w:t>
            </w:r>
            <w:r w:rsidR="00B77B26">
              <w:t>(</w:t>
            </w:r>
            <w:r w:rsidR="00B77B26" w:rsidRPr="00B77B26">
              <w:t xml:space="preserve">evidence that any gravel or other road-making materials imported to the site are from a quarry or another coupe that is known to be free of </w:t>
            </w:r>
            <w:r w:rsidR="00B77B26">
              <w:t>soil-borne diseases). While no such evidence was provided, the review identified that coupes for which gravel had not been imported were incorrectly assessed as non-conforming. This was corrected and relevant compliance scores recalculated.</w:t>
            </w:r>
          </w:p>
          <w:p w14:paraId="6F9DF450" w14:textId="5AB9D651" w:rsidR="00B77B26" w:rsidRPr="00EE272A" w:rsidRDefault="00B77B26" w:rsidP="00054E16">
            <w:pPr>
              <w:pStyle w:val="Tablesmalltext"/>
            </w:pPr>
            <w:r>
              <w:t>Text in the report regarding biosecurity responses has been revised on the basis of new information. The auditors still consider that the management of biosecurity risks does not have the same prominence in coupe planning and monitoring records as other environmental risks associated with timber harvesting operations.</w:t>
            </w:r>
          </w:p>
        </w:tc>
      </w:tr>
      <w:tr w:rsidR="00B77B26" w14:paraId="414D491B" w14:textId="77777777" w:rsidTr="00054E16">
        <w:tc>
          <w:tcPr>
            <w:tcW w:w="892" w:type="pct"/>
          </w:tcPr>
          <w:p w14:paraId="276FF90C" w14:textId="52C9ADE5" w:rsidR="00B77B26" w:rsidRDefault="00B77B26" w:rsidP="00054E16">
            <w:pPr>
              <w:pStyle w:val="Tablesmalltext"/>
            </w:pPr>
            <w:r>
              <w:t>4.5 Coupe planning and management: newly developed tracks into SPZ</w:t>
            </w:r>
          </w:p>
        </w:tc>
        <w:tc>
          <w:tcPr>
            <w:tcW w:w="1515" w:type="pct"/>
          </w:tcPr>
          <w:p w14:paraId="0DB219B4" w14:textId="1079BC74" w:rsidR="00B77B26" w:rsidRDefault="00B77B26" w:rsidP="00054E16">
            <w:pPr>
              <w:pStyle w:val="Tablesmalltext"/>
            </w:pPr>
            <w:r>
              <w:t>The track into the SPZ adjacent to 14 Fairway was authorized.</w:t>
            </w:r>
          </w:p>
        </w:tc>
        <w:tc>
          <w:tcPr>
            <w:tcW w:w="2593" w:type="pct"/>
          </w:tcPr>
          <w:p w14:paraId="0490C7CA" w14:textId="04F900FC" w:rsidR="00B77B26" w:rsidRDefault="00B77B26" w:rsidP="00054E16">
            <w:pPr>
              <w:pStyle w:val="Tablesmalltext"/>
            </w:pPr>
            <w:r>
              <w:t xml:space="preserve">Noted. “Unauthorized” is no longer used in the report in relation to this issue. </w:t>
            </w:r>
            <w:r w:rsidR="00116744">
              <w:t xml:space="preserve">While the track may have been authorized to contain the regeneration burn, the auditor’s assessment is that it did not need to enter the SPZ. In any case disturbance of the SPZ as a consequence of </w:t>
            </w:r>
            <w:r w:rsidR="00116744">
              <w:lastRenderedPageBreak/>
              <w:t>the regeneration burn is not consistent with the requirement of Code 2.2.2.5., as discussed above.</w:t>
            </w:r>
          </w:p>
        </w:tc>
      </w:tr>
      <w:tr w:rsidR="00116744" w14:paraId="5B17D0AF" w14:textId="77777777" w:rsidTr="00054E16">
        <w:tc>
          <w:tcPr>
            <w:tcW w:w="892" w:type="pct"/>
          </w:tcPr>
          <w:p w14:paraId="7A7D3064" w14:textId="171E1333" w:rsidR="00116744" w:rsidRDefault="00116744" w:rsidP="00054E16">
            <w:pPr>
              <w:pStyle w:val="Tablesmalltext"/>
            </w:pPr>
            <w:r>
              <w:lastRenderedPageBreak/>
              <w:t>4.5 Coupe planning and management: map in FCP showing waterway classification</w:t>
            </w:r>
          </w:p>
        </w:tc>
        <w:tc>
          <w:tcPr>
            <w:tcW w:w="1515" w:type="pct"/>
          </w:tcPr>
          <w:p w14:paraId="2FB65C92" w14:textId="67B372B3" w:rsidR="00116744" w:rsidRDefault="00116744" w:rsidP="00116744">
            <w:pPr>
              <w:pStyle w:val="Tablesmalltext"/>
            </w:pPr>
            <w:r>
              <w:t>Is a map showing the waterway classification a mandatory requirement or a recommendation? We do not believe the absence of such a map is a non-conformance.</w:t>
            </w:r>
          </w:p>
        </w:tc>
        <w:tc>
          <w:tcPr>
            <w:tcW w:w="2593" w:type="pct"/>
          </w:tcPr>
          <w:p w14:paraId="18A079B3" w14:textId="77777777" w:rsidR="00FB7824" w:rsidRDefault="00116744" w:rsidP="00116744">
            <w:pPr>
              <w:pStyle w:val="Tablesmalltext"/>
            </w:pPr>
            <w:r>
              <w:t>The assessment of criterion 1.02 (</w:t>
            </w:r>
            <w:r w:rsidRPr="00116744">
              <w:t>Is there a map in the FCP showing application of the waterway classification to the coupe?</w:t>
            </w:r>
            <w:r>
              <w:t xml:space="preserve">) has been reviewed </w:t>
            </w:r>
            <w:r w:rsidRPr="00116744">
              <w:t>in context of MSP2.3.1.2.</w:t>
            </w:r>
            <w:r>
              <w:t xml:space="preserve"> (mapping requirement for a FCP). </w:t>
            </w:r>
          </w:p>
          <w:p w14:paraId="65093614" w14:textId="77777777" w:rsidR="00116744" w:rsidRDefault="00116744" w:rsidP="00FB7824">
            <w:pPr>
              <w:pStyle w:val="Tablesmalltext"/>
            </w:pPr>
            <w:r>
              <w:t xml:space="preserve">The requirement to have a map that shows </w:t>
            </w:r>
            <w:r w:rsidR="00FB7824">
              <w:t>“</w:t>
            </w:r>
            <w:r>
              <w:t>areas that are to be excluded from harvesting  … to which special prescriptions apply (including</w:t>
            </w:r>
            <w:r w:rsidR="00FB7824">
              <w:t xml:space="preserve"> </w:t>
            </w:r>
            <w:r>
              <w:t>biodiversity</w:t>
            </w:r>
            <w:r w:rsidR="00FB7824">
              <w:t xml:space="preserve"> </w:t>
            </w:r>
            <w:r>
              <w:t>protection</w:t>
            </w:r>
            <w:r w:rsidR="00FB7824">
              <w:t xml:space="preserve"> </w:t>
            </w:r>
            <w:r>
              <w:t>or</w:t>
            </w:r>
            <w:r w:rsidR="00FB7824">
              <w:t xml:space="preserve"> </w:t>
            </w:r>
            <w:r>
              <w:t>habitat</w:t>
            </w:r>
            <w:r w:rsidR="00FB7824">
              <w:t xml:space="preserve"> </w:t>
            </w:r>
            <w:r>
              <w:t>enhancement,</w:t>
            </w:r>
            <w:r w:rsidR="00FB7824">
              <w:t xml:space="preserve"> </w:t>
            </w:r>
            <w:r>
              <w:t>water</w:t>
            </w:r>
            <w:r w:rsidR="00FB7824">
              <w:t xml:space="preserve"> </w:t>
            </w:r>
            <w:r>
              <w:t>quality</w:t>
            </w:r>
            <w:r w:rsidR="00FB7824">
              <w:t xml:space="preserve"> </w:t>
            </w:r>
            <w:r>
              <w:t>and</w:t>
            </w:r>
            <w:r w:rsidR="00FB7824">
              <w:t xml:space="preserve"> </w:t>
            </w:r>
            <w:r>
              <w:t>aquatic</w:t>
            </w:r>
            <w:r w:rsidR="00FB7824">
              <w:t xml:space="preserve"> </w:t>
            </w:r>
            <w:r>
              <w:t>habitat</w:t>
            </w:r>
            <w:r w:rsidR="00FB7824">
              <w:t xml:space="preserve"> </w:t>
            </w:r>
            <w:r>
              <w:t>protection,</w:t>
            </w:r>
            <w:r w:rsidR="00FB7824">
              <w:t xml:space="preserve"> </w:t>
            </w:r>
            <w:r>
              <w:t>landscape</w:t>
            </w:r>
            <w:r w:rsidR="00FB7824">
              <w:t xml:space="preserve"> </w:t>
            </w:r>
            <w:r>
              <w:t>protection,</w:t>
            </w:r>
            <w:r w:rsidR="00FB7824">
              <w:t xml:space="preserve"> </w:t>
            </w:r>
            <w:r>
              <w:t>or</w:t>
            </w:r>
            <w:r w:rsidR="00FB7824">
              <w:t xml:space="preserve"> </w:t>
            </w:r>
            <w:r>
              <w:t>cultural</w:t>
            </w:r>
            <w:r w:rsidR="00FB7824">
              <w:t xml:space="preserve"> </w:t>
            </w:r>
            <w:r>
              <w:t>heritage</w:t>
            </w:r>
            <w:r w:rsidR="00FB7824">
              <w:t xml:space="preserve"> </w:t>
            </w:r>
            <w:r>
              <w:t>sites</w:t>
            </w:r>
            <w:r w:rsidR="00FB7824">
              <w:t xml:space="preserve"> </w:t>
            </w:r>
            <w:r>
              <w:t>and</w:t>
            </w:r>
            <w:r w:rsidR="00FB7824">
              <w:t xml:space="preserve"> </w:t>
            </w:r>
            <w:r>
              <w:t>places)</w:t>
            </w:r>
            <w:r w:rsidR="00FB7824">
              <w:t xml:space="preserve">” was subsequently deemed to have been met </w:t>
            </w:r>
            <w:r w:rsidRPr="00116744">
              <w:t xml:space="preserve">if the </w:t>
            </w:r>
            <w:r w:rsidR="00FB7824">
              <w:t xml:space="preserve">coupe operations map </w:t>
            </w:r>
            <w:r w:rsidRPr="00116744">
              <w:t xml:space="preserve">has </w:t>
            </w:r>
            <w:r w:rsidR="00FB7824">
              <w:t xml:space="preserve">the </w:t>
            </w:r>
            <w:r w:rsidRPr="00116744">
              <w:t>marked</w:t>
            </w:r>
            <w:r w:rsidR="00FB7824">
              <w:t xml:space="preserve"> and planned</w:t>
            </w:r>
            <w:r w:rsidRPr="00116744">
              <w:t xml:space="preserve"> harvest boundary</w:t>
            </w:r>
            <w:r w:rsidR="00FB7824">
              <w:t>,</w:t>
            </w:r>
            <w:r w:rsidRPr="00116744">
              <w:t xml:space="preserve"> even if there is no reason provided as to why the boundary is there</w:t>
            </w:r>
            <w:r w:rsidR="00FB7824">
              <w:t xml:space="preserve">. This is considered to satisfy the minimum requirements of the MSPs. </w:t>
            </w:r>
          </w:p>
          <w:p w14:paraId="0C51D6D6" w14:textId="7504ED13" w:rsidR="00FB7824" w:rsidRDefault="00FB7824" w:rsidP="00FB7824">
            <w:pPr>
              <w:pStyle w:val="Tablesmalltext"/>
            </w:pPr>
            <w:r>
              <w:t xml:space="preserve">Previous audits have recommended consistent marking of waterway classifications and management responses in operations maps. This is reiterated here, for the reasons given in relation to recommendation V-02 (see Section </w:t>
            </w:r>
            <w:r>
              <w:fldChar w:fldCharType="begin" w:fldLock="1"/>
            </w:r>
            <w:r>
              <w:instrText xml:space="preserve"> REF _Ref31258395 \r \h </w:instrText>
            </w:r>
            <w:r>
              <w:fldChar w:fldCharType="separate"/>
            </w:r>
            <w:r w:rsidR="005544E2">
              <w:t>6.2</w:t>
            </w:r>
            <w:r>
              <w:fldChar w:fldCharType="end"/>
            </w:r>
            <w:r>
              <w:t>).</w:t>
            </w:r>
          </w:p>
          <w:p w14:paraId="1E448081" w14:textId="1DBB077B" w:rsidR="00FB7824" w:rsidRDefault="00FB7824" w:rsidP="00FB7824">
            <w:pPr>
              <w:pStyle w:val="Tablesmalltext"/>
            </w:pPr>
            <w:r>
              <w:t xml:space="preserve">As a result of this review, </w:t>
            </w:r>
            <w:r w:rsidR="00666009">
              <w:t xml:space="preserve">our assessments of </w:t>
            </w:r>
            <w:r>
              <w:t>conformance with criteria 4.01 ad 4.04, regarding mapping of areas of high slope within or near the coupe</w:t>
            </w:r>
            <w:r w:rsidR="00666009">
              <w:t>,</w:t>
            </w:r>
            <w:r>
              <w:t xml:space="preserve"> </w:t>
            </w:r>
            <w:r w:rsidR="00666009">
              <w:t xml:space="preserve">were </w:t>
            </w:r>
            <w:r>
              <w:t>also revise</w:t>
            </w:r>
            <w:r w:rsidR="00666009">
              <w:t>d in the context of the minimum requirements to comply with MSP 2.3.1.2.</w:t>
            </w:r>
          </w:p>
          <w:p w14:paraId="020A2AC7" w14:textId="751F0180" w:rsidR="00666009" w:rsidRDefault="00666009" w:rsidP="00FB7824">
            <w:pPr>
              <w:pStyle w:val="Tablesmalltext"/>
            </w:pPr>
            <w:r>
              <w:t>Overall compliance scores were subsequently recalculated.</w:t>
            </w:r>
          </w:p>
        </w:tc>
      </w:tr>
      <w:tr w:rsidR="00666009" w14:paraId="19AA6096" w14:textId="77777777" w:rsidTr="00054E16">
        <w:tc>
          <w:tcPr>
            <w:tcW w:w="892" w:type="pct"/>
          </w:tcPr>
          <w:p w14:paraId="1CC0DF6A" w14:textId="372BD12D" w:rsidR="00666009" w:rsidRDefault="00666009" w:rsidP="00054E16">
            <w:pPr>
              <w:pStyle w:val="Tablesmalltext"/>
            </w:pPr>
            <w:r>
              <w:t>5.2 Comparison with previous audits</w:t>
            </w:r>
          </w:p>
        </w:tc>
        <w:tc>
          <w:tcPr>
            <w:tcW w:w="1515" w:type="pct"/>
          </w:tcPr>
          <w:p w14:paraId="4D88F43D" w14:textId="2F12CBDB" w:rsidR="005B05BB" w:rsidRDefault="005B05BB" w:rsidP="00116744">
            <w:pPr>
              <w:pStyle w:val="Tablesmalltext"/>
            </w:pPr>
            <w:r w:rsidRPr="005B05BB">
              <w:t xml:space="preserve">Although the compliance criteria </w:t>
            </w:r>
            <w:r>
              <w:t>were grouped in</w:t>
            </w:r>
            <w:r w:rsidRPr="005B05BB">
              <w:t xml:space="preserve"> similar themes over the last few years, the coupe elements and apparent identified issues being assessed have changed</w:t>
            </w:r>
            <w:r>
              <w:t xml:space="preserve"> in this audit. S</w:t>
            </w:r>
            <w:r w:rsidRPr="005B05BB">
              <w:t xml:space="preserve">ome of the </w:t>
            </w:r>
            <w:r>
              <w:t xml:space="preserve">non-conformance </w:t>
            </w:r>
            <w:r w:rsidRPr="005B05BB">
              <w:t xml:space="preserve">issues identified in this audit </w:t>
            </w:r>
            <w:r>
              <w:t xml:space="preserve">may not </w:t>
            </w:r>
            <w:r w:rsidRPr="005B05BB">
              <w:t>have been raised as a non-</w:t>
            </w:r>
            <w:r>
              <w:t xml:space="preserve">conformances in previous years (e.g. regeneration burns, weeds). </w:t>
            </w:r>
          </w:p>
          <w:p w14:paraId="5797070B" w14:textId="5D883EC3" w:rsidR="00666009" w:rsidRDefault="005B05BB" w:rsidP="00116744">
            <w:pPr>
              <w:pStyle w:val="Tablesmalltext"/>
            </w:pPr>
            <w:r>
              <w:t>This is evident in 9 of 15 top non-conformance issues not having been identified in the 2017-18 FAP audit (</w:t>
            </w:r>
            <w:r>
              <w:fldChar w:fldCharType="begin" w:fldLock="1"/>
            </w:r>
            <w:r>
              <w:instrText xml:space="preserve"> REF _Ref18353094 \h </w:instrText>
            </w:r>
            <w:r>
              <w:fldChar w:fldCharType="separate"/>
            </w:r>
            <w:r w:rsidR="005544E2">
              <w:t xml:space="preserve">Table </w:t>
            </w:r>
            <w:r w:rsidR="005544E2">
              <w:rPr>
                <w:noProof/>
              </w:rPr>
              <w:t>5</w:t>
            </w:r>
            <w:r w:rsidR="005544E2">
              <w:t>.</w:t>
            </w:r>
            <w:r w:rsidR="005544E2">
              <w:rPr>
                <w:noProof/>
              </w:rPr>
              <w:t>1</w:t>
            </w:r>
            <w:r>
              <w:fldChar w:fldCharType="end"/>
            </w:r>
            <w:r>
              <w:t xml:space="preserve">). </w:t>
            </w:r>
          </w:p>
          <w:p w14:paraId="2E47A56C" w14:textId="0866C647" w:rsidR="00895764" w:rsidRDefault="00895764" w:rsidP="00116744">
            <w:pPr>
              <w:pStyle w:val="Tablesmalltext"/>
            </w:pPr>
            <w:r>
              <w:t>Could the large increase in regeneration burn entries into SPZ areas reflect the large increase in these forest management zones in recent years?</w:t>
            </w:r>
          </w:p>
        </w:tc>
        <w:tc>
          <w:tcPr>
            <w:tcW w:w="2593" w:type="pct"/>
          </w:tcPr>
          <w:p w14:paraId="17F7BD91" w14:textId="556C0AE7" w:rsidR="00666009" w:rsidRDefault="005B05BB" w:rsidP="00116744">
            <w:pPr>
              <w:pStyle w:val="Tablesmalltext"/>
            </w:pPr>
            <w:r>
              <w:fldChar w:fldCharType="begin" w:fldLock="1"/>
            </w:r>
            <w:r>
              <w:instrText xml:space="preserve"> REF _Ref18353094 \h </w:instrText>
            </w:r>
            <w:r>
              <w:fldChar w:fldCharType="separate"/>
            </w:r>
            <w:r w:rsidR="005544E2">
              <w:t xml:space="preserve">Table </w:t>
            </w:r>
            <w:r w:rsidR="005544E2">
              <w:rPr>
                <w:noProof/>
              </w:rPr>
              <w:t>5</w:t>
            </w:r>
            <w:r w:rsidR="005544E2">
              <w:t>.</w:t>
            </w:r>
            <w:r w:rsidR="005544E2">
              <w:rPr>
                <w:noProof/>
              </w:rPr>
              <w:t>1</w:t>
            </w:r>
            <w:r>
              <w:fldChar w:fldCharType="end"/>
            </w:r>
            <w:r>
              <w:t xml:space="preserve"> has been revised to </w:t>
            </w:r>
            <w:r w:rsidR="006721A3">
              <w:t>differentiate between non-compliance issues that were not observed in the 2017-18 audit and those that were not in scope. Four of the non-conformance issues with actual or potential EI were identified due to the expanded scope in the current audit and four were not observed in 2017-18.</w:t>
            </w:r>
          </w:p>
          <w:p w14:paraId="2DEBAFAD" w14:textId="3EA2193E" w:rsidR="006721A3" w:rsidRDefault="006721A3" w:rsidP="00116744">
            <w:pPr>
              <w:pStyle w:val="Tablesmalltext"/>
            </w:pPr>
            <w:r>
              <w:t xml:space="preserve">This year’s audit considered biosecurity issues more rigorously than in previous audits, which contributed to the lower level of conformance for the biodiversity sub-theme (particularly prior to the reassessment of biosecurity criteria following the provision of additional information by VicForests). </w:t>
            </w:r>
          </w:p>
          <w:p w14:paraId="798EFC19" w14:textId="77777777" w:rsidR="006721A3" w:rsidRDefault="0069549F" w:rsidP="00116744">
            <w:pPr>
              <w:pStyle w:val="Tablesmalltext"/>
            </w:pPr>
            <w:r>
              <w:t>An extension to the regulatory compliance criteria considered in this audit enabled</w:t>
            </w:r>
            <w:r w:rsidR="006721A3">
              <w:t xml:space="preserve"> regeneration burning </w:t>
            </w:r>
            <w:r>
              <w:t xml:space="preserve">to </w:t>
            </w:r>
            <w:r w:rsidR="006D707B">
              <w:t xml:space="preserve">be </w:t>
            </w:r>
            <w:r>
              <w:t xml:space="preserve">assessed more comprehensively than in previous audits. </w:t>
            </w:r>
            <w:r w:rsidR="00DE296C">
              <w:t xml:space="preserve">Inclusion of Code 2.2.2.5 </w:t>
            </w:r>
            <w:r w:rsidR="005454B3">
              <w:t xml:space="preserve">provided a means (via criterion 19.01) to identify regeneration burns affecting planned exclusion areas as a non-conformance, where previously this was only possible in Central Highlands FMAs (based on criterion 12.06). </w:t>
            </w:r>
            <w:r w:rsidR="006D707B">
              <w:t xml:space="preserve">This change resulted in non-conformance assessments (against 19.01) for six coupes in East Gippsland, North-East and Central Gippsland FMAs. EI associated with the non-conformances was assessed to be major for all but 15 Phasinator and 17 Oracle. </w:t>
            </w:r>
          </w:p>
          <w:p w14:paraId="229F13F2" w14:textId="77777777" w:rsidR="006D707B" w:rsidRDefault="006D707B" w:rsidP="00116744">
            <w:pPr>
              <w:pStyle w:val="Tablesmalltext"/>
            </w:pPr>
            <w:r>
              <w:t>The effect of this change in scope to include broader consideration of regeneration burning on overall compliance has been noted in the body of the audit report.</w:t>
            </w:r>
          </w:p>
          <w:p w14:paraId="0CB179A4" w14:textId="77777777" w:rsidR="00895764" w:rsidRDefault="00895764" w:rsidP="00116744">
            <w:pPr>
              <w:pStyle w:val="Tablesmalltext"/>
            </w:pPr>
            <w:r>
              <w:t>The increased recording of non-conformances for regeneration burning may partly reflect the growth in SPZ areas over the last several years</w:t>
            </w:r>
            <w:r w:rsidR="00FE78AE">
              <w:t xml:space="preserve">, but is more likely due to expansion in scope of the audit (as above). It should be noted that (in the auditor’s opinion) </w:t>
            </w:r>
            <w:r w:rsidR="00FE78AE">
              <w:lastRenderedPageBreak/>
              <w:t>regeneration burns entering planned exclusion areas has always been inconsistent with the Code, even it was not within the scope of the FAP audits to assess this.</w:t>
            </w:r>
            <w:r w:rsidR="008D21DB">
              <w:t xml:space="preserve"> </w:t>
            </w:r>
          </w:p>
          <w:p w14:paraId="0DA1F7C1" w14:textId="1AFB92C2" w:rsidR="008D21DB" w:rsidRDefault="008D21DB" w:rsidP="00116744">
            <w:pPr>
              <w:pStyle w:val="Tablesmalltext"/>
            </w:pPr>
            <w:r>
              <w:t>If the conformance scores are adjusted to account for the inclusion of criterion 19.0, the overall, water and biodiversity full conformance scores would increase by no more than 1%.</w:t>
            </w:r>
          </w:p>
        </w:tc>
      </w:tr>
      <w:tr w:rsidR="00FE78AE" w14:paraId="03B89AAA" w14:textId="77777777" w:rsidTr="00054E16">
        <w:tc>
          <w:tcPr>
            <w:tcW w:w="892" w:type="pct"/>
          </w:tcPr>
          <w:p w14:paraId="601699B6" w14:textId="3D55D319" w:rsidR="00FE78AE" w:rsidRDefault="008D21DB" w:rsidP="00054E16">
            <w:pPr>
              <w:pStyle w:val="Tablesmalltext"/>
            </w:pPr>
            <w:r>
              <w:lastRenderedPageBreak/>
              <w:t>5.3.1 Coupe planning: slopes &gt;25° in areas with granite-based soils in East Gippsland FMAs.</w:t>
            </w:r>
          </w:p>
        </w:tc>
        <w:tc>
          <w:tcPr>
            <w:tcW w:w="1515" w:type="pct"/>
          </w:tcPr>
          <w:p w14:paraId="5E13B8C7" w14:textId="3587D54F" w:rsidR="00FE78AE" w:rsidRPr="005B05BB" w:rsidRDefault="008D21DB" w:rsidP="00116744">
            <w:pPr>
              <w:pStyle w:val="Tablesmalltext"/>
            </w:pPr>
            <w:r>
              <w:t>T</w:t>
            </w:r>
            <w:r w:rsidRPr="008D21DB">
              <w:t xml:space="preserve">here is a specific layer for </w:t>
            </w:r>
            <w:r>
              <w:t>East Gippsland</w:t>
            </w:r>
            <w:r w:rsidRPr="008D21DB">
              <w:t xml:space="preserve"> FMA that combines slope class and granite</w:t>
            </w:r>
            <w:r>
              <w:t>-</w:t>
            </w:r>
            <w:r w:rsidRPr="008D21DB">
              <w:t>based soils.  It is usually not included on maps as it blocks out other layers and makes the maps difficult to read.  The layer was developed using updated LiDAR slope analysis and best available lithology data and then all areas identified as having granite</w:t>
            </w:r>
            <w:r>
              <w:t>-</w:t>
            </w:r>
            <w:r w:rsidRPr="008D21DB">
              <w:t>based soil and slopes of 25 degrees and over were flagged.  This was intersected with TRP layer and every coupe that it intersected with had an alert placed on it.  The areas are then usually field checked during coupe planning/preparation stages. The alert along with response for management is printed in the coupe plan</w:t>
            </w:r>
            <w:r>
              <w:t>.</w:t>
            </w:r>
          </w:p>
        </w:tc>
        <w:tc>
          <w:tcPr>
            <w:tcW w:w="2593" w:type="pct"/>
          </w:tcPr>
          <w:p w14:paraId="6BBCAC51" w14:textId="77777777" w:rsidR="00FE78AE" w:rsidRDefault="008D21DB" w:rsidP="00116744">
            <w:pPr>
              <w:pStyle w:val="Tablesmalltext"/>
            </w:pPr>
            <w:r>
              <w:t xml:space="preserve">Noted. There was no evidence of this information in the files/FCPs for relevant East Gippsland coupes included in the audit. </w:t>
            </w:r>
            <w:r w:rsidR="006A26E2">
              <w:t>Presumably this applies to coupes that were planned more recently.</w:t>
            </w:r>
          </w:p>
          <w:p w14:paraId="35A48615" w14:textId="500F0802" w:rsidR="006A26E2" w:rsidRDefault="006A26E2" w:rsidP="00116744">
            <w:pPr>
              <w:pStyle w:val="Tablesmalltext"/>
            </w:pPr>
            <w:r>
              <w:t>This addresses discussion in Section 5.3.1 and recommendations V-02, V-03 and V-04 from the draft report. Those recommendations are not included in the final audit report.</w:t>
            </w:r>
          </w:p>
        </w:tc>
      </w:tr>
      <w:tr w:rsidR="00BC5E8A" w14:paraId="3224394A" w14:textId="77777777" w:rsidTr="00054E16">
        <w:tc>
          <w:tcPr>
            <w:tcW w:w="892" w:type="pct"/>
          </w:tcPr>
          <w:p w14:paraId="4E73A3C5" w14:textId="03654664" w:rsidR="00BC5E8A" w:rsidRDefault="00BC5E8A" w:rsidP="00054E16">
            <w:pPr>
              <w:pStyle w:val="Tablesmalltext"/>
            </w:pPr>
            <w:r>
              <w:t>5.3.4 Biosecurity</w:t>
            </w:r>
          </w:p>
        </w:tc>
        <w:tc>
          <w:tcPr>
            <w:tcW w:w="1515" w:type="pct"/>
          </w:tcPr>
          <w:p w14:paraId="541BDB4A" w14:textId="7688E786" w:rsidR="00BC5E8A" w:rsidRDefault="00BC5E8A" w:rsidP="00116744">
            <w:pPr>
              <w:pStyle w:val="Tablesmalltext"/>
            </w:pPr>
            <w:r w:rsidRPr="00BC5E8A">
              <w:t xml:space="preserve">There is a specific question </w:t>
            </w:r>
            <w:r>
              <w:t>relating to vehicle wash downs</w:t>
            </w:r>
            <w:r w:rsidRPr="00BC5E8A">
              <w:t xml:space="preserve"> in the Coupe Monitoring Records completed monthly for each coupe.  Ideally </w:t>
            </w:r>
            <w:r w:rsidR="00AC1908">
              <w:t xml:space="preserve">washdowns </w:t>
            </w:r>
            <w:r w:rsidRPr="00BC5E8A">
              <w:t xml:space="preserve">should also be recorded in the coupe diary. </w:t>
            </w:r>
          </w:p>
          <w:p w14:paraId="455EA398" w14:textId="78EB367D" w:rsidR="00BC5E8A" w:rsidRDefault="00BC5E8A" w:rsidP="00116744">
            <w:pPr>
              <w:pStyle w:val="Tablesmalltext"/>
            </w:pPr>
            <w:r w:rsidRPr="00BC5E8A">
              <w:t xml:space="preserve">Many quarries used </w:t>
            </w:r>
            <w:r w:rsidR="00AC1908">
              <w:t xml:space="preserve">by VicForests to source gravel </w:t>
            </w:r>
            <w:r w:rsidRPr="00BC5E8A">
              <w:t>are managed by DELWP or are proper commercial quarries that extract materials from well into the substrate where risk of disease or weeds is low</w:t>
            </w:r>
            <w:r w:rsidR="00AC1908">
              <w:t>.</w:t>
            </w:r>
          </w:p>
        </w:tc>
        <w:tc>
          <w:tcPr>
            <w:tcW w:w="2593" w:type="pct"/>
          </w:tcPr>
          <w:p w14:paraId="4FB81AFD" w14:textId="77777777" w:rsidR="00BC5E8A" w:rsidRDefault="009C092D" w:rsidP="00116744">
            <w:pPr>
              <w:pStyle w:val="Tablesmalltext"/>
            </w:pPr>
            <w:r>
              <w:t>Assessments against biosecurity criteria were revised on the basis of evidence provided by VicForests regarding machinery washdown and pre-harvest weed and disease assessments.</w:t>
            </w:r>
          </w:p>
          <w:p w14:paraId="17DE5AF2" w14:textId="6ACF4EF1" w:rsidR="009C092D" w:rsidRDefault="009C092D" w:rsidP="00116744">
            <w:pPr>
              <w:pStyle w:val="Tablesmalltext"/>
            </w:pPr>
            <w:r>
              <w:t xml:space="preserve">The point regarding operation of the quarries is noted. While the </w:t>
            </w:r>
            <w:r w:rsidR="00A97327">
              <w:t>likelihood</w:t>
            </w:r>
            <w:r>
              <w:t xml:space="preserve"> </w:t>
            </w:r>
            <w:r w:rsidR="00A97327">
              <w:t xml:space="preserve">of infection from quarry materials </w:t>
            </w:r>
            <w:r>
              <w:t>may be low</w:t>
            </w:r>
            <w:r w:rsidR="00A97327">
              <w:t>, the consequence environmentally and in mitigation effort would be high – meaning that the risk is not necessarily “low”. A</w:t>
            </w:r>
            <w:r>
              <w:t xml:space="preserve">s far as the auditors are aware there VicForests </w:t>
            </w:r>
            <w:r w:rsidR="00A97327">
              <w:t>are not able to demonstrate before their use that quarry materials are actually disease free, which is not fully consistent with the requirements of MSP 4.5.1.1.</w:t>
            </w:r>
          </w:p>
          <w:p w14:paraId="5AB6CEB1" w14:textId="22EFE3F5" w:rsidR="00A97327" w:rsidRDefault="00A97327" w:rsidP="00116744">
            <w:pPr>
              <w:pStyle w:val="Tablesmalltext"/>
            </w:pPr>
            <w:r>
              <w:t>The attention given to biosecurity issues in this year’s audit reflects the role of the audit in continuous improvement in timber harvesting practices. As noted in the body of the report, the transparency with which biosecurity risks are assessed and managed by VicForests is not as great as is the case for most other environmental risks. The focus on biosecurity is intended to challenge VicForests to robustly assess, manage and disclose biosecurity risks to the same level as it does for other risks.</w:t>
            </w:r>
          </w:p>
        </w:tc>
      </w:tr>
      <w:tr w:rsidR="00D87246" w14:paraId="1692A59A" w14:textId="77777777" w:rsidTr="00054E16">
        <w:tc>
          <w:tcPr>
            <w:tcW w:w="892" w:type="pct"/>
          </w:tcPr>
          <w:p w14:paraId="4BD52F6D" w14:textId="51FB64EA" w:rsidR="00D87246" w:rsidRDefault="00FF29A6" w:rsidP="00054E16">
            <w:pPr>
              <w:pStyle w:val="Tablesmalltext"/>
            </w:pPr>
            <w:r>
              <w:t>Additional comment #1</w:t>
            </w:r>
          </w:p>
        </w:tc>
        <w:tc>
          <w:tcPr>
            <w:tcW w:w="1515" w:type="pct"/>
          </w:tcPr>
          <w:p w14:paraId="751C6E91" w14:textId="77777777" w:rsidR="00D87246" w:rsidRDefault="00FF29A6" w:rsidP="00116744">
            <w:pPr>
              <w:pStyle w:val="Tablesmalltext"/>
            </w:pPr>
            <w:r w:rsidRPr="00FF29A6">
              <w:t xml:space="preserve">All burning operations are approved by DELWP, including </w:t>
            </w:r>
            <w:r>
              <w:t>burn contingency</w:t>
            </w:r>
            <w:r w:rsidRPr="00FF29A6">
              <w:t xml:space="preserve"> plans. The use of dozers and slip-ons for direct attack is listed in these approved contingency plans. </w:t>
            </w:r>
          </w:p>
          <w:p w14:paraId="4C8950F9" w14:textId="0D48A391" w:rsidR="00FF29A6" w:rsidRPr="00FF29A6" w:rsidRDefault="00FF29A6" w:rsidP="00116744">
            <w:pPr>
              <w:pStyle w:val="Tablesmalltext"/>
              <w:rPr>
                <w:i/>
              </w:rPr>
            </w:pPr>
            <w:r>
              <w:rPr>
                <w:i/>
              </w:rPr>
              <w:t>Note: examples of burn contingency plans for 14 Fairway and 16 Lady Lavery were provided</w:t>
            </w:r>
          </w:p>
        </w:tc>
        <w:tc>
          <w:tcPr>
            <w:tcW w:w="2593" w:type="pct"/>
          </w:tcPr>
          <w:p w14:paraId="555F2E89" w14:textId="77777777" w:rsidR="00D87246" w:rsidRDefault="00FF29A6" w:rsidP="00116744">
            <w:pPr>
              <w:pStyle w:val="Tablesmalltext"/>
            </w:pPr>
            <w:r>
              <w:t>The burn contingency plans were reviewed and the following noted:</w:t>
            </w:r>
          </w:p>
          <w:p w14:paraId="116A415E" w14:textId="77777777" w:rsidR="00FF29A6" w:rsidRDefault="00FF29A6" w:rsidP="00FF29A6">
            <w:pPr>
              <w:pStyle w:val="Tablesmallbullet"/>
            </w:pPr>
            <w:r>
              <w:t>While the burn map identified the presence of SPZ areas in the vicinity of the two coupes, neither plan document noted their presence and there is no evidence that specific plans were made that addressed the environmental and regulatory sensitivity of these areas.</w:t>
            </w:r>
          </w:p>
          <w:p w14:paraId="2BB3116E" w14:textId="77777777" w:rsidR="00FF29A6" w:rsidRDefault="00FF29A6" w:rsidP="00FF29A6">
            <w:pPr>
              <w:pStyle w:val="Tablesmallbullet"/>
            </w:pPr>
            <w:r>
              <w:t xml:space="preserve">The track constructed into the SPZ adjacent to 14 Fairway was a control line and hence “authorized”. However, </w:t>
            </w:r>
            <w:r w:rsidR="00475001">
              <w:t xml:space="preserve">to comply </w:t>
            </w:r>
            <w:r>
              <w:t>with the Code</w:t>
            </w:r>
            <w:r w:rsidR="00475001">
              <w:t xml:space="preserve">, the track should have been constructed along or inside the </w:t>
            </w:r>
            <w:r w:rsidR="00475001">
              <w:lastRenderedPageBreak/>
              <w:t>coupe boundary and should not have crossed into the SPZ, as it did.</w:t>
            </w:r>
          </w:p>
          <w:p w14:paraId="4AF43B45" w14:textId="1E66566E" w:rsidR="00475001" w:rsidRDefault="00475001" w:rsidP="00FF29A6">
            <w:pPr>
              <w:pStyle w:val="Tablesmallbullet"/>
            </w:pPr>
            <w:r>
              <w:t xml:space="preserve">In the auditors’ opinion, identifying contingency areas for regeneration burns that cross their planned boundaries is entirely appropriate from a safety management perspective. However, this does not absolve those responsible for the burn from Code requirements not to affect planned exclusion areas (as per Code </w:t>
            </w:r>
            <w:r w:rsidR="00C40FB6">
              <w:t>2.2.2.5).</w:t>
            </w:r>
          </w:p>
        </w:tc>
      </w:tr>
      <w:tr w:rsidR="00C40FB6" w14:paraId="62EB1602" w14:textId="77777777" w:rsidTr="00054E16">
        <w:tc>
          <w:tcPr>
            <w:tcW w:w="892" w:type="pct"/>
          </w:tcPr>
          <w:p w14:paraId="3214429C" w14:textId="1A56D1C9" w:rsidR="00C40FB6" w:rsidRDefault="00C40FB6" w:rsidP="00054E16">
            <w:pPr>
              <w:pStyle w:val="Tablesmalltext"/>
            </w:pPr>
            <w:r>
              <w:lastRenderedPageBreak/>
              <w:t>Additional comment #2</w:t>
            </w:r>
          </w:p>
        </w:tc>
        <w:tc>
          <w:tcPr>
            <w:tcW w:w="1515" w:type="pct"/>
          </w:tcPr>
          <w:p w14:paraId="4E4C3243" w14:textId="683E626E" w:rsidR="00C40FB6" w:rsidRPr="00FF29A6" w:rsidRDefault="003D0620" w:rsidP="00116744">
            <w:pPr>
              <w:pStyle w:val="Tablesmalltext"/>
            </w:pPr>
            <w:r w:rsidRPr="003D0620">
              <w:t>Regarding 25° slopes on granite</w:t>
            </w:r>
            <w:r w:rsidR="00B24A1B">
              <w:t>-</w:t>
            </w:r>
            <w:r w:rsidRPr="003D0620">
              <w:t>based soils</w:t>
            </w:r>
            <w:r w:rsidR="0028732E">
              <w:t>:</w:t>
            </w:r>
            <w:r w:rsidRPr="003D0620">
              <w:t xml:space="preserve"> </w:t>
            </w:r>
            <w:r w:rsidR="0028732E">
              <w:t>f</w:t>
            </w:r>
            <w:r w:rsidRPr="003D0620">
              <w:t>ollowing last year</w:t>
            </w:r>
            <w:r w:rsidR="00B24A1B">
              <w:t>’</w:t>
            </w:r>
            <w:r w:rsidRPr="003D0620">
              <w:t xml:space="preserve">s audit </w:t>
            </w:r>
            <w:r w:rsidR="00CE7A2D">
              <w:t>VicForests</w:t>
            </w:r>
            <w:r w:rsidRPr="003D0620">
              <w:t xml:space="preserve"> developed a spatial layer combining granite derived soils and slopes &gt;25°. This is used as a planning tool to highlight that this may occur in the planned area. This layer is checked during the coupe overlay. There is still the standing requirement to assess soil at every coupe and if there </w:t>
            </w:r>
            <w:r w:rsidR="00CE7A2D">
              <w:t>are</w:t>
            </w:r>
            <w:r w:rsidRPr="003D0620">
              <w:t xml:space="preserve"> different soil types across a coupe asse</w:t>
            </w:r>
            <w:r w:rsidR="00CE7A2D">
              <w:t>s</w:t>
            </w:r>
            <w:r w:rsidRPr="003D0620">
              <w:t>s all these. The coupes audited were planned prior to the development of this layer.</w:t>
            </w:r>
          </w:p>
        </w:tc>
        <w:tc>
          <w:tcPr>
            <w:tcW w:w="2593" w:type="pct"/>
          </w:tcPr>
          <w:p w14:paraId="5C311B24" w14:textId="69AEA04F" w:rsidR="00C40FB6" w:rsidRDefault="00CE7A2D" w:rsidP="00116744">
            <w:pPr>
              <w:pStyle w:val="Tablesmalltext"/>
            </w:pPr>
            <w:r>
              <w:t xml:space="preserve">The presence of this </w:t>
            </w:r>
            <w:r w:rsidR="0028732E">
              <w:t>data set is noted and that its production post-dated planning for the coupes included in this audit. Recommendation V-03 (from Draft A of the audit report) is no longer relevant and has been deleted from this report.</w:t>
            </w:r>
          </w:p>
        </w:tc>
      </w:tr>
      <w:tr w:rsidR="00C40FB6" w14:paraId="61A90BE4" w14:textId="77777777" w:rsidTr="00054E16">
        <w:tc>
          <w:tcPr>
            <w:tcW w:w="892" w:type="pct"/>
          </w:tcPr>
          <w:p w14:paraId="43786373" w14:textId="25896739" w:rsidR="00C40FB6" w:rsidRDefault="00C40FB6" w:rsidP="00054E16">
            <w:pPr>
              <w:pStyle w:val="Tablesmalltext"/>
            </w:pPr>
            <w:r>
              <w:t>Additional comment #3</w:t>
            </w:r>
          </w:p>
        </w:tc>
        <w:tc>
          <w:tcPr>
            <w:tcW w:w="1515" w:type="pct"/>
          </w:tcPr>
          <w:p w14:paraId="7C8C07E4" w14:textId="13F0DBCD" w:rsidR="00C40FB6" w:rsidRPr="00FF29A6" w:rsidRDefault="003D0620" w:rsidP="00116744">
            <w:pPr>
              <w:pStyle w:val="Tablesmalltext"/>
            </w:pPr>
            <w:r w:rsidRPr="003D0620">
              <w:t>I have also attached a context map which is created for every coupe. These maps have the LiDar derived slope classes. Since the audit we have amended the slope classes to include a 25-30° category</w:t>
            </w:r>
          </w:p>
        </w:tc>
        <w:tc>
          <w:tcPr>
            <w:tcW w:w="2593" w:type="pct"/>
          </w:tcPr>
          <w:p w14:paraId="2317C338" w14:textId="26A1CDEA" w:rsidR="00C40FB6" w:rsidRDefault="0028732E" w:rsidP="00116744">
            <w:pPr>
              <w:pStyle w:val="Tablesmalltext"/>
            </w:pPr>
            <w:r>
              <w:t>The revised process for slope class mapping is noted. This addresses the intent of the recommendation V-02 (from Draft A of the audit report). That recommendation is no longer required and has been deleted from this report.</w:t>
            </w:r>
          </w:p>
        </w:tc>
      </w:tr>
      <w:tr w:rsidR="00C40FB6" w14:paraId="5083CF53" w14:textId="77777777" w:rsidTr="00054E16">
        <w:tc>
          <w:tcPr>
            <w:tcW w:w="892" w:type="pct"/>
          </w:tcPr>
          <w:p w14:paraId="4C3BF69E" w14:textId="076F530B" w:rsidR="00C40FB6" w:rsidRDefault="00C40FB6" w:rsidP="00054E16">
            <w:pPr>
              <w:pStyle w:val="Tablesmalltext"/>
            </w:pPr>
            <w:r>
              <w:t>Additional comment #4</w:t>
            </w:r>
          </w:p>
        </w:tc>
        <w:tc>
          <w:tcPr>
            <w:tcW w:w="1515" w:type="pct"/>
          </w:tcPr>
          <w:p w14:paraId="3370D727" w14:textId="39090101" w:rsidR="00C40FB6" w:rsidRPr="00FF29A6" w:rsidRDefault="003D0620" w:rsidP="00116744">
            <w:pPr>
              <w:pStyle w:val="Tablesmalltext"/>
            </w:pPr>
            <w:r w:rsidRPr="003D0620">
              <w:t>Copies of regulatory guidance letter and attachment sent to DELWP in 2018 regarding, among other issues, myrtle wilt. We have not received a response to this request</w:t>
            </w:r>
          </w:p>
        </w:tc>
        <w:tc>
          <w:tcPr>
            <w:tcW w:w="2593" w:type="pct"/>
          </w:tcPr>
          <w:p w14:paraId="79A667D1" w14:textId="77777777" w:rsidR="00C40FB6" w:rsidRDefault="00E27286" w:rsidP="00116744">
            <w:pPr>
              <w:pStyle w:val="Tablesmalltext"/>
            </w:pPr>
            <w:r>
              <w:t xml:space="preserve">The content of the attachment is noted. </w:t>
            </w:r>
            <w:r w:rsidR="009F391E">
              <w:t xml:space="preserve">Nine coupes recorded non-conformances (without EI) with audit criterion 21.01. Each of the coupes had Myrtle Beech trees, but in only three (4 Black Widow, 14 Fairway and 17 Orca) were the trees in close proximity to harvesting or related activities (e.g. snig track crossing on 4 Black Widow). Regeneration burning on the other two coupes resulted in the death of at least one Myrtle Beech tree (multiple trees in the case of 14 Fairway). </w:t>
            </w:r>
          </w:p>
          <w:p w14:paraId="118B74BB" w14:textId="77777777" w:rsidR="009F391E" w:rsidRDefault="009F391E" w:rsidP="00116744">
            <w:pPr>
              <w:pStyle w:val="Tablesmalltext"/>
            </w:pPr>
            <w:r>
              <w:t>On further review, criterion 21.01 was considered by the auditors to create a compliance requirement that goes beyond MSP 4.5.1.2 for coupes in which Myrtle Beech trees are remote from timber harvesting activities or remain undamaged. Thus the assessment for seven of the nine coupes was changed to criterion 21.01 not being applicable.</w:t>
            </w:r>
          </w:p>
          <w:p w14:paraId="13469200" w14:textId="1ED2CA75" w:rsidR="009F391E" w:rsidRDefault="009F391E" w:rsidP="00116744">
            <w:pPr>
              <w:pStyle w:val="Tablesmalltext"/>
            </w:pPr>
            <w:r>
              <w:t>In the two coupes where Myrtle Beech trees were damaged, the auditors consider that the FCP should have documented (briefly) an assessment of risk</w:t>
            </w:r>
            <w:r w:rsidR="00E01CF7">
              <w:t xml:space="preserve"> from Myrtle Wilt, given know information about its prevalence. These coupes were assessed as non-conforming with no EI.</w:t>
            </w:r>
          </w:p>
          <w:p w14:paraId="0AFABF26" w14:textId="1E77CCED" w:rsidR="00E01CF7" w:rsidRDefault="00E01CF7" w:rsidP="00116744">
            <w:pPr>
              <w:pStyle w:val="Tablesmalltext"/>
            </w:pPr>
            <w:r>
              <w:t>As the trees were killed by fire/canopy scorch, 14 Fairway and 17 Orca were considered not to be non-conforming with 21.02.</w:t>
            </w:r>
          </w:p>
        </w:tc>
      </w:tr>
      <w:tr w:rsidR="00C40FB6" w14:paraId="2FDA917C" w14:textId="77777777" w:rsidTr="00054E16">
        <w:tc>
          <w:tcPr>
            <w:tcW w:w="892" w:type="pct"/>
          </w:tcPr>
          <w:p w14:paraId="0E56B643" w14:textId="4CC05632" w:rsidR="00C40FB6" w:rsidRDefault="00C40FB6" w:rsidP="00054E16">
            <w:pPr>
              <w:pStyle w:val="Tablesmalltext"/>
            </w:pPr>
            <w:r>
              <w:t>Additional comment #5</w:t>
            </w:r>
          </w:p>
        </w:tc>
        <w:tc>
          <w:tcPr>
            <w:tcW w:w="1515" w:type="pct"/>
          </w:tcPr>
          <w:p w14:paraId="2F9AF165" w14:textId="17BA088F" w:rsidR="00C40FB6" w:rsidRPr="00FF29A6" w:rsidRDefault="00C40FB6" w:rsidP="00116744">
            <w:pPr>
              <w:pStyle w:val="Tablesmalltext"/>
            </w:pPr>
            <w:r>
              <w:t>A</w:t>
            </w:r>
            <w:r w:rsidRPr="00C40FB6">
              <w:t xml:space="preserve"> comparison of </w:t>
            </w:r>
            <w:r>
              <w:t xml:space="preserve">respective MSP </w:t>
            </w:r>
            <w:r w:rsidRPr="00C40FB6">
              <w:t xml:space="preserve">and VicForests </w:t>
            </w:r>
            <w:r>
              <w:t xml:space="preserve">UP </w:t>
            </w:r>
            <w:r w:rsidRPr="00C40FB6">
              <w:t xml:space="preserve">prescriptions relating to </w:t>
            </w:r>
            <w:r w:rsidRPr="00C40FB6">
              <w:lastRenderedPageBreak/>
              <w:t>the ripping of snig tracks within 30</w:t>
            </w:r>
            <w:r>
              <w:t xml:space="preserve"> </w:t>
            </w:r>
            <w:r w:rsidRPr="00C40FB6">
              <w:t>m of a landing</w:t>
            </w:r>
            <w:r>
              <w:t xml:space="preserve"> are provided</w:t>
            </w:r>
            <w:r w:rsidRPr="00C40FB6">
              <w:t xml:space="preserve">. While there </w:t>
            </w:r>
            <w:r>
              <w:t xml:space="preserve">are </w:t>
            </w:r>
            <w:r w:rsidRPr="00C40FB6">
              <w:t>some wording difference</w:t>
            </w:r>
            <w:r>
              <w:t>s</w:t>
            </w:r>
            <w:r w:rsidRPr="00C40FB6">
              <w:t>, the intent and outcomes should be the same.</w:t>
            </w:r>
          </w:p>
        </w:tc>
        <w:tc>
          <w:tcPr>
            <w:tcW w:w="2593" w:type="pct"/>
          </w:tcPr>
          <w:p w14:paraId="4C7DD4FE" w14:textId="77777777" w:rsidR="003D0620" w:rsidRDefault="00861B24" w:rsidP="003D0620">
            <w:pPr>
              <w:pStyle w:val="Tablesmalltext"/>
            </w:pPr>
            <w:r>
              <w:lastRenderedPageBreak/>
              <w:t xml:space="preserve">The comment highlighted that the core issue is not landing definition, but whether then UPs direct contractors to rehabilitate “other areas” </w:t>
            </w:r>
            <w:r>
              <w:lastRenderedPageBreak/>
              <w:t xml:space="preserve">compacted by machinery, as per </w:t>
            </w:r>
            <w:r w:rsidR="00C40FB6">
              <w:t xml:space="preserve">MSP </w:t>
            </w:r>
            <w:r w:rsidR="00C40FB6" w:rsidRPr="00C40FB6">
              <w:t>7.2.2.6</w:t>
            </w:r>
            <w:r w:rsidR="00C40FB6">
              <w:t xml:space="preserve"> </w:t>
            </w:r>
            <w:r w:rsidR="00C40FB6" w:rsidRPr="00861B24">
              <w:rPr>
                <w:i/>
              </w:rPr>
              <w:t>Rip/cultivate any snig track, landing or other area where machinery has compacted the soil.  Ripping of snig tracks should be extended for at least 30 m from the landing</w:t>
            </w:r>
            <w:r w:rsidR="00C40FB6">
              <w:t xml:space="preserve">. </w:t>
            </w:r>
          </w:p>
          <w:p w14:paraId="662B8D5A" w14:textId="44EEBE7A" w:rsidR="00602994" w:rsidRDefault="00C40FB6" w:rsidP="003D0620">
            <w:pPr>
              <w:pStyle w:val="Tablesmalltext"/>
            </w:pPr>
            <w:r>
              <w:t>The corresponding UP prescription (</w:t>
            </w:r>
            <w:r w:rsidR="00602994">
              <w:t xml:space="preserve">10.3 e) </w:t>
            </w:r>
            <w:r w:rsidR="003D0620">
              <w:t xml:space="preserve">clearly requires ripping of snig tracks within 30 m of landings if they have been compacted. However, </w:t>
            </w:r>
            <w:r w:rsidR="00C87468">
              <w:t>that prescription (nor, according to further advice from VicForests, other relevant prescriptions)</w:t>
            </w:r>
            <w:r w:rsidR="003D0620">
              <w:t xml:space="preserve"> does not specifically mention “other areas” that have been compacted. </w:t>
            </w:r>
            <w:r w:rsidR="00C87468">
              <w:t xml:space="preserve">Recommendation V-08 (Draft A of audit report) has been modified to </w:t>
            </w:r>
            <w:r w:rsidR="003D0620">
              <w:t>recommend</w:t>
            </w:r>
            <w:r w:rsidR="00C87468">
              <w:t xml:space="preserve"> that</w:t>
            </w:r>
            <w:r w:rsidR="003D0620">
              <w:t xml:space="preserve"> VicForests UPs should be revised to address this point</w:t>
            </w:r>
            <w:r w:rsidR="00C87468">
              <w:t xml:space="preserve"> (now recommendation V-05).</w:t>
            </w:r>
          </w:p>
        </w:tc>
      </w:tr>
    </w:tbl>
    <w:p w14:paraId="09FE18A0" w14:textId="77777777" w:rsidR="00054E16" w:rsidRPr="00054E16" w:rsidRDefault="00054E16" w:rsidP="00054E16">
      <w:pPr>
        <w:pStyle w:val="Para0"/>
      </w:pPr>
    </w:p>
    <w:sectPr w:rsidR="00054E16" w:rsidRPr="00054E16" w:rsidSect="00032E15">
      <w:headerReference w:type="even" r:id="rId69"/>
      <w:headerReference w:type="default" r:id="rId70"/>
      <w:footerReference w:type="even" r:id="rId71"/>
      <w:footerReference w:type="default" r:id="rId72"/>
      <w:headerReference w:type="first" r:id="rId73"/>
      <w:footerReference w:type="first" r:id="rId74"/>
      <w:pgSz w:w="12240" w:h="15840" w:code="9"/>
      <w:pgMar w:top="567" w:right="851" w:bottom="851" w:left="1440" w:header="567" w:footer="369" w:gutter="0"/>
      <w:cols w:space="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641CC34" w14:textId="77777777" w:rsidR="006934A1" w:rsidRDefault="006934A1" w:rsidP="00EA3E55">
      <w:pPr>
        <w:spacing w:after="0" w:line="240" w:lineRule="auto"/>
      </w:pPr>
      <w:r>
        <w:separator/>
      </w:r>
    </w:p>
  </w:endnote>
  <w:endnote w:type="continuationSeparator" w:id="0">
    <w:p w14:paraId="3EFB8902" w14:textId="77777777" w:rsidR="006934A1" w:rsidRDefault="006934A1" w:rsidP="00EA3E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Jacobs Chronos">
    <w:charset w:val="00"/>
    <w:family w:val="swiss"/>
    <w:pitch w:val="variable"/>
    <w:sig w:usb0="A00000EF" w:usb1="0000E0EB" w:usb2="00000008" w:usb3="00000000" w:csb0="00000001" w:csb1="00000000"/>
    <w:embedRegular r:id="rId1" w:fontKey="{76B33CE2-3908-4006-96E2-54EEC1EB3795}"/>
    <w:embedBold r:id="rId2" w:fontKey="{249F3C0F-5B90-4B5B-AC28-50F6DD9223AA}"/>
    <w:embedItalic r:id="rId3" w:fontKey="{A610965B-1ED9-4B43-B9D5-C3F0CC3CBF94}"/>
    <w:embedBoldItalic r:id="rId4" w:fontKey="{64CA5E05-86F1-4592-A03E-2F4B0A647E50}"/>
  </w:font>
  <w:font w:name="Arial">
    <w:panose1 w:val="020B0604020202020204"/>
    <w:charset w:val="00"/>
    <w:family w:val="swiss"/>
    <w:pitch w:val="variable"/>
    <w:sig w:usb0="E0002EFF" w:usb1="C000785B" w:usb2="00000009" w:usb3="00000000" w:csb0="000001FF" w:csb1="00000000"/>
  </w:font>
  <w:font w:name="Jacobs Chronos Light">
    <w:charset w:val="00"/>
    <w:family w:val="swiss"/>
    <w:pitch w:val="variable"/>
    <w:sig w:usb0="A00000EF" w:usb1="0000E0EB" w:usb2="00000008" w:usb3="00000000" w:csb0="00000001" w:csb1="00000000"/>
    <w:embedRegular r:id="rId5" w:fontKey="{1155DC32-3310-4DC6-A03D-08CF7FD495C6}"/>
    <w:embedBold r:id="rId6" w:fontKey="{7D2B4C17-1CC0-46A1-B9C1-8E7741749C4A}"/>
  </w:font>
  <w:font w:name="SimSun">
    <w:altName w:val="宋体"/>
    <w:panose1 w:val="02010600030101010101"/>
    <w:charset w:val="86"/>
    <w:family w:val="auto"/>
    <w:pitch w:val="variable"/>
    <w:sig w:usb0="00000003" w:usb1="288F0000" w:usb2="00000016" w:usb3="00000000" w:csb0="00040001" w:csb1="00000000"/>
  </w:font>
  <w:font w:name="Angsana New">
    <w:panose1 w:val="02020603050405020304"/>
    <w:charset w:val="DE"/>
    <w:family w:val="roman"/>
    <w:pitch w:val="variable"/>
    <w:sig w:usb0="81000003" w:usb1="00000000" w:usb2="00000000" w:usb3="00000000" w:csb0="00010001" w:csb1="00000000"/>
  </w:font>
  <w:font w:name="SimHei">
    <w:altName w:val="黑体"/>
    <w:panose1 w:val="02010600030101010101"/>
    <w:charset w:val="86"/>
    <w:family w:val="modern"/>
    <w:pitch w:val="fixed"/>
    <w:sig w:usb0="800002BF" w:usb1="38CF7CFA" w:usb2="00000016" w:usb3="00000000" w:csb0="00040001" w:csb1="00000000"/>
  </w:font>
  <w:font w:name="Lucida Grande">
    <w:altName w:val="Arial"/>
    <w:charset w:val="00"/>
    <w:family w:val="auto"/>
    <w:pitch w:val="variable"/>
    <w:sig w:usb0="00000000"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Frutiger 45 Light">
    <w:charset w:val="00"/>
    <w:family w:val="auto"/>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embedRegular r:id="rId7" w:fontKey="{324E9B9F-FACA-4406-A96C-10BC83082AB8}"/>
    <w:embedBold r:id="rId8" w:fontKey="{3E066CB3-AC57-45FD-9EEE-3FAEBC67C1BF}"/>
  </w:font>
  <w:font w:name="ZWAdobeF">
    <w:panose1 w:val="00000000000000000000"/>
    <w:charset w:val="00"/>
    <w:family w:val="auto"/>
    <w:pitch w:val="variable"/>
    <w:sig w:usb0="20002A87" w:usb1="00000000" w:usb2="00000000" w:usb3="00000000" w:csb0="000001FF" w:csb1="00000000"/>
    <w:embedRegular r:id="rId9" w:subsetted="1" w:fontKey="{889B45BA-DFCC-4A01-B099-A715AC5671A5}"/>
  </w:font>
  <w:font w:name="Cambria Math">
    <w:panose1 w:val="02040503050406030204"/>
    <w:charset w:val="00"/>
    <w:family w:val="roman"/>
    <w:pitch w:val="variable"/>
    <w:sig w:usb0="E00006FF" w:usb1="420024FF" w:usb2="02000000" w:usb3="00000000" w:csb0="0000019F" w:csb1="00000000"/>
    <w:embedRegular r:id="rId10" w:fontKey="{F4DEDD5B-DBCA-48C0-B446-3F96261763A6}"/>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AF9FCA" w14:textId="77777777" w:rsidR="009F391E" w:rsidRPr="00ED21BF" w:rsidRDefault="009F391E" w:rsidP="00D61A6B">
    <w:pPr>
      <w:pStyle w:val="Footer"/>
      <w:rPr>
        <w:lang w:val="en-GB"/>
      </w:rPr>
    </w:pPr>
  </w:p>
  <w:p w14:paraId="7791B45D" w14:textId="68BF2CBC" w:rsidR="009F391E" w:rsidRPr="00ED21BF" w:rsidRDefault="009F391E" w:rsidP="00D61A6B">
    <w:pPr>
      <w:pStyle w:val="Footer"/>
      <w:rPr>
        <w:b/>
        <w:lang w:val="en-GB"/>
      </w:rPr>
    </w:pPr>
    <w:r w:rsidRPr="00ED21BF">
      <w:rPr>
        <w:b/>
        <w:lang w:val="en-GB"/>
      </w:rPr>
      <w:fldChar w:fldCharType="begin"/>
    </w:r>
    <w:r w:rsidRPr="00ED21BF">
      <w:rPr>
        <w:lang w:val="en-GB"/>
      </w:rPr>
      <w:instrText xml:space="preserve"> PAGE   \* MERGEFORMAT </w:instrText>
    </w:r>
    <w:r w:rsidRPr="00ED21BF">
      <w:rPr>
        <w:b/>
        <w:lang w:val="en-GB"/>
      </w:rPr>
      <w:fldChar w:fldCharType="separate"/>
    </w:r>
    <w:r w:rsidRPr="00ED21BF">
      <w:rPr>
        <w:b/>
        <w:lang w:val="en-GB"/>
      </w:rPr>
      <w:t>ii</w:t>
    </w:r>
    <w:r w:rsidRPr="00ED21BF">
      <w:fldChar w:fldCharType="end"/>
    </w:r>
    <w:r w:rsidRPr="00ED21BF">
      <w:rPr>
        <w:lang w:val="en-GB"/>
      </w:rPr>
      <w:tab/>
    </w:r>
    <w:r w:rsidRPr="00ED21BF">
      <w:rPr>
        <w:lang w:val="en-GB"/>
      </w:rPr>
      <w:fldChar w:fldCharType="begin"/>
    </w:r>
    <w:r w:rsidRPr="00ED21BF">
      <w:rPr>
        <w:lang w:val="en-GB"/>
      </w:rPr>
      <w:instrText xml:space="preserve"> DOCPROPERTY  "Document Number"  \* MERGEFORMAT </w:instrText>
    </w:r>
    <w:r w:rsidRPr="00ED21BF">
      <w:rPr>
        <w:lang w:val="en-GB"/>
      </w:rPr>
      <w:fldChar w:fldCharType="separate"/>
    </w:r>
    <w:r w:rsidR="007E0985">
      <w:rPr>
        <w:lang w:val="en-GB"/>
      </w:rPr>
      <w:t>IS284400-RP-002</w:t>
    </w:r>
    <w:r w:rsidRPr="00ED21BF">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EC0A1B" w14:textId="77777777" w:rsidR="009F391E" w:rsidRDefault="009F391E" w:rsidP="00BA5BE3">
    <w:pPr>
      <w:pStyle w:val="Footer"/>
    </w:pPr>
  </w:p>
  <w:p w14:paraId="024C6DF4" w14:textId="5E0BAB6A" w:rsidR="009F391E" w:rsidRPr="001A5FC3" w:rsidRDefault="0013561C" w:rsidP="00324783">
    <w:pPr>
      <w:pStyle w:val="Footer"/>
      <w:rPr>
        <w:b/>
      </w:rPr>
    </w:pPr>
    <w:r>
      <w:fldChar w:fldCharType="begin"/>
    </w:r>
    <w:r>
      <w:instrText xml:space="preserve"> DOCPROPERTY  "Document Number"  \* MERGEFORMAT </w:instrText>
    </w:r>
    <w:r>
      <w:fldChar w:fldCharType="separate"/>
    </w:r>
    <w:r w:rsidR="007E0985">
      <w:t>IS284400-RP-002</w:t>
    </w:r>
    <w:r>
      <w:fldChar w:fldCharType="end"/>
    </w:r>
    <w:r w:rsidR="009F391E" w:rsidRPr="00637CBB">
      <w:tab/>
    </w:r>
    <w:r w:rsidR="009F391E" w:rsidRPr="00637CBB">
      <w:rPr>
        <w:b/>
      </w:rPr>
      <w:fldChar w:fldCharType="begin"/>
    </w:r>
    <w:r w:rsidR="009F391E" w:rsidRPr="00637CBB">
      <w:instrText xml:space="preserve"> PAGE   \* MERGEFORMAT </w:instrText>
    </w:r>
    <w:r w:rsidR="009F391E" w:rsidRPr="00637CBB">
      <w:rPr>
        <w:b/>
      </w:rPr>
      <w:fldChar w:fldCharType="separate"/>
    </w:r>
    <w:r w:rsidR="009F391E">
      <w:rPr>
        <w:noProof/>
      </w:rPr>
      <w:t>8</w:t>
    </w:r>
    <w:r w:rsidR="009F391E" w:rsidRPr="00637CBB">
      <w:rPr>
        <w:b/>
        <w:noProof/>
      </w:rPr>
      <w:fldChar w:fldCharType="end"/>
    </w:r>
  </w:p>
  <w:p w14:paraId="4922C956" w14:textId="77777777" w:rsidR="009F391E" w:rsidRDefault="009F391E"/>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5C7E15" w14:textId="71CA8533" w:rsidR="009F391E" w:rsidRPr="001A5FC3" w:rsidRDefault="0013561C" w:rsidP="00D61A6B">
    <w:pPr>
      <w:pStyle w:val="Footer"/>
      <w:rPr>
        <w:b/>
      </w:rPr>
    </w:pPr>
    <w:r>
      <w:fldChar w:fldCharType="begin"/>
    </w:r>
    <w:r>
      <w:instrText xml:space="preserve"> DOCPROPERTY  "Document Number"  \* MERGEFORMAT </w:instrText>
    </w:r>
    <w:r>
      <w:fldChar w:fldCharType="separate"/>
    </w:r>
    <w:r w:rsidR="007E0985">
      <w:t>IS284400-RP-002</w:t>
    </w:r>
    <w:r>
      <w:fldChar w:fldCharType="end"/>
    </w:r>
    <w:r w:rsidR="009F391E" w:rsidRPr="001A5FC3">
      <w:tab/>
    </w:r>
    <w:r w:rsidR="009F391E">
      <w:rPr>
        <w:b/>
      </w:rPr>
      <w:fldChar w:fldCharType="begin"/>
    </w:r>
    <w:r w:rsidR="009F391E">
      <w:instrText xml:space="preserve"> PAGE  \* Arabic  \* MERGEFORMAT </w:instrText>
    </w:r>
    <w:r w:rsidR="009F391E">
      <w:rPr>
        <w:b/>
      </w:rPr>
      <w:fldChar w:fldCharType="separate"/>
    </w:r>
    <w:r w:rsidR="009F391E">
      <w:rPr>
        <w:noProof/>
      </w:rPr>
      <w:t>1</w:t>
    </w:r>
    <w:r w:rsidR="009F391E">
      <w:rPr>
        <w:b/>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6284FD" w14:textId="77777777" w:rsidR="009F391E" w:rsidRDefault="009F391E">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3E01C2" w14:textId="77777777" w:rsidR="009F391E" w:rsidRDefault="009F391E" w:rsidP="00515948">
    <w:pPr>
      <w:pStyle w:val="Footer"/>
    </w:pPr>
  </w:p>
  <w:p w14:paraId="12D62EA5" w14:textId="3E6A61D0" w:rsidR="009F391E" w:rsidRPr="001329A5" w:rsidRDefault="0013561C" w:rsidP="00515948">
    <w:pPr>
      <w:pStyle w:val="Footer"/>
      <w:rPr>
        <w:b/>
      </w:rPr>
    </w:pPr>
    <w:r>
      <w:fldChar w:fldCharType="begin"/>
    </w:r>
    <w:r>
      <w:instrText xml:space="preserve"> DOCPROPERTY  "Document Number"  \* MERGEFORMAT </w:instrText>
    </w:r>
    <w:r>
      <w:fldChar w:fldCharType="separate"/>
    </w:r>
    <w:r w:rsidR="007E0985">
      <w:t>IS284400-RP-002</w:t>
    </w:r>
    <w: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DD772B" w14:textId="3D659D87" w:rsidR="009F391E" w:rsidRPr="00E76686" w:rsidRDefault="0013561C">
    <w:pPr>
      <w:pStyle w:val="Footer"/>
      <w:rPr>
        <w:b/>
      </w:rPr>
    </w:pPr>
    <w:r>
      <w:fldChar w:fldCharType="begin"/>
    </w:r>
    <w:r>
      <w:instrText xml:space="preserve"> DOCPROPERTY  "Document Number"  \* MERGEFORMAT </w:instrText>
    </w:r>
    <w:r>
      <w:fldChar w:fldCharType="separate"/>
    </w:r>
    <w:r w:rsidR="007E0985">
      <w:t>IS284400-RP-002</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951BB1" w14:textId="582A90E9" w:rsidR="009F391E" w:rsidRPr="005A71A8" w:rsidRDefault="005732AF" w:rsidP="00D61A6B">
    <w:pPr>
      <w:pStyle w:val="Para0"/>
      <w:spacing w:before="0" w:after="0"/>
      <w:rPr>
        <w:sz w:val="4"/>
        <w:szCs w:val="4"/>
      </w:rPr>
    </w:pPr>
    <w:r>
      <w:rPr>
        <w:noProof/>
        <w:sz w:val="4"/>
        <w:szCs w:val="4"/>
      </w:rPr>
      <mc:AlternateContent>
        <mc:Choice Requires="wps">
          <w:drawing>
            <wp:anchor distT="0" distB="0" distL="114300" distR="114300" simplePos="0" relativeHeight="251692543" behindDoc="0" locked="0" layoutInCell="0" allowOverlap="1" wp14:anchorId="74060E56" wp14:editId="797C028E">
              <wp:simplePos x="0" y="0"/>
              <wp:positionH relativeFrom="page">
                <wp:align>center</wp:align>
              </wp:positionH>
              <wp:positionV relativeFrom="page">
                <wp:align>bottom</wp:align>
              </wp:positionV>
              <wp:extent cx="7772400" cy="463550"/>
              <wp:effectExtent l="0" t="0" r="0" b="12700"/>
              <wp:wrapNone/>
              <wp:docPr id="26" name="MSIPCM3e0c44f98ee8fa39ecb705e4" descr="{&quot;HashCode&quot;:-1264680268,&quot;Height&quot;:9999999.0,&quot;Width&quot;:9999999.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1983EFAD" w14:textId="4576CF2F"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4060E56" id="_x0000_t202" coordsize="21600,21600" o:spt="202" path="m,l,21600r21600,l21600,xe">
              <v:stroke joinstyle="miter"/>
              <v:path gradientshapeok="t" o:connecttype="rect"/>
            </v:shapetype>
            <v:shape id="MSIPCM3e0c44f98ee8fa39ecb705e4" o:spid="_x0000_s1027" type="#_x0000_t202" alt="{&quot;HashCode&quot;:-1264680268,&quot;Height&quot;:9999999.0,&quot;Width&quot;:9999999.0,&quot;Placement&quot;:&quot;Footer&quot;,&quot;Index&quot;:&quot;Primary&quot;,&quot;Section&quot;:1,&quot;Top&quot;:0.0,&quot;Left&quot;:0.0}" style="position:absolute;margin-left:0;margin-top:0;width:612pt;height:36.5pt;z-index:251692543;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" o:allowincell="f" filled="f" stroked="f" strokeweight=".5pt">
              <v:fill o:detectmouseclick="t"/>
              <v:textbox inset=",0,,0">
                <w:txbxContent>
                  <w:p w14:paraId="1983EFAD" w14:textId="4576CF2F"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4A7F4E" w14:textId="42E1CF06" w:rsidR="009F391E" w:rsidRPr="00741560" w:rsidRDefault="005732AF" w:rsidP="00D61A6B">
    <w:pPr>
      <w:pStyle w:val="Footer"/>
    </w:pPr>
    <w:r>
      <w:rPr>
        <w:noProof/>
      </w:rPr>
      <mc:AlternateContent>
        <mc:Choice Requires="wps">
          <w:drawing>
            <wp:anchor distT="0" distB="0" distL="114300" distR="114300" simplePos="0" relativeHeight="251692799" behindDoc="0" locked="0" layoutInCell="0" allowOverlap="1" wp14:anchorId="6BCFF0B2" wp14:editId="21CD8D88">
              <wp:simplePos x="0" y="0"/>
              <wp:positionH relativeFrom="page">
                <wp:align>center</wp:align>
              </wp:positionH>
              <wp:positionV relativeFrom="page">
                <wp:align>bottom</wp:align>
              </wp:positionV>
              <wp:extent cx="7772400" cy="463550"/>
              <wp:effectExtent l="0" t="0" r="0" b="12700"/>
              <wp:wrapNone/>
              <wp:docPr id="31" name="MSIPCM29504ef0943bdb84f3f4de8d" descr="{&quot;HashCode&quot;:-1264680268,&quot;Height&quot;:9999999.0,&quot;Width&quot;:9999999.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32FE9710" w14:textId="3DAB1749"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6BCFF0B2" id="_x0000_t202" coordsize="21600,21600" o:spt="202" path="m,l,21600r21600,l21600,xe">
              <v:stroke joinstyle="miter"/>
              <v:path gradientshapeok="t" o:connecttype="rect"/>
            </v:shapetype>
            <v:shape id="MSIPCM29504ef0943bdb84f3f4de8d" o:spid="_x0000_s1028" type="#_x0000_t202" alt="{&quot;HashCode&quot;:-1264680268,&quot;Height&quot;:9999999.0,&quot;Width&quot;:9999999.0,&quot;Placement&quot;:&quot;Footer&quot;,&quot;Index&quot;:&quot;Primary&quot;,&quot;Section&quot;:2,&quot;Top&quot;:0.0,&quot;Left&quot;:0.0}" style="position:absolute;left:0;text-align:left;margin-left:0;margin-top:0;width:612pt;height:36.5pt;z-index:251692799;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" o:allowincell="f" filled="f" stroked="f" strokeweight=".5pt">
              <v:fill o:detectmouseclick="t"/>
              <v:textbox inset=",0,,0">
                <w:txbxContent>
                  <w:p w14:paraId="32FE9710" w14:textId="3DAB1749"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v:textbox>
              <w10:wrap anchorx="page" anchory="page"/>
            </v:shape>
          </w:pict>
        </mc:Fallback>
      </mc:AlternateContent>
    </w:r>
  </w:p>
  <w:p w14:paraId="0602932E" w14:textId="1638F98E" w:rsidR="009F391E" w:rsidRPr="001A5FC3" w:rsidRDefault="0013561C" w:rsidP="00BA5BE3">
    <w:pPr>
      <w:pStyle w:val="Footer"/>
      <w:rPr>
        <w:b/>
      </w:rPr>
    </w:pPr>
    <w:r>
      <w:fldChar w:fldCharType="begin"/>
    </w:r>
    <w:r>
      <w:instrText xml:space="preserve"> DOCPROPERTY  "Document Number"  \* MERGEFORMAT </w:instrText>
    </w:r>
    <w:r>
      <w:fldChar w:fldCharType="separate"/>
    </w:r>
    <w:r w:rsidR="007E0985">
      <w:t>IS284400-RP-002</w:t>
    </w:r>
    <w:r>
      <w:fldChar w:fldCharType="end"/>
    </w:r>
    <w:r w:rsidR="009F391E" w:rsidRPr="00741560">
      <w:tab/>
    </w:r>
    <w:r w:rsidR="009F391E" w:rsidRPr="00741560">
      <w:fldChar w:fldCharType="begin"/>
    </w:r>
    <w:r w:rsidR="009F391E" w:rsidRPr="00741560">
      <w:instrText xml:space="preserve"> PAGE  \* roman  \* MERGEFORMAT </w:instrText>
    </w:r>
    <w:r w:rsidR="009F391E" w:rsidRPr="00741560">
      <w:fldChar w:fldCharType="separate"/>
    </w:r>
    <w:r w:rsidR="009F391E" w:rsidRPr="00741560">
      <w:t>v</w:t>
    </w:r>
    <w:r w:rsidR="009F391E" w:rsidRPr="00741560">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3528D" w14:textId="2E7B6A4B" w:rsidR="009F391E" w:rsidRPr="001A5FC3" w:rsidRDefault="0013561C" w:rsidP="00D61A6B">
    <w:pPr>
      <w:pStyle w:val="Footer"/>
      <w:rPr>
        <w:b/>
      </w:rPr>
    </w:pPr>
    <w:r>
      <w:fldChar w:fldCharType="begin"/>
    </w:r>
    <w:r>
      <w:instrText xml:space="preserve"> DOCPROPERTY  "Document Number"  \* MERGEFORMAT </w:instrText>
    </w:r>
    <w:r>
      <w:fldChar w:fldCharType="separate"/>
    </w:r>
    <w:r w:rsidR="007E0985">
      <w:t>IS284400-RP-002</w:t>
    </w:r>
    <w:r>
      <w:fldChar w:fldCharType="end"/>
    </w:r>
    <w:r w:rsidR="009F391E" w:rsidRPr="001A5FC3">
      <w:tab/>
    </w:r>
    <w:r w:rsidR="009F391E" w:rsidRPr="001A5FC3">
      <w:rPr>
        <w:b/>
      </w:rPr>
      <w:fldChar w:fldCharType="begin"/>
    </w:r>
    <w:r w:rsidR="009F391E" w:rsidRPr="001A5FC3">
      <w:instrText xml:space="preserve"> PAGE  \* roman  \* MERGEFORMAT </w:instrText>
    </w:r>
    <w:r w:rsidR="009F391E" w:rsidRPr="001A5FC3">
      <w:rPr>
        <w:b/>
      </w:rPr>
      <w:fldChar w:fldCharType="separate"/>
    </w:r>
    <w:r w:rsidR="009F391E">
      <w:rPr>
        <w:noProof/>
      </w:rPr>
      <w:t>i</w:t>
    </w:r>
    <w:r w:rsidR="009F391E" w:rsidRPr="001A5FC3">
      <w:rPr>
        <w:b/>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6EE603" w14:textId="0369618D" w:rsidR="009F391E" w:rsidRDefault="005732AF" w:rsidP="00BA5BE3">
    <w:pPr>
      <w:pStyle w:val="Footer"/>
    </w:pPr>
    <w:r>
      <w:rPr>
        <w:noProof/>
      </w:rPr>
      <mc:AlternateContent>
        <mc:Choice Requires="wps">
          <w:drawing>
            <wp:anchor distT="0" distB="0" distL="114300" distR="114300" simplePos="0" relativeHeight="251694591" behindDoc="0" locked="0" layoutInCell="0" allowOverlap="1" wp14:anchorId="7CD000C3" wp14:editId="0A1A6F16">
              <wp:simplePos x="0" y="0"/>
              <wp:positionH relativeFrom="page">
                <wp:align>center</wp:align>
              </wp:positionH>
              <wp:positionV relativeFrom="page">
                <wp:align>bottom</wp:align>
              </wp:positionV>
              <wp:extent cx="7772400" cy="463550"/>
              <wp:effectExtent l="0" t="0" r="0" b="12700"/>
              <wp:wrapNone/>
              <wp:docPr id="32" name="MSIPCM380448abab15a9de5352910e" descr="{&quot;HashCode&quot;:-1264680268,&quot;Height&quot;:9999999.0,&quot;Width&quot;:9999999.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7A1A0A5D" w14:textId="40F9B1AC"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7CD000C3" id="_x0000_t202" coordsize="21600,21600" o:spt="202" path="m,l,21600r21600,l21600,xe">
              <v:stroke joinstyle="miter"/>
              <v:path gradientshapeok="t" o:connecttype="rect"/>
            </v:shapetype>
            <v:shape id="MSIPCM380448abab15a9de5352910e" o:spid="_x0000_s1029" type="#_x0000_t202" alt="{&quot;HashCode&quot;:-1264680268,&quot;Height&quot;:9999999.0,&quot;Width&quot;:9999999.0,&quot;Placement&quot;:&quot;Footer&quot;,&quot;Index&quot;:&quot;Primary&quot;,&quot;Section&quot;:3,&quot;Top&quot;:0.0,&quot;Left&quot;:0.0}" style="position:absolute;left:0;text-align:left;margin-left:0;margin-top:0;width:612pt;height:36.5pt;z-index:251694591;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" o:allowincell="f" filled="f" stroked="f" strokeweight=".5pt">
              <v:fill o:detectmouseclick="t"/>
              <v:textbox inset=",0,,0">
                <w:txbxContent>
                  <w:p w14:paraId="7A1A0A5D" w14:textId="40F9B1AC"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v:textbox>
              <w10:wrap anchorx="page" anchory="page"/>
            </v:shape>
          </w:pict>
        </mc:Fallback>
      </mc:AlternateContent>
    </w:r>
  </w:p>
  <w:p w14:paraId="267AD0BE" w14:textId="6CA2E755" w:rsidR="009F391E" w:rsidRPr="001A5FC3" w:rsidRDefault="0013561C" w:rsidP="00324783">
    <w:pPr>
      <w:pStyle w:val="Footer"/>
      <w:rPr>
        <w:b/>
      </w:rPr>
    </w:pPr>
    <w:r>
      <w:fldChar w:fldCharType="begin"/>
    </w:r>
    <w:r>
      <w:instrText xml:space="preserve"> DOCPROPERTY  "Document Number"  \* MERGEFORMAT </w:instrText>
    </w:r>
    <w:r>
      <w:fldChar w:fldCharType="separate"/>
    </w:r>
    <w:r w:rsidR="007E0985">
      <w:t>IS284400-RP-002</w:t>
    </w:r>
    <w:r>
      <w:fldChar w:fldCharType="end"/>
    </w:r>
    <w:r w:rsidR="009F391E" w:rsidRPr="00637CBB">
      <w:tab/>
    </w:r>
    <w:r w:rsidR="009F391E" w:rsidRPr="002D6085">
      <w:fldChar w:fldCharType="begin"/>
    </w:r>
    <w:r w:rsidR="009F391E" w:rsidRPr="002D6085">
      <w:instrText xml:space="preserve"> PAGE  \* roman  \* MERGEFORMAT </w:instrText>
    </w:r>
    <w:r w:rsidR="009F391E" w:rsidRPr="002D6085">
      <w:fldChar w:fldCharType="separate"/>
    </w:r>
    <w:r w:rsidR="009F391E">
      <w:rPr>
        <w:noProof/>
      </w:rPr>
      <w:t>viii</w:t>
    </w:r>
    <w:r w:rsidR="009F391E" w:rsidRPr="002D6085">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15E69D" w14:textId="2B5228C3" w:rsidR="009F391E" w:rsidRPr="001A5FC3" w:rsidRDefault="0013561C" w:rsidP="00D61A6B">
    <w:pPr>
      <w:pStyle w:val="Footer"/>
      <w:rPr>
        <w:b/>
      </w:rPr>
    </w:pPr>
    <w:r>
      <w:fldChar w:fldCharType="begin"/>
    </w:r>
    <w:r>
      <w:instrText xml:space="preserve"> DOCPROPERTY  "Document Number"  \* MERGEFORMAT </w:instrText>
    </w:r>
    <w:r>
      <w:fldChar w:fldCharType="separate"/>
    </w:r>
    <w:r w:rsidR="007E0985">
      <w:t>IS284400-RP-002</w:t>
    </w:r>
    <w:r>
      <w:fldChar w:fldCharType="end"/>
    </w:r>
    <w:r w:rsidR="009F391E" w:rsidRPr="001A5FC3">
      <w:tab/>
    </w:r>
    <w:r w:rsidR="009F391E">
      <w:rPr>
        <w:b/>
      </w:rPr>
      <w:fldChar w:fldCharType="begin"/>
    </w:r>
    <w:r w:rsidR="009F391E">
      <w:instrText xml:space="preserve"> PAGE  \* Arabic  \* MERGEFORMAT </w:instrText>
    </w:r>
    <w:r w:rsidR="009F391E">
      <w:rPr>
        <w:b/>
      </w:rPr>
      <w:fldChar w:fldCharType="separate"/>
    </w:r>
    <w:r w:rsidR="009F391E">
      <w:rPr>
        <w:noProof/>
      </w:rPr>
      <w:t>1</w:t>
    </w:r>
    <w:r w:rsidR="009F391E">
      <w:rPr>
        <w:b/>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DE9AEE" w14:textId="1B4C386D" w:rsidR="009F391E" w:rsidRDefault="005732AF" w:rsidP="00BA5BE3">
    <w:pPr>
      <w:pStyle w:val="Footer"/>
    </w:pPr>
    <w:r>
      <w:rPr>
        <w:noProof/>
      </w:rPr>
      <mc:AlternateContent>
        <mc:Choice Requires="wps">
          <w:drawing>
            <wp:anchor distT="0" distB="0" distL="114300" distR="114300" simplePos="0" relativeHeight="251694847" behindDoc="0" locked="0" layoutInCell="0" allowOverlap="1" wp14:anchorId="561D60B3" wp14:editId="509F185E">
              <wp:simplePos x="0" y="0"/>
              <wp:positionH relativeFrom="page">
                <wp:align>center</wp:align>
              </wp:positionH>
              <wp:positionV relativeFrom="page">
                <wp:align>bottom</wp:align>
              </wp:positionV>
              <wp:extent cx="7772400" cy="463550"/>
              <wp:effectExtent l="0" t="0" r="0" b="12700"/>
              <wp:wrapNone/>
              <wp:docPr id="33" name="MSIPCMc00941d9872511e2a14ec31e" descr="{&quot;HashCode&quot;:-1264680268,&quot;Height&quot;:9999999.0,&quot;Width&quot;:9999999.0,&quot;Placement&quot;:&quot;Footer&quot;,&quot;Index&quot;:&quot;Primary&quot;,&quot;Section&quot;:4,&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0331E04A" w14:textId="36E82A60"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561D60B3" id="_x0000_t202" coordsize="21600,21600" o:spt="202" path="m,l,21600r21600,l21600,xe">
              <v:stroke joinstyle="miter"/>
              <v:path gradientshapeok="t" o:connecttype="rect"/>
            </v:shapetype>
            <v:shape id="MSIPCMc00941d9872511e2a14ec31e" o:spid="_x0000_s1030" type="#_x0000_t202" alt="{&quot;HashCode&quot;:-1264680268,&quot;Height&quot;:9999999.0,&quot;Width&quot;:9999999.0,&quot;Placement&quot;:&quot;Footer&quot;,&quot;Index&quot;:&quot;Primary&quot;,&quot;Section&quot;:4,&quot;Top&quot;:0.0,&quot;Left&quot;:0.0}" style="position:absolute;left:0;text-align:left;margin-left:0;margin-top:0;width:612pt;height:36.5pt;z-index:251694847;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" o:allowincell="f" filled="f" stroked="f" strokeweight=".5pt">
              <v:fill o:detectmouseclick="t"/>
              <v:textbox inset=",0,,0">
                <w:txbxContent>
                  <w:p w14:paraId="0331E04A" w14:textId="36E82A60"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v:textbox>
              <w10:wrap anchorx="page" anchory="page"/>
            </v:shape>
          </w:pict>
        </mc:Fallback>
      </mc:AlternateContent>
    </w:r>
  </w:p>
  <w:p w14:paraId="3FEA7D7E" w14:textId="35B731C1" w:rsidR="009F391E" w:rsidRPr="001A5FC3" w:rsidRDefault="0013561C" w:rsidP="00324783">
    <w:pPr>
      <w:pStyle w:val="Footer"/>
      <w:rPr>
        <w:b/>
      </w:rPr>
    </w:pPr>
    <w:r>
      <w:fldChar w:fldCharType="begin"/>
    </w:r>
    <w:r>
      <w:instrText xml:space="preserve"> DOCPROPERTY  "Document Number"  \* MERGEFORMAT </w:instrText>
    </w:r>
    <w:r>
      <w:fldChar w:fldCharType="separate"/>
    </w:r>
    <w:r w:rsidR="007E0985">
      <w:t>IS284400-RP-002</w:t>
    </w:r>
    <w:r>
      <w:fldChar w:fldCharType="end"/>
    </w:r>
    <w:r w:rsidR="009F391E" w:rsidRPr="00637CBB">
      <w:tab/>
    </w:r>
    <w:r w:rsidR="009F391E" w:rsidRPr="00637CBB">
      <w:rPr>
        <w:b/>
      </w:rPr>
      <w:fldChar w:fldCharType="begin"/>
    </w:r>
    <w:r w:rsidR="009F391E" w:rsidRPr="00637CBB">
      <w:instrText xml:space="preserve"> PAGE   \* MERGEFORMAT </w:instrText>
    </w:r>
    <w:r w:rsidR="009F391E" w:rsidRPr="00637CBB">
      <w:rPr>
        <w:b/>
      </w:rPr>
      <w:fldChar w:fldCharType="separate"/>
    </w:r>
    <w:r w:rsidR="009F391E">
      <w:rPr>
        <w:noProof/>
      </w:rPr>
      <w:t>8</w:t>
    </w:r>
    <w:r w:rsidR="009F391E" w:rsidRPr="00637CBB">
      <w:rPr>
        <w:b/>
        <w:noProof/>
      </w:rPr>
      <w:fldChar w:fldCharType="end"/>
    </w:r>
  </w:p>
  <w:p w14:paraId="21DD2D3B" w14:textId="77777777" w:rsidR="009F391E" w:rsidRDefault="009F391E"/>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EB4F72" w14:textId="6C4E2C98" w:rsidR="009F391E" w:rsidRPr="00BA44E6" w:rsidRDefault="005732AF" w:rsidP="0036050D">
    <w:pPr>
      <w:pStyle w:val="Footer"/>
      <w:tabs>
        <w:tab w:val="clear" w:pos="13748"/>
        <w:tab w:val="right" w:pos="13750"/>
      </w:tabs>
      <w:ind w:right="108"/>
      <w:rPr>
        <w:b/>
      </w:rPr>
    </w:pPr>
    <w:r>
      <w:rPr>
        <w:noProof/>
      </w:rPr>
      <mc:AlternateContent>
        <mc:Choice Requires="wps">
          <w:drawing>
            <wp:anchor distT="0" distB="0" distL="114300" distR="114300" simplePos="0" relativeHeight="251695104" behindDoc="0" locked="0" layoutInCell="0" allowOverlap="1" wp14:anchorId="182E0765" wp14:editId="368545F6">
              <wp:simplePos x="0" y="0"/>
              <wp:positionH relativeFrom="page">
                <wp:align>center</wp:align>
              </wp:positionH>
              <wp:positionV relativeFrom="page">
                <wp:align>bottom</wp:align>
              </wp:positionV>
              <wp:extent cx="7772400" cy="463550"/>
              <wp:effectExtent l="0" t="0" r="0" b="12700"/>
              <wp:wrapNone/>
              <wp:docPr id="36" name="MSIPCM791a4824bdfca72b91a0eedb" descr="{&quot;HashCode&quot;:-1264680268,&quot;Height&quot;:9999999.0,&quot;Width&quot;:9999999.0,&quot;Placement&quot;:&quot;Footer&quot;,&quot;Index&quot;:&quot;Primary&quot;,&quot;Section&quot;:5,&quot;Top&quot;:0.0,&quot;Left&quot;:0.0}"/>
              <wp:cNvGraphicFramePr/>
              <a:graphic xmlns:a="http://schemas.openxmlformats.org/drawingml/2006/main">
                <a:graphicData uri="http://schemas.microsoft.com/office/word/2010/wordprocessingShape">
                  <wps:wsp>
                    <wps:cNvSpPr txBox="1"/>
                    <wps:spPr>
                      <a:xfrm>
                        <a:off x="0" y="0"/>
                        <a:ext cx="7772400" cy="46355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232A149C" w14:textId="2733E583"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anchor>
          </w:drawing>
        </mc:Choice>
        <mc:Fallback>
          <w:pict>
            <v:shapetype w14:anchorId="182E0765" id="_x0000_t202" coordsize="21600,21600" o:spt="202" path="m,l,21600r21600,l21600,xe">
              <v:stroke joinstyle="miter"/>
              <v:path gradientshapeok="t" o:connecttype="rect"/>
            </v:shapetype>
            <v:shape id="MSIPCM791a4824bdfca72b91a0eedb" o:spid="_x0000_s1031" type="#_x0000_t202" alt="{&quot;HashCode&quot;:-1264680268,&quot;Height&quot;:9999999.0,&quot;Width&quot;:9999999.0,&quot;Placement&quot;:&quot;Footer&quot;,&quot;Index&quot;:&quot;Primary&quot;,&quot;Section&quot;:5,&quot;Top&quot;:0.0,&quot;Left&quot;:0.0}" style="position:absolute;left:0;text-align:left;margin-left:0;margin-top:0;width:612pt;height:36.5pt;z-index:251695104;visibility:visible;mso-wrap-style:square;mso-wrap-distance-left:9pt;mso-wrap-distance-top:0;mso-wrap-distance-right:9pt;mso-wrap-distance-bottom:0;mso-position-horizontal:center;mso-position-horizontal-relative:page;mso-position-vertical:bottom;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" o:allowincell="f" filled="f" stroked="f" strokeweight=".5pt">
              <v:fill o:detectmouseclick="t"/>
              <v:textbox inset=",0,,0">
                <w:txbxContent>
                  <w:p w14:paraId="232A149C" w14:textId="2733E583" w:rsidR="005732AF" w:rsidRPr="005732AF" w:rsidRDefault="005732AF" w:rsidP="005732AF">
                    <w:pPr>
                      <w:spacing w:after="0"/>
                      <w:jc w:val="center"/>
                      <w:rPr>
                        <w:rFonts w:ascii="Calibri" w:hAnsi="Calibri" w:cs="Calibri"/>
                        <w:color w:val="000000"/>
                        <w:sz w:val="24"/>
                      </w:rPr>
                    </w:pPr>
                    <w:r w:rsidRPr="005732AF">
                      <w:rPr>
                        <w:rFonts w:ascii="Calibri" w:hAnsi="Calibri" w:cs="Calibri"/>
                        <w:color w:val="000000"/>
                        <w:sz w:val="24"/>
                      </w:rPr>
                      <w:t>OFFICIAL</w:t>
                    </w:r>
                  </w:p>
                </w:txbxContent>
              </v:textbox>
              <w10:wrap anchorx="page" anchory="page"/>
            </v:shape>
          </w:pict>
        </mc:Fallback>
      </mc:AlternateContent>
    </w:r>
    <w:r w:rsidR="0013561C">
      <w:fldChar w:fldCharType="begin"/>
    </w:r>
    <w:r w:rsidR="0013561C">
      <w:instrText xml:space="preserve"> DOCPROPERTY  "Document Number"  \* MERGEFORMAT </w:instrText>
    </w:r>
    <w:r w:rsidR="0013561C">
      <w:fldChar w:fldCharType="separate"/>
    </w:r>
    <w:r w:rsidR="007E0985">
      <w:t>IS284400-RP-002</w:t>
    </w:r>
    <w:r w:rsidR="0013561C">
      <w:fldChar w:fldCharType="end"/>
    </w:r>
    <w:r w:rsidR="009F391E">
      <w:tab/>
    </w:r>
    <w:r w:rsidR="009F391E" w:rsidRPr="00BA44E6">
      <w:tab/>
    </w:r>
    <w:r w:rsidR="009F391E" w:rsidRPr="00BA44E6">
      <w:rPr>
        <w:b/>
      </w:rPr>
      <w:fldChar w:fldCharType="begin"/>
    </w:r>
    <w:r w:rsidR="009F391E" w:rsidRPr="00BA44E6">
      <w:instrText xml:space="preserve"> PAGE   \* MERGEFORMAT </w:instrText>
    </w:r>
    <w:r w:rsidR="009F391E" w:rsidRPr="00BA44E6">
      <w:rPr>
        <w:b/>
      </w:rPr>
      <w:fldChar w:fldCharType="separate"/>
    </w:r>
    <w:r w:rsidR="009F391E">
      <w:rPr>
        <w:noProof/>
      </w:rPr>
      <w:t>6</w:t>
    </w:r>
    <w:r w:rsidR="009F391E" w:rsidRPr="00BA44E6">
      <w:rPr>
        <w:b/>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793838" w14:textId="77777777" w:rsidR="009F391E" w:rsidRPr="00ED21BF" w:rsidRDefault="009F391E" w:rsidP="00D61A6B">
    <w:pPr>
      <w:pStyle w:val="Footer"/>
      <w:rPr>
        <w:lang w:val="en-GB"/>
      </w:rPr>
    </w:pPr>
  </w:p>
  <w:p w14:paraId="196EB20F" w14:textId="26E26DC9" w:rsidR="009F391E" w:rsidRPr="00ED21BF" w:rsidRDefault="009F391E" w:rsidP="00D61A6B">
    <w:pPr>
      <w:pStyle w:val="Footer"/>
      <w:rPr>
        <w:b/>
        <w:lang w:val="en-GB"/>
      </w:rPr>
    </w:pPr>
    <w:r w:rsidRPr="00ED21BF">
      <w:rPr>
        <w:b/>
        <w:lang w:val="en-GB"/>
      </w:rPr>
      <w:fldChar w:fldCharType="begin"/>
    </w:r>
    <w:r w:rsidRPr="00ED21BF">
      <w:rPr>
        <w:lang w:val="en-GB"/>
      </w:rPr>
      <w:instrText xml:space="preserve"> PAGE   \* MERGEFORMAT </w:instrText>
    </w:r>
    <w:r w:rsidRPr="00ED21BF">
      <w:rPr>
        <w:b/>
        <w:lang w:val="en-GB"/>
      </w:rPr>
      <w:fldChar w:fldCharType="separate"/>
    </w:r>
    <w:r w:rsidRPr="00ED21BF">
      <w:rPr>
        <w:b/>
        <w:lang w:val="en-GB"/>
      </w:rPr>
      <w:t>ii</w:t>
    </w:r>
    <w:r w:rsidRPr="00ED21BF">
      <w:fldChar w:fldCharType="end"/>
    </w:r>
    <w:r w:rsidRPr="00ED21BF">
      <w:rPr>
        <w:lang w:val="en-GB"/>
      </w:rPr>
      <w:tab/>
    </w:r>
    <w:r w:rsidRPr="00ED21BF">
      <w:rPr>
        <w:lang w:val="en-GB"/>
      </w:rPr>
      <w:fldChar w:fldCharType="begin"/>
    </w:r>
    <w:r w:rsidRPr="00ED21BF">
      <w:rPr>
        <w:lang w:val="en-GB"/>
      </w:rPr>
      <w:instrText xml:space="preserve"> DOCPROPERTY  "Document Number"  \* MERGEFORMAT </w:instrText>
    </w:r>
    <w:r w:rsidRPr="00ED21BF">
      <w:rPr>
        <w:lang w:val="en-GB"/>
      </w:rPr>
      <w:fldChar w:fldCharType="separate"/>
    </w:r>
    <w:r w:rsidR="007E0985">
      <w:rPr>
        <w:lang w:val="en-GB"/>
      </w:rPr>
      <w:t>IS284400-RP-002</w:t>
    </w:r>
    <w:r w:rsidRPr="00ED21BF">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CA0FF4" w14:textId="77777777" w:rsidR="006934A1" w:rsidRDefault="006934A1" w:rsidP="00EA3E55">
      <w:pPr>
        <w:spacing w:after="0" w:line="240" w:lineRule="auto"/>
      </w:pPr>
      <w:r>
        <w:separator/>
      </w:r>
    </w:p>
  </w:footnote>
  <w:footnote w:type="continuationSeparator" w:id="0">
    <w:p w14:paraId="4445EEDC" w14:textId="77777777" w:rsidR="006934A1" w:rsidRDefault="006934A1" w:rsidP="00EA3E55">
      <w:pPr>
        <w:spacing w:after="0" w:line="240" w:lineRule="auto"/>
      </w:pPr>
      <w:r>
        <w:continuationSeparator/>
      </w:r>
    </w:p>
  </w:footnote>
  <w:footnote w:id="1">
    <w:p w14:paraId="2A71A59A" w14:textId="77777777" w:rsidR="009F391E" w:rsidRPr="00CF6E18" w:rsidRDefault="009F391E" w:rsidP="00D61A6B">
      <w:pPr>
        <w:pStyle w:val="FootnoteText"/>
      </w:pPr>
      <w:r>
        <w:rPr>
          <w:rStyle w:val="FootnoteReference"/>
        </w:rPr>
        <w:footnoteRef/>
      </w:r>
      <w:r>
        <w:t xml:space="preserve"> Not all of the compliance criteria for harvest or regeneration were applicable to any of the audited coupes. Some criteria were not applicable to any of the selected coupes. </w:t>
      </w:r>
    </w:p>
  </w:footnote>
  <w:footnote w:id="2">
    <w:p w14:paraId="64EABD70" w14:textId="77777777" w:rsidR="009F391E" w:rsidRPr="005621A8" w:rsidRDefault="009F391E" w:rsidP="00D61A6B">
      <w:pPr>
        <w:pStyle w:val="FootnoteText"/>
        <w:rPr>
          <w:lang w:val="en-AU"/>
        </w:rPr>
      </w:pPr>
      <w:r>
        <w:rPr>
          <w:rStyle w:val="FootnoteReference"/>
        </w:rPr>
        <w:footnoteRef/>
      </w:r>
      <w:r>
        <w:t xml:space="preserve"> </w:t>
      </w:r>
      <w:r>
        <w:rPr>
          <w:lang w:val="en-AU"/>
        </w:rPr>
        <w:t xml:space="preserve">The lists below show the average level of conformance across all coupes, plus (in parentheses) the range in conformance levels for the theme or sub-theme. </w:t>
      </w:r>
    </w:p>
  </w:footnote>
  <w:footnote w:id="3">
    <w:p w14:paraId="1C72703E" w14:textId="77777777" w:rsidR="009F391E" w:rsidRPr="0093293F" w:rsidRDefault="009F391E" w:rsidP="0036050D">
      <w:pPr>
        <w:pStyle w:val="FootnoteText"/>
      </w:pPr>
      <w:r>
        <w:rPr>
          <w:rStyle w:val="FootnoteReference"/>
        </w:rPr>
        <w:footnoteRef/>
      </w:r>
      <w:r>
        <w:t xml:space="preserve"> The audits have been delivered by DELWP and its predecessor agencies, the Departments of Sustainability and Environment (DSE) and Environment and Primary Industries (DEPI).</w:t>
      </w:r>
    </w:p>
  </w:footnote>
  <w:footnote w:id="4">
    <w:p w14:paraId="6D48CC58" w14:textId="77777777" w:rsidR="009F391E" w:rsidRPr="006E5DF2" w:rsidRDefault="009F391E" w:rsidP="0036050D">
      <w:pPr>
        <w:pStyle w:val="FootnoteText"/>
        <w:rPr>
          <w:lang w:val="en-AU"/>
        </w:rPr>
      </w:pPr>
      <w:r>
        <w:rPr>
          <w:rStyle w:val="FootnoteReference"/>
        </w:rPr>
        <w:footnoteRef/>
      </w:r>
      <w:r>
        <w:t xml:space="preserve"> </w:t>
      </w:r>
      <w:r>
        <w:rPr>
          <w:lang w:val="en-AU"/>
        </w:rPr>
        <w:t xml:space="preserve">This also includes the </w:t>
      </w:r>
      <w:r w:rsidRPr="006E5DF2">
        <w:rPr>
          <w:i/>
          <w:lang w:val="en-AU"/>
        </w:rPr>
        <w:t>Planning Standards for timber harvesting operations in Victoria’s State forests</w:t>
      </w:r>
      <w:r>
        <w:rPr>
          <w:i/>
          <w:lang w:val="en-AU"/>
        </w:rPr>
        <w:t xml:space="preserve"> </w:t>
      </w:r>
      <w:r w:rsidRPr="006E5DF2">
        <w:rPr>
          <w:lang w:val="en-AU"/>
        </w:rPr>
        <w:t>(DEPI, 2014c)</w:t>
      </w:r>
      <w:r>
        <w:rPr>
          <w:lang w:val="en-AU"/>
        </w:rPr>
        <w:t>, which is published separately, but is Appendix 5 of the MSPs.</w:t>
      </w:r>
    </w:p>
  </w:footnote>
  <w:footnote w:id="5">
    <w:p w14:paraId="1CD4334C" w14:textId="77777777" w:rsidR="009F391E" w:rsidRPr="00FA14E2" w:rsidRDefault="009F391E" w:rsidP="0036050D">
      <w:pPr>
        <w:pStyle w:val="FootnoteText"/>
        <w:rPr>
          <w:lang w:val="en-AU"/>
        </w:rPr>
      </w:pPr>
      <w:r>
        <w:rPr>
          <w:rStyle w:val="FootnoteReference"/>
        </w:rPr>
        <w:footnoteRef/>
      </w:r>
      <w:r>
        <w:t xml:space="preserve"> </w:t>
      </w:r>
      <w:r>
        <w:rPr>
          <w:lang w:val="en-AU"/>
        </w:rPr>
        <w:t xml:space="preserve">A distinction is made in this report between rainforest vegetation and rainforest stands. Rainforest stands are comprised of rainforest canopy species for the region of interest, as per MSP 4.4.7 and satisfy the size and projected foliage cover requirements of MSP 4.4.8. Rainforest vegetation comprises areas of forest where rainforest species (as per MSP 4.4.7) and includes rainforest stands and other areas of vegetation that do not satisfy rainforest stand requirements.. </w:t>
      </w:r>
    </w:p>
  </w:footnote>
  <w:footnote w:id="6">
    <w:p w14:paraId="13C0B0AC" w14:textId="77777777" w:rsidR="009F391E" w:rsidRPr="00096FA4" w:rsidRDefault="009F391E" w:rsidP="009B4F8F">
      <w:pPr>
        <w:pStyle w:val="FootnoteText"/>
        <w:rPr>
          <w:lang w:val="en-AU"/>
        </w:rPr>
      </w:pPr>
      <w:r>
        <w:rPr>
          <w:rStyle w:val="FootnoteReference"/>
        </w:rPr>
        <w:footnoteRef/>
      </w:r>
      <w:r>
        <w:t xml:space="preserve"> </w:t>
      </w:r>
      <w:r>
        <w:rPr>
          <w:lang w:val="en-AU"/>
        </w:rPr>
        <w:t>18 Stringybark Creek coupe is a single tree selection coupe and is not subject to an area limit (as per MSP 2.4.4.1). Note that coupe size and configuration MSP elements were not within the scope of this audit.</w:t>
      </w:r>
    </w:p>
  </w:footnote>
  <w:footnote w:id="7">
    <w:p w14:paraId="62466397" w14:textId="77777777" w:rsidR="009F391E" w:rsidRPr="00CF6E18" w:rsidRDefault="009F391E" w:rsidP="009B4F8F">
      <w:pPr>
        <w:pStyle w:val="FootnoteText"/>
      </w:pPr>
      <w:r>
        <w:rPr>
          <w:rStyle w:val="FootnoteReference"/>
        </w:rPr>
        <w:footnoteRef/>
      </w:r>
      <w:r>
        <w:t xml:space="preserve"> Not all of the compliance criteria for harvest or regeneration were applicable to any of the audited coupes. Some criteria were not applicable to any of the selected coupes. </w:t>
      </w:r>
    </w:p>
  </w:footnote>
  <w:footnote w:id="8">
    <w:p w14:paraId="41677F08" w14:textId="77777777" w:rsidR="009F391E" w:rsidRPr="00815EEF" w:rsidRDefault="009F391E" w:rsidP="009B4F8F">
      <w:pPr>
        <w:pStyle w:val="FootnoteText"/>
        <w:rPr>
          <w:lang w:val="en-AU"/>
        </w:rPr>
      </w:pPr>
      <w:r>
        <w:rPr>
          <w:rStyle w:val="FootnoteReference"/>
        </w:rPr>
        <w:footnoteRef/>
      </w:r>
      <w:r>
        <w:t xml:space="preserve"> </w:t>
      </w:r>
      <w:r>
        <w:rPr>
          <w:lang w:val="en-AU"/>
        </w:rPr>
        <w:t>This information will be used to track the field assessments, but is not be of sufficient quality to provide survey-grade information on buffer boundaries, in-coupe road locations, etc.</w:t>
      </w:r>
    </w:p>
  </w:footnote>
  <w:footnote w:id="9">
    <w:p w14:paraId="5FD443B0" w14:textId="77777777" w:rsidR="009F391E" w:rsidRPr="00381DF8" w:rsidRDefault="009F391E" w:rsidP="000E5F1E">
      <w:pPr>
        <w:pStyle w:val="FootnoteText"/>
        <w:rPr>
          <w:lang w:val="en-AU"/>
        </w:rPr>
      </w:pPr>
      <w:r>
        <w:rPr>
          <w:rStyle w:val="FootnoteReference"/>
        </w:rPr>
        <w:footnoteRef/>
      </w:r>
      <w:r>
        <w:t xml:space="preserve"> </w:t>
      </w:r>
      <w:r>
        <w:rPr>
          <w:lang w:val="en-AU"/>
        </w:rPr>
        <w:t>In-coupes road with multiple incidences of trees covered by embankment materials and/or multiple incidences of non-conforming drainage structure spacings were counted as single incidences of non-compliances (in each case).</w:t>
      </w:r>
    </w:p>
  </w:footnote>
  <w:footnote w:id="10">
    <w:p w14:paraId="6D358DB4" w14:textId="77777777" w:rsidR="009F391E" w:rsidRPr="00366CB5" w:rsidRDefault="009F391E" w:rsidP="000E5F1E">
      <w:pPr>
        <w:pStyle w:val="FootnoteText"/>
        <w:rPr>
          <w:lang w:val="en-AU"/>
        </w:rPr>
      </w:pPr>
      <w:r>
        <w:rPr>
          <w:rStyle w:val="FootnoteReference"/>
        </w:rPr>
        <w:footnoteRef/>
      </w:r>
      <w:r>
        <w:t xml:space="preserve"> </w:t>
      </w:r>
      <w:r>
        <w:rPr>
          <w:lang w:val="en-AU"/>
        </w:rPr>
        <w:t>Which may have been recorded against multiple instances of non-conformance with audit criteria.</w:t>
      </w:r>
    </w:p>
  </w:footnote>
  <w:footnote w:id="11">
    <w:p w14:paraId="1485A1A8" w14:textId="77777777" w:rsidR="009F391E" w:rsidRPr="00323F7B" w:rsidRDefault="009F391E" w:rsidP="00EF769B">
      <w:pPr>
        <w:pStyle w:val="FootnoteText"/>
        <w:rPr>
          <w:lang w:val="en-AU"/>
        </w:rPr>
      </w:pPr>
      <w:r>
        <w:rPr>
          <w:rStyle w:val="FootnoteReference"/>
        </w:rPr>
        <w:footnoteRef/>
      </w:r>
      <w:r>
        <w:t xml:space="preserve"> </w:t>
      </w:r>
      <w:r>
        <w:rPr>
          <w:lang w:val="en-AU"/>
        </w:rPr>
        <w:t>Note that some additional, notionally harvest coupe, criteria were included in the assessments of regeneration coupes. These were introduced where: a) issues affecting the rehabilitation of coupe infrastructure were identified (including mass movement of embankments); and b) regeneration burning affected other coupe values, including planned exclusion areas.</w:t>
      </w:r>
    </w:p>
  </w:footnote>
  <w:footnote w:id="12">
    <w:p w14:paraId="659762FA" w14:textId="77777777" w:rsidR="009F391E" w:rsidRPr="00623CAB" w:rsidRDefault="009F391E" w:rsidP="00EF769B">
      <w:pPr>
        <w:pStyle w:val="FootnoteText"/>
        <w:rPr>
          <w:lang w:val="en-AU"/>
        </w:rPr>
      </w:pPr>
      <w:r>
        <w:rPr>
          <w:rStyle w:val="FootnoteReference"/>
        </w:rPr>
        <w:footnoteRef/>
      </w:r>
      <w:r>
        <w:t xml:space="preserve"> </w:t>
      </w:r>
      <w:r>
        <w:rPr>
          <w:lang w:val="en-AU"/>
        </w:rPr>
        <w:t>Excessive slope is defined in the MSPs and is 25</w:t>
      </w:r>
      <w:r>
        <w:rPr>
          <w:rFonts w:cs="Arial"/>
          <w:lang w:val="en-AU"/>
        </w:rPr>
        <w:t>°</w:t>
      </w:r>
      <w:r>
        <w:rPr>
          <w:lang w:val="en-AU"/>
        </w:rPr>
        <w:t xml:space="preserve"> (for granite derived soils in East Gippsland), 30</w:t>
      </w:r>
      <w:r>
        <w:rPr>
          <w:rFonts w:cs="Arial"/>
          <w:lang w:val="en-AU"/>
        </w:rPr>
        <w:t>°</w:t>
      </w:r>
      <w:r>
        <w:rPr>
          <w:lang w:val="en-AU"/>
        </w:rPr>
        <w:t xml:space="preserve"> (elsewhere) or as specified in Table 11, Appendix 3 for water supply catchment areas.</w:t>
      </w:r>
    </w:p>
  </w:footnote>
  <w:footnote w:id="13">
    <w:p w14:paraId="04941752" w14:textId="77777777" w:rsidR="009F391E" w:rsidRPr="008768CB" w:rsidRDefault="009F391E" w:rsidP="007B2F0C">
      <w:pPr>
        <w:pStyle w:val="FootnoteText"/>
        <w:rPr>
          <w:lang w:val="en-AU"/>
        </w:rPr>
      </w:pPr>
      <w:r>
        <w:rPr>
          <w:rStyle w:val="FootnoteReference"/>
        </w:rPr>
        <w:footnoteRef/>
      </w:r>
      <w:r>
        <w:t xml:space="preserve"> </w:t>
      </w:r>
      <w:r>
        <w:rPr>
          <w:lang w:val="en-AU"/>
        </w:rPr>
        <w:t>The in-coupe road embankment in 23 Pilcrow was significantly eroded as a result of the lack of effective drainage on over 500 m of in-coupe road,</w:t>
      </w:r>
    </w:p>
  </w:footnote>
  <w:footnote w:id="14">
    <w:p w14:paraId="19C823F7" w14:textId="77777777" w:rsidR="009F391E" w:rsidRPr="002A5395" w:rsidRDefault="009F391E" w:rsidP="00EF769B">
      <w:pPr>
        <w:pStyle w:val="FootnoteText"/>
        <w:rPr>
          <w:lang w:val="en-AU"/>
        </w:rPr>
      </w:pPr>
      <w:r>
        <w:rPr>
          <w:rStyle w:val="FootnoteReference"/>
        </w:rPr>
        <w:footnoteRef/>
      </w:r>
      <w:r>
        <w:t xml:space="preserve"> </w:t>
      </w:r>
      <w:r>
        <w:rPr>
          <w:lang w:val="en-AU"/>
        </w:rPr>
        <w:t>Eight of the 33 criteria were not applicable to any of the target coupes.</w:t>
      </w:r>
    </w:p>
  </w:footnote>
  <w:footnote w:id="15">
    <w:p w14:paraId="09C9F7D4" w14:textId="77777777" w:rsidR="009F391E" w:rsidRPr="00F077A8" w:rsidRDefault="009F391E" w:rsidP="00700232">
      <w:pPr>
        <w:pStyle w:val="FootnoteText"/>
        <w:rPr>
          <w:lang w:val="en-AU"/>
        </w:rPr>
      </w:pPr>
      <w:r>
        <w:rPr>
          <w:rStyle w:val="FootnoteReference"/>
        </w:rPr>
        <w:footnoteRef/>
      </w:r>
      <w:r>
        <w:t xml:space="preserve"> </w:t>
      </w:r>
      <w:r>
        <w:rPr>
          <w:lang w:val="en-AU"/>
        </w:rPr>
        <w:t>Note that the soil was (correctly) classified as low soil erosion hazard, which reflects the soil’s relatively high permeability, but significantly overstated its stability under intense rainfall.</w:t>
      </w:r>
    </w:p>
  </w:footnote>
  <w:footnote w:id="16">
    <w:p w14:paraId="2672CB8B" w14:textId="77777777" w:rsidR="005F6162" w:rsidRPr="00E97780" w:rsidRDefault="005F6162" w:rsidP="005F6162">
      <w:pPr>
        <w:pStyle w:val="FootnoteText"/>
        <w:rPr>
          <w:lang w:val="en-AU"/>
        </w:rPr>
      </w:pPr>
      <w:r>
        <w:rPr>
          <w:rStyle w:val="FootnoteReference"/>
        </w:rPr>
        <w:footnoteRef/>
      </w:r>
      <w:r>
        <w:t xml:space="preserve"> </w:t>
      </w:r>
      <w:r>
        <w:rPr>
          <w:lang w:val="en-AU"/>
        </w:rPr>
        <w:t xml:space="preserve">Note that while the lack of marking of class of waterway or whether a filter or buffer applied was inconsistent with the compliance criterion, non-conformance (with no environmental impact) was only recorded where the Operations Map did not include the marked net harvest boundary. The latter is interpreted by the auditors to be the minimum compliance requirement, based on MSP 2.3.1.2. Only one coupe #1 Corkscrew was assessed as non-conforming. </w:t>
      </w:r>
    </w:p>
  </w:footnote>
  <w:footnote w:id="17">
    <w:p w14:paraId="7CAA1D81" w14:textId="63E32A6B" w:rsidR="009F391E" w:rsidRPr="00323F7B" w:rsidRDefault="009F391E" w:rsidP="00EF769B">
      <w:pPr>
        <w:pStyle w:val="FootnoteText"/>
        <w:rPr>
          <w:lang w:val="en-AU"/>
        </w:rPr>
      </w:pPr>
      <w:r>
        <w:t xml:space="preserve"> </w:t>
      </w:r>
      <w:r>
        <w:rPr>
          <w:rStyle w:val="FootnoteReference"/>
        </w:rPr>
        <w:footnoteRef/>
      </w:r>
      <w:r>
        <w:t xml:space="preserve"> </w:t>
      </w:r>
      <w:r>
        <w:rPr>
          <w:lang w:val="en-AU"/>
        </w:rPr>
        <w:t>Note that some additional, notionally harvest coupe criteria were included in the assessments of regeneration coupes. These were introduced where: a) issues affecting the rehabilitation of coupe infrastructure were identified (including mass movement of embankments); and b) regeneration burning affected other coupe values, including planned exclusion areas.</w:t>
      </w:r>
    </w:p>
  </w:footnote>
  <w:footnote w:id="18">
    <w:p w14:paraId="7D789B80" w14:textId="26047C4D" w:rsidR="009F391E" w:rsidRPr="00750911" w:rsidRDefault="009F391E">
      <w:pPr>
        <w:pStyle w:val="FootnoteText"/>
        <w:rPr>
          <w:lang w:val="en-AU"/>
        </w:rPr>
      </w:pPr>
      <w:r>
        <w:rPr>
          <w:rStyle w:val="FootnoteReference"/>
        </w:rPr>
        <w:footnoteRef/>
      </w:r>
      <w:r>
        <w:t xml:space="preserve"> </w:t>
      </w:r>
      <w:r>
        <w:rPr>
          <w:lang w:val="en-AU"/>
        </w:rPr>
        <w:t>Non-conformance was assessed because the coupe could not, due to insufficient stocking, be considered to conform to the Code requirement.</w:t>
      </w:r>
    </w:p>
  </w:footnote>
  <w:footnote w:id="19">
    <w:p w14:paraId="4DA00C4D" w14:textId="77777777" w:rsidR="009F391E" w:rsidRPr="002F0B2D" w:rsidRDefault="009F391E" w:rsidP="00E24985">
      <w:pPr>
        <w:pStyle w:val="FootnoteText"/>
        <w:rPr>
          <w:lang w:val="en-AU"/>
        </w:rPr>
      </w:pPr>
      <w:r>
        <w:rPr>
          <w:rStyle w:val="FootnoteReference"/>
        </w:rPr>
        <w:footnoteRef/>
      </w:r>
      <w:r>
        <w:t xml:space="preserve"> </w:t>
      </w:r>
      <w:r>
        <w:rPr>
          <w:lang w:val="en-AU"/>
        </w:rPr>
        <w:t>Note that inadequate stocking at the time of audit was not considered as a non-conformance, since VicForests had not, at the time of audit, claimed that those coupes were satisfactorily regenerated.</w:t>
      </w:r>
    </w:p>
  </w:footnote>
  <w:footnote w:id="20">
    <w:p w14:paraId="1004BF71" w14:textId="77777777" w:rsidR="009F391E" w:rsidRPr="002F0B2D" w:rsidRDefault="009F391E" w:rsidP="00E24985">
      <w:pPr>
        <w:pStyle w:val="FootnoteText"/>
        <w:rPr>
          <w:lang w:val="en-AU"/>
        </w:rPr>
      </w:pPr>
      <w:r>
        <w:rPr>
          <w:rStyle w:val="FootnoteReference"/>
        </w:rPr>
        <w:footnoteRef/>
      </w:r>
      <w:r>
        <w:t xml:space="preserve"> </w:t>
      </w:r>
      <w:r>
        <w:rPr>
          <w:lang w:val="en-AU"/>
        </w:rPr>
        <w:t>This non-conformance was inferred from the apparent temperature of the regeneration burn on the landing.</w:t>
      </w:r>
    </w:p>
  </w:footnote>
  <w:footnote w:id="21">
    <w:p w14:paraId="31F29EB9" w14:textId="52EA1A3B" w:rsidR="009F391E" w:rsidRPr="006D707B" w:rsidRDefault="009F391E">
      <w:pPr>
        <w:pStyle w:val="FootnoteText"/>
        <w:rPr>
          <w:lang w:val="en-AU"/>
        </w:rPr>
      </w:pPr>
      <w:r>
        <w:rPr>
          <w:rStyle w:val="FootnoteReference"/>
        </w:rPr>
        <w:footnoteRef/>
      </w:r>
      <w:r>
        <w:t xml:space="preserve"> </w:t>
      </w:r>
      <w:r>
        <w:rPr>
          <w:lang w:val="en-AU"/>
        </w:rPr>
        <w:t xml:space="preserve">The current audit included reference to Code 2.2.2.5 </w:t>
      </w:r>
      <w:r w:rsidRPr="006D707B">
        <w:rPr>
          <w:i/>
          <w:lang w:val="en-AU"/>
        </w:rPr>
        <w:t>Protect areas excluded from harvesting from the impacts of timber harvesting operations</w:t>
      </w:r>
      <w:r>
        <w:rPr>
          <w:i/>
          <w:lang w:val="en-AU"/>
        </w:rPr>
        <w:t xml:space="preserve"> </w:t>
      </w:r>
      <w:r>
        <w:rPr>
          <w:lang w:val="en-AU"/>
        </w:rPr>
        <w:t>which enabled an assessment of non-conformance for each instance where regeneration burns crossed into planned exclusion area. This was only possible in previous audits via MSP 4.1.4 and criterion 12.06 for the Central Highlands FMAs.</w:t>
      </w:r>
    </w:p>
  </w:footnote>
  <w:footnote w:id="22">
    <w:p w14:paraId="407778E9" w14:textId="77777777" w:rsidR="009F391E" w:rsidRPr="00630618" w:rsidRDefault="009F391E" w:rsidP="00384C00">
      <w:pPr>
        <w:pStyle w:val="FootnoteText"/>
        <w:rPr>
          <w:lang w:val="en-AU"/>
        </w:rPr>
      </w:pPr>
      <w:r>
        <w:rPr>
          <w:rStyle w:val="FootnoteReference"/>
        </w:rPr>
        <w:footnoteRef/>
      </w:r>
      <w:r>
        <w:t xml:space="preserve"> </w:t>
      </w:r>
      <w:r>
        <w:rPr>
          <w:lang w:val="en-AU"/>
        </w:rPr>
        <w:t xml:space="preserve">Noting the inclusion of some additional incident types in the current audit due to the addition of new compliance criteria. </w:t>
      </w:r>
    </w:p>
  </w:footnote>
  <w:footnote w:id="23">
    <w:p w14:paraId="6FFBA5BB" w14:textId="77777777" w:rsidR="009F391E" w:rsidRPr="00E72087" w:rsidRDefault="009F391E" w:rsidP="00E24985">
      <w:pPr>
        <w:pStyle w:val="FootnoteText"/>
        <w:rPr>
          <w:lang w:val="en-AU"/>
        </w:rPr>
      </w:pPr>
      <w:r>
        <w:rPr>
          <w:rStyle w:val="FootnoteReference"/>
        </w:rPr>
        <w:footnoteRef/>
      </w:r>
      <w:r>
        <w:t xml:space="preserve"> </w:t>
      </w:r>
      <w:r>
        <w:rPr>
          <w:lang w:val="en-AU"/>
        </w:rPr>
        <w:t>VicForests’ UPs were used as the standard for drainage spacing on snig and boundary tracks, as Table 21 of the MSPs is only applicable to in-coupe roads and does not consider track grades in excess of 11</w:t>
      </w:r>
      <w:r>
        <w:rPr>
          <w:rFonts w:cs="Arial"/>
          <w:lang w:val="en-AU"/>
        </w:rPr>
        <w:t>°</w:t>
      </w:r>
      <w:r>
        <w:rPr>
          <w:lang w:val="en-AU"/>
        </w:rPr>
        <w:t>. Grades up to and in excess of 20</w:t>
      </w:r>
      <w:r>
        <w:rPr>
          <w:rFonts w:cs="Arial"/>
          <w:lang w:val="en-AU"/>
        </w:rPr>
        <w:t>°</w:t>
      </w:r>
      <w:r>
        <w:rPr>
          <w:lang w:val="en-AU"/>
        </w:rPr>
        <w:t xml:space="preserve"> are not uncommon for snig tracks.</w:t>
      </w:r>
    </w:p>
  </w:footnote>
  <w:footnote w:id="24">
    <w:p w14:paraId="33F639C8" w14:textId="77777777" w:rsidR="009F391E" w:rsidRPr="00D27DDC" w:rsidRDefault="009F391E" w:rsidP="00A113E1">
      <w:pPr>
        <w:pStyle w:val="FootnoteText"/>
        <w:rPr>
          <w:lang w:val="en-AU"/>
        </w:rPr>
      </w:pPr>
      <w:r>
        <w:rPr>
          <w:rStyle w:val="FootnoteReference"/>
        </w:rPr>
        <w:footnoteRef/>
      </w:r>
      <w:r>
        <w:t xml:space="preserve"> </w:t>
      </w:r>
      <w:r>
        <w:rPr>
          <w:lang w:val="en-AU"/>
        </w:rPr>
        <w:t>Note that construction of this track may have been “authorised” in response to the breach by the regeneration burn. However, it was not an authorised part of the overall harvesting and regeneration operation..</w:t>
      </w:r>
    </w:p>
  </w:footnote>
  <w:footnote w:id="25">
    <w:p w14:paraId="5E3D62BD" w14:textId="77777777" w:rsidR="009F391E" w:rsidRPr="00687382" w:rsidRDefault="009F391E" w:rsidP="00E24985">
      <w:pPr>
        <w:pStyle w:val="FootnoteText"/>
        <w:rPr>
          <w:lang w:val="en-AU"/>
        </w:rPr>
      </w:pPr>
      <w:r>
        <w:rPr>
          <w:rStyle w:val="FootnoteReference"/>
        </w:rPr>
        <w:footnoteRef/>
      </w:r>
      <w:r>
        <w:t xml:space="preserve"> </w:t>
      </w:r>
      <w:r>
        <w:rPr>
          <w:lang w:val="en-AU"/>
        </w:rPr>
        <w:t>No potential EI was assessed in this way because the non-conformance related to the provision of evidence of action, rather than an action (or failure to take an action) that has direct potential for environmental harm.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9F391E" w:rsidRPr="00037461" w14:paraId="1A9D6EAF" w14:textId="77777777" w:rsidTr="00D61A6B">
      <w:trPr>
        <w:cantSplit/>
        <w:trHeight w:val="851"/>
      </w:trPr>
      <w:tc>
        <w:tcPr>
          <w:tcW w:w="1358" w:type="pct"/>
          <w:shd w:val="clear" w:color="auto" w:fill="auto"/>
          <w:tcMar>
            <w:right w:w="567" w:type="dxa"/>
          </w:tcMar>
          <w:vAlign w:val="bottom"/>
        </w:tcPr>
        <w:p w14:paraId="2331E6E8" w14:textId="77777777" w:rsidR="009F391E" w:rsidRPr="00037461" w:rsidRDefault="009F391E" w:rsidP="00D61A6B">
          <w:pPr>
            <w:pStyle w:val="Header"/>
          </w:pPr>
        </w:p>
      </w:tc>
      <w:tc>
        <w:tcPr>
          <w:tcW w:w="3642" w:type="pct"/>
          <w:shd w:val="clear" w:color="auto" w:fill="auto"/>
          <w:vAlign w:val="bottom"/>
        </w:tcPr>
        <w:p w14:paraId="4C740981" w14:textId="568C6C53" w:rsidR="009F391E" w:rsidRPr="00037461" w:rsidRDefault="0013561C" w:rsidP="00D61A6B">
          <w:pPr>
            <w:pStyle w:val="Header"/>
            <w:jc w:val="right"/>
          </w:pPr>
          <w:r>
            <w:fldChar w:fldCharType="begin"/>
          </w:r>
          <w:r>
            <w:instrText xml:space="preserve"> STYLEREF  "Document Title"  \* MERGEFORMAT </w:instrText>
          </w:r>
          <w:r>
            <w:fldChar w:fldCharType="separate"/>
          </w:r>
          <w:r w:rsidR="007E0985">
            <w:rPr>
              <w:noProof/>
            </w:rPr>
            <w:t>Report of the 2018-19 Forest Audit Program</w:t>
          </w:r>
          <w:r>
            <w:rPr>
              <w:noProof/>
            </w:rPr>
            <w:fldChar w:fldCharType="end"/>
          </w:r>
        </w:p>
      </w:tc>
    </w:tr>
  </w:tbl>
  <w:p w14:paraId="24ABFABB" w14:textId="77777777" w:rsidR="009F391E" w:rsidRPr="007D5EB2" w:rsidRDefault="009F391E" w:rsidP="00D61A6B">
    <w:pPr>
      <w:pStyle w:val="Header"/>
    </w:pPr>
    <w:r w:rsidRPr="00BF0918">
      <w:rPr>
        <w:rFonts w:cs="Arial"/>
        <w:b/>
        <w:noProof/>
        <w:color w:val="808080"/>
        <w:szCs w:val="22"/>
      </w:rPr>
      <w:drawing>
        <wp:anchor distT="0" distB="0" distL="114300" distR="114300" simplePos="0" relativeHeight="251664384" behindDoc="0" locked="1" layoutInCell="0" allowOverlap="0" wp14:anchorId="14BCC75F" wp14:editId="29394DB9">
          <wp:simplePos x="0" y="0"/>
          <wp:positionH relativeFrom="margin">
            <wp:align>left</wp:align>
          </wp:positionH>
          <wp:positionV relativeFrom="page">
            <wp:posOffset>572770</wp:posOffset>
          </wp:positionV>
          <wp:extent cx="1234440" cy="283845"/>
          <wp:effectExtent l="0" t="0" r="3810" b="1905"/>
          <wp:wrapNone/>
          <wp:docPr id="69"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6869"/>
      <w:gridCol w:w="2746"/>
    </w:tblGrid>
    <w:tr w:rsidR="009F391E" w:rsidRPr="00037461" w14:paraId="0E1CE349" w14:textId="77777777" w:rsidTr="00D61A6B">
      <w:trPr>
        <w:cantSplit/>
        <w:trHeight w:val="851"/>
      </w:trPr>
      <w:tc>
        <w:tcPr>
          <w:tcW w:w="3572" w:type="pct"/>
          <w:shd w:val="clear" w:color="auto" w:fill="auto"/>
          <w:tcMar>
            <w:right w:w="567" w:type="dxa"/>
          </w:tcMar>
          <w:vAlign w:val="bottom"/>
        </w:tcPr>
        <w:p w14:paraId="0A83CCB1" w14:textId="11073532" w:rsidR="009F391E" w:rsidRPr="00037461" w:rsidRDefault="009F391E"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13561C">
            <w:rPr>
              <w:rFonts w:cs="Arial"/>
              <w:noProof/>
              <w:szCs w:val="22"/>
            </w:rPr>
            <w:t>Report of the 2018-19 Forest Audit Program</w:t>
          </w:r>
          <w:r w:rsidRPr="00BF0918">
            <w:rPr>
              <w:rFonts w:cs="Arial"/>
              <w:b/>
              <w:noProof/>
              <w:szCs w:val="22"/>
            </w:rPr>
            <w:fldChar w:fldCharType="end"/>
          </w:r>
        </w:p>
      </w:tc>
      <w:tc>
        <w:tcPr>
          <w:tcW w:w="1428" w:type="pct"/>
          <w:shd w:val="clear" w:color="auto" w:fill="auto"/>
          <w:vAlign w:val="bottom"/>
        </w:tcPr>
        <w:p w14:paraId="7D5056BF" w14:textId="77777777" w:rsidR="009F391E" w:rsidRPr="00037461" w:rsidRDefault="009F391E" w:rsidP="00D61A6B">
          <w:pPr>
            <w:jc w:val="right"/>
          </w:pPr>
        </w:p>
      </w:tc>
    </w:tr>
  </w:tbl>
  <w:p w14:paraId="054831C7" w14:textId="77777777" w:rsidR="009F391E" w:rsidRPr="00AC4577" w:rsidRDefault="009F391E" w:rsidP="00D61A6B">
    <w:pPr>
      <w:pStyle w:val="Header"/>
    </w:pPr>
    <w:r w:rsidRPr="00BF0918">
      <w:rPr>
        <w:rFonts w:cs="Arial"/>
        <w:b/>
        <w:noProof/>
        <w:color w:val="808080"/>
        <w:szCs w:val="22"/>
        <w:lang w:eastAsia="en-AU"/>
      </w:rPr>
      <w:drawing>
        <wp:anchor distT="0" distB="0" distL="114300" distR="114300" simplePos="0" relativeHeight="251683840" behindDoc="0" locked="1" layoutInCell="0" allowOverlap="0" wp14:anchorId="1E81CC05" wp14:editId="747C91FD">
          <wp:simplePos x="0" y="0"/>
          <wp:positionH relativeFrom="page">
            <wp:posOffset>5993130</wp:posOffset>
          </wp:positionH>
          <wp:positionV relativeFrom="page">
            <wp:posOffset>573405</wp:posOffset>
          </wp:positionV>
          <wp:extent cx="1234440" cy="283845"/>
          <wp:effectExtent l="0" t="0" r="3810" b="1905"/>
          <wp:wrapNone/>
          <wp:docPr id="99"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p w14:paraId="3DAA52FE" w14:textId="77777777" w:rsidR="009F391E" w:rsidRDefault="009F391E"/>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38334C" w14:textId="77777777" w:rsidR="009F391E" w:rsidRDefault="009F391E" w:rsidP="00D61A6B">
    <w:pPr>
      <w:pStyle w:val="EmptyHeader"/>
    </w:pPr>
    <w:r>
      <w:t xml:space="preserve"> </w:t>
    </w:r>
  </w:p>
  <w:tbl>
    <w:tblPr>
      <w:tblW w:w="9923" w:type="dxa"/>
      <w:tblLayout w:type="fixed"/>
      <w:tblCellMar>
        <w:left w:w="0" w:type="dxa"/>
        <w:right w:w="0" w:type="dxa"/>
      </w:tblCellMar>
      <w:tblLook w:val="04A0" w:firstRow="1" w:lastRow="0" w:firstColumn="1" w:lastColumn="0" w:noHBand="0" w:noVBand="1"/>
    </w:tblPr>
    <w:tblGrid>
      <w:gridCol w:w="6804"/>
      <w:gridCol w:w="3119"/>
    </w:tblGrid>
    <w:tr w:rsidR="009F391E" w:rsidRPr="00037461" w14:paraId="6077E0BA" w14:textId="77777777" w:rsidTr="00D61A6B">
      <w:trPr>
        <w:cantSplit/>
        <w:trHeight w:hRule="exact" w:val="1134"/>
      </w:trPr>
      <w:tc>
        <w:tcPr>
          <w:tcW w:w="6804" w:type="dxa"/>
          <w:shd w:val="clear" w:color="auto" w:fill="auto"/>
          <w:vAlign w:val="center"/>
        </w:tcPr>
        <w:p w14:paraId="4514BFF4" w14:textId="437B8440" w:rsidR="009F391E" w:rsidRPr="00037461" w:rsidRDefault="009F391E" w:rsidP="00D61A6B">
          <w:pPr>
            <w:pStyle w:val="Header"/>
          </w:pPr>
          <w:r w:rsidRPr="00032A0D">
            <w:rPr>
              <w:noProof/>
              <w:lang w:val="en-AU" w:eastAsia="en-AU"/>
            </w:rPr>
            <w:drawing>
              <wp:anchor distT="0" distB="0" distL="114300" distR="114300" simplePos="0" relativeHeight="251680768" behindDoc="1" locked="0" layoutInCell="0" allowOverlap="1" wp14:anchorId="69F97D43" wp14:editId="234751FA">
                <wp:simplePos x="0" y="0"/>
                <wp:positionH relativeFrom="page">
                  <wp:posOffset>720090</wp:posOffset>
                </wp:positionH>
                <wp:positionV relativeFrom="page">
                  <wp:posOffset>360045</wp:posOffset>
                </wp:positionV>
                <wp:extent cx="4320000" cy="720000"/>
                <wp:effectExtent l="0" t="0" r="4445" b="4445"/>
                <wp:wrapNone/>
                <wp:docPr id="97"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STYLEREF  "Document Title"  \* MERGEFORMAT </w:instrText>
          </w:r>
          <w:r>
            <w:rPr>
              <w:noProof/>
            </w:rPr>
            <w:fldChar w:fldCharType="separate"/>
          </w:r>
          <w:r w:rsidR="007E0985">
            <w:rPr>
              <w:noProof/>
            </w:rPr>
            <w:t>Report of the 2018-19 Forest Audit Program</w:t>
          </w:r>
          <w:r>
            <w:rPr>
              <w:noProof/>
            </w:rPr>
            <w:fldChar w:fldCharType="end"/>
          </w:r>
        </w:p>
      </w:tc>
      <w:tc>
        <w:tcPr>
          <w:tcW w:w="3119" w:type="dxa"/>
          <w:shd w:val="clear" w:color="auto" w:fill="auto"/>
          <w:vAlign w:val="center"/>
        </w:tcPr>
        <w:p w14:paraId="4814C935" w14:textId="77777777" w:rsidR="009F391E" w:rsidRPr="00037461" w:rsidRDefault="009F391E" w:rsidP="00D61A6B"/>
      </w:tc>
    </w:tr>
  </w:tbl>
  <w:p w14:paraId="71F51DAD" w14:textId="77777777" w:rsidR="009F391E" w:rsidRDefault="009F391E" w:rsidP="00D61A6B">
    <w:pPr>
      <w:pStyle w:val="EmptyHeader"/>
    </w:pPr>
  </w:p>
  <w:p w14:paraId="63807B71" w14:textId="77777777" w:rsidR="009F391E" w:rsidRDefault="009F391E" w:rsidP="00D61A6B">
    <w:pPr>
      <w:pStyle w:val="Header"/>
    </w:pPr>
    <w:r w:rsidRPr="00BF0918">
      <w:rPr>
        <w:rFonts w:cs="Arial"/>
        <w:b/>
        <w:noProof/>
        <w:color w:val="808080"/>
        <w:szCs w:val="22"/>
        <w:lang w:eastAsia="en-AU"/>
      </w:rPr>
      <w:drawing>
        <wp:anchor distT="0" distB="0" distL="114300" distR="114300" simplePos="0" relativeHeight="251681792" behindDoc="0" locked="1" layoutInCell="0" allowOverlap="0" wp14:anchorId="0220A71C" wp14:editId="39B794FF">
          <wp:simplePos x="0" y="0"/>
          <wp:positionH relativeFrom="page">
            <wp:posOffset>5993130</wp:posOffset>
          </wp:positionH>
          <wp:positionV relativeFrom="page">
            <wp:posOffset>573405</wp:posOffset>
          </wp:positionV>
          <wp:extent cx="1234440" cy="283845"/>
          <wp:effectExtent l="0" t="0" r="3810" b="1905"/>
          <wp:wrapNone/>
          <wp:docPr id="9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5CCD14" w14:textId="77777777" w:rsidR="009F391E" w:rsidRDefault="009F391E">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9F391E" w:rsidRPr="00037461" w14:paraId="166BB2DC" w14:textId="77777777" w:rsidTr="00D61A6B">
      <w:trPr>
        <w:cantSplit/>
        <w:trHeight w:val="851"/>
      </w:trPr>
      <w:tc>
        <w:tcPr>
          <w:tcW w:w="3572" w:type="pct"/>
          <w:shd w:val="clear" w:color="auto" w:fill="auto"/>
          <w:tcMar>
            <w:right w:w="567" w:type="dxa"/>
          </w:tcMar>
          <w:vAlign w:val="bottom"/>
        </w:tcPr>
        <w:p w14:paraId="5A466D9E" w14:textId="77D35D8D" w:rsidR="009F391E" w:rsidRPr="00037461" w:rsidRDefault="009F391E" w:rsidP="00F95AF7">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7E0985" w:rsidRPr="007E0985">
            <w:rPr>
              <w:rFonts w:cs="Arial"/>
              <w:bCs/>
              <w:noProof/>
              <w:szCs w:val="22"/>
            </w:rPr>
            <w:t>Report of</w:t>
          </w:r>
          <w:r w:rsidR="007E0985">
            <w:rPr>
              <w:rFonts w:cs="Arial"/>
              <w:noProof/>
              <w:szCs w:val="22"/>
            </w:rPr>
            <w:t xml:space="preserve"> the 2018-19 Forest Audit Program</w:t>
          </w:r>
          <w:r w:rsidRPr="00BF0918">
            <w:rPr>
              <w:rFonts w:cs="Arial"/>
              <w:b/>
              <w:noProof/>
              <w:szCs w:val="22"/>
            </w:rPr>
            <w:fldChar w:fldCharType="end"/>
          </w:r>
        </w:p>
      </w:tc>
      <w:tc>
        <w:tcPr>
          <w:tcW w:w="1428" w:type="pct"/>
          <w:shd w:val="clear" w:color="auto" w:fill="auto"/>
          <w:vAlign w:val="bottom"/>
        </w:tcPr>
        <w:p w14:paraId="5AE821F6" w14:textId="77777777" w:rsidR="009F391E" w:rsidRPr="00037461" w:rsidRDefault="009F391E" w:rsidP="00F95AF7">
          <w:pPr>
            <w:jc w:val="right"/>
          </w:pPr>
        </w:p>
      </w:tc>
    </w:tr>
  </w:tbl>
  <w:p w14:paraId="3CB96941" w14:textId="77777777" w:rsidR="009F391E" w:rsidRPr="005B786B" w:rsidRDefault="009F391E" w:rsidP="00F95AF7">
    <w:pPr>
      <w:pStyle w:val="Header"/>
    </w:pPr>
    <w:r w:rsidRPr="00BF0918">
      <w:rPr>
        <w:rFonts w:cs="Arial"/>
        <w:b/>
        <w:noProof/>
        <w:color w:val="808080"/>
        <w:szCs w:val="22"/>
        <w:lang w:eastAsia="en-AU"/>
      </w:rPr>
      <w:drawing>
        <wp:anchor distT="0" distB="0" distL="114300" distR="114300" simplePos="0" relativeHeight="251676672" behindDoc="0" locked="1" layoutInCell="0" allowOverlap="0" wp14:anchorId="55498C9C" wp14:editId="01A41996">
          <wp:simplePos x="0" y="0"/>
          <wp:positionH relativeFrom="page">
            <wp:posOffset>5993130</wp:posOffset>
          </wp:positionH>
          <wp:positionV relativeFrom="page">
            <wp:posOffset>573405</wp:posOffset>
          </wp:positionV>
          <wp:extent cx="1234440" cy="283845"/>
          <wp:effectExtent l="0" t="0" r="3810" b="1905"/>
          <wp:wrapNone/>
          <wp:docPr id="7"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9923" w:type="dxa"/>
      <w:tblLayout w:type="fixed"/>
      <w:tblCellMar>
        <w:left w:w="0" w:type="dxa"/>
        <w:right w:w="0" w:type="dxa"/>
      </w:tblCellMar>
      <w:tblLook w:val="04A0" w:firstRow="1" w:lastRow="0" w:firstColumn="1" w:lastColumn="0" w:noHBand="0" w:noVBand="1"/>
    </w:tblPr>
    <w:tblGrid>
      <w:gridCol w:w="6804"/>
      <w:gridCol w:w="3119"/>
    </w:tblGrid>
    <w:tr w:rsidR="009F391E" w:rsidRPr="00037461" w14:paraId="6BBA4176" w14:textId="77777777" w:rsidTr="00D61A6B">
      <w:trPr>
        <w:cantSplit/>
        <w:trHeight w:hRule="exact" w:val="1134"/>
      </w:trPr>
      <w:tc>
        <w:tcPr>
          <w:tcW w:w="6804" w:type="dxa"/>
          <w:shd w:val="clear" w:color="auto" w:fill="auto"/>
          <w:vAlign w:val="center"/>
        </w:tcPr>
        <w:p w14:paraId="42B8A965" w14:textId="6A353B08" w:rsidR="009F391E" w:rsidRPr="00037461" w:rsidRDefault="009F391E" w:rsidP="00D61A6B">
          <w:pPr>
            <w:pStyle w:val="Header"/>
          </w:pPr>
          <w:r w:rsidRPr="00032A0D">
            <w:rPr>
              <w:noProof/>
              <w:lang w:val="en-AU" w:eastAsia="en-AU"/>
            </w:rPr>
            <w:drawing>
              <wp:anchor distT="0" distB="0" distL="114300" distR="114300" simplePos="0" relativeHeight="251660288" behindDoc="1" locked="0" layoutInCell="0" allowOverlap="1" wp14:anchorId="0B1B875B" wp14:editId="3A2460A3">
                <wp:simplePos x="0" y="0"/>
                <wp:positionH relativeFrom="page">
                  <wp:posOffset>720090</wp:posOffset>
                </wp:positionH>
                <wp:positionV relativeFrom="page">
                  <wp:posOffset>360045</wp:posOffset>
                </wp:positionV>
                <wp:extent cx="4320000" cy="720000"/>
                <wp:effectExtent l="0" t="0" r="4445" b="4445"/>
                <wp:wrapNone/>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sidR="0013561C">
            <w:fldChar w:fldCharType="begin"/>
          </w:r>
          <w:r w:rsidR="0013561C">
            <w:instrText xml:space="preserve"> STYLEREF  "Document Title"  \* MERGEFORMAT </w:instrText>
          </w:r>
          <w:r w:rsidR="0013561C">
            <w:fldChar w:fldCharType="separate"/>
          </w:r>
          <w:r w:rsidR="007E0985" w:rsidRPr="007E0985">
            <w:rPr>
              <w:b/>
              <w:bCs/>
              <w:noProof/>
            </w:rPr>
            <w:t>Report of the 2018-19 Forest Audit Program</w:t>
          </w:r>
          <w:r w:rsidR="0013561C">
            <w:rPr>
              <w:b/>
              <w:bCs/>
              <w:noProof/>
            </w:rPr>
            <w:fldChar w:fldCharType="end"/>
          </w:r>
        </w:p>
      </w:tc>
      <w:tc>
        <w:tcPr>
          <w:tcW w:w="3119" w:type="dxa"/>
          <w:shd w:val="clear" w:color="auto" w:fill="auto"/>
          <w:vAlign w:val="center"/>
        </w:tcPr>
        <w:p w14:paraId="414769FF" w14:textId="77777777" w:rsidR="009F391E" w:rsidRPr="00037461" w:rsidRDefault="009F391E" w:rsidP="004267B2"/>
      </w:tc>
    </w:tr>
  </w:tbl>
  <w:p w14:paraId="636E464C" w14:textId="77777777" w:rsidR="009F391E" w:rsidRDefault="009F391E" w:rsidP="00BD0B6A">
    <w:pPr>
      <w:pStyle w:val="Header"/>
    </w:pPr>
    <w:r w:rsidRPr="00BF0918">
      <w:rPr>
        <w:rFonts w:cs="Arial"/>
        <w:b/>
        <w:noProof/>
        <w:color w:val="808080"/>
        <w:szCs w:val="22"/>
        <w:lang w:eastAsia="en-AU"/>
      </w:rPr>
      <w:drawing>
        <wp:anchor distT="0" distB="0" distL="114300" distR="114300" simplePos="0" relativeHeight="251678720" behindDoc="0" locked="1" layoutInCell="0" allowOverlap="0" wp14:anchorId="4929E7F9" wp14:editId="67B51EF6">
          <wp:simplePos x="0" y="0"/>
          <wp:positionH relativeFrom="page">
            <wp:posOffset>5993130</wp:posOffset>
          </wp:positionH>
          <wp:positionV relativeFrom="page">
            <wp:posOffset>573405</wp:posOffset>
          </wp:positionV>
          <wp:extent cx="1234440" cy="283845"/>
          <wp:effectExtent l="0" t="0" r="3810" b="1905"/>
          <wp:wrapNone/>
          <wp:docPr id="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082088" w14:textId="77777777" w:rsidR="009F391E" w:rsidRDefault="009F391E" w:rsidP="00D61A6B">
    <w:pPr>
      <w:pStyle w:val="EmptyHead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9F391E" w:rsidRPr="00037461" w14:paraId="6C06330D" w14:textId="77777777" w:rsidTr="00D61A6B">
      <w:trPr>
        <w:cantSplit/>
        <w:trHeight w:val="851"/>
      </w:trPr>
      <w:tc>
        <w:tcPr>
          <w:tcW w:w="1358" w:type="pct"/>
          <w:shd w:val="clear" w:color="auto" w:fill="auto"/>
          <w:tcMar>
            <w:right w:w="567" w:type="dxa"/>
          </w:tcMar>
          <w:vAlign w:val="bottom"/>
        </w:tcPr>
        <w:p w14:paraId="7C8F464E" w14:textId="77777777" w:rsidR="009F391E" w:rsidRPr="00037461" w:rsidRDefault="009F391E" w:rsidP="00D61A6B">
          <w:pPr>
            <w:pStyle w:val="Header"/>
          </w:pPr>
        </w:p>
      </w:tc>
      <w:tc>
        <w:tcPr>
          <w:tcW w:w="3642" w:type="pct"/>
          <w:shd w:val="clear" w:color="auto" w:fill="auto"/>
          <w:vAlign w:val="bottom"/>
        </w:tcPr>
        <w:p w14:paraId="1F892968" w14:textId="4A3B534B" w:rsidR="009F391E" w:rsidRPr="00037461" w:rsidRDefault="0013561C" w:rsidP="00D61A6B">
          <w:pPr>
            <w:pStyle w:val="Header"/>
            <w:jc w:val="right"/>
          </w:pPr>
          <w:r>
            <w:fldChar w:fldCharType="begin"/>
          </w:r>
          <w:r>
            <w:instrText xml:space="preserve"> STYLEREF  "Document Title"  \* MERGEFORMAT </w:instrText>
          </w:r>
          <w:r>
            <w:fldChar w:fldCharType="separate"/>
          </w:r>
          <w:r w:rsidR="007E0985">
            <w:rPr>
              <w:noProof/>
            </w:rPr>
            <w:t>Report of the 2018-19 Forest Audit Program</w:t>
          </w:r>
          <w:r>
            <w:rPr>
              <w:noProof/>
            </w:rPr>
            <w:fldChar w:fldCharType="end"/>
          </w:r>
        </w:p>
      </w:tc>
    </w:tr>
  </w:tbl>
  <w:p w14:paraId="44E1635F" w14:textId="77777777" w:rsidR="009F391E" w:rsidRPr="007D5EB2" w:rsidRDefault="009F391E" w:rsidP="00D61A6B">
    <w:pPr>
      <w:pStyle w:val="Header"/>
    </w:pPr>
    <w:r w:rsidRPr="00BF0918">
      <w:rPr>
        <w:rFonts w:cs="Arial"/>
        <w:b/>
        <w:noProof/>
        <w:color w:val="808080"/>
        <w:szCs w:val="22"/>
      </w:rPr>
      <w:drawing>
        <wp:anchor distT="0" distB="0" distL="114300" distR="114300" simplePos="0" relativeHeight="251670528" behindDoc="0" locked="1" layoutInCell="0" allowOverlap="0" wp14:anchorId="16676D41" wp14:editId="18D70F30">
          <wp:simplePos x="0" y="0"/>
          <wp:positionH relativeFrom="margin">
            <wp:align>left</wp:align>
          </wp:positionH>
          <wp:positionV relativeFrom="page">
            <wp:posOffset>572770</wp:posOffset>
          </wp:positionV>
          <wp:extent cx="1234440" cy="283845"/>
          <wp:effectExtent l="0" t="0" r="3810" b="1905"/>
          <wp:wrapNone/>
          <wp:docPr id="5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r w:rsidRPr="00BF0918">
      <w:rPr>
        <w:rFonts w:cs="Arial"/>
        <w:b/>
        <w:noProof/>
        <w:color w:val="808080"/>
        <w:szCs w:val="22"/>
      </w:rPr>
      <w:drawing>
        <wp:anchor distT="0" distB="0" distL="114300" distR="114300" simplePos="0" relativeHeight="251689984" behindDoc="0" locked="1" layoutInCell="0" allowOverlap="0" wp14:anchorId="0D6E5D3D" wp14:editId="5DFB947F">
          <wp:simplePos x="0" y="0"/>
          <wp:positionH relativeFrom="margin">
            <wp:align>left</wp:align>
          </wp:positionH>
          <wp:positionV relativeFrom="page">
            <wp:posOffset>572770</wp:posOffset>
          </wp:positionV>
          <wp:extent cx="1234440" cy="283845"/>
          <wp:effectExtent l="0" t="0" r="3810" b="1905"/>
          <wp:wrapNone/>
          <wp:docPr id="8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108"/>
      <w:gridCol w:w="2841"/>
    </w:tblGrid>
    <w:tr w:rsidR="009F391E" w:rsidRPr="00037461" w14:paraId="3C129A86" w14:textId="77777777" w:rsidTr="00D61A6B">
      <w:trPr>
        <w:cantSplit/>
        <w:trHeight w:val="851"/>
      </w:trPr>
      <w:tc>
        <w:tcPr>
          <w:tcW w:w="3572" w:type="pct"/>
          <w:shd w:val="clear" w:color="auto" w:fill="auto"/>
          <w:tcMar>
            <w:right w:w="567" w:type="dxa"/>
          </w:tcMar>
          <w:vAlign w:val="bottom"/>
        </w:tcPr>
        <w:p w14:paraId="51EF7F9B" w14:textId="4B9F86AB" w:rsidR="009F391E" w:rsidRPr="00037461" w:rsidRDefault="009F391E"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7E0985">
            <w:rPr>
              <w:rFonts w:cs="Arial"/>
              <w:noProof/>
              <w:szCs w:val="22"/>
            </w:rPr>
            <w:t>Report of the 2018-19 Forest Audit Program</w:t>
          </w:r>
          <w:r w:rsidRPr="00BF0918">
            <w:rPr>
              <w:rFonts w:cs="Arial"/>
              <w:b/>
              <w:noProof/>
              <w:szCs w:val="22"/>
            </w:rPr>
            <w:fldChar w:fldCharType="end"/>
          </w:r>
        </w:p>
      </w:tc>
      <w:tc>
        <w:tcPr>
          <w:tcW w:w="1428" w:type="pct"/>
          <w:shd w:val="clear" w:color="auto" w:fill="auto"/>
          <w:vAlign w:val="bottom"/>
        </w:tcPr>
        <w:p w14:paraId="6BFF4BFA" w14:textId="77777777" w:rsidR="009F391E" w:rsidRPr="00037461" w:rsidRDefault="009F391E" w:rsidP="00D61A6B">
          <w:pPr>
            <w:jc w:val="right"/>
          </w:pPr>
        </w:p>
      </w:tc>
    </w:tr>
  </w:tbl>
  <w:p w14:paraId="30BEE551" w14:textId="77777777" w:rsidR="009F391E" w:rsidRPr="00AC4577" w:rsidRDefault="009F391E" w:rsidP="00D61A6B">
    <w:pPr>
      <w:pStyle w:val="Header"/>
    </w:pPr>
    <w:r w:rsidRPr="00BF0918">
      <w:rPr>
        <w:rFonts w:cs="Arial"/>
        <w:b/>
        <w:noProof/>
        <w:color w:val="808080"/>
        <w:szCs w:val="22"/>
        <w:lang w:eastAsia="en-AU"/>
      </w:rPr>
      <w:drawing>
        <wp:anchor distT="0" distB="0" distL="114300" distR="114300" simplePos="0" relativeHeight="251666432" behindDoc="0" locked="1" layoutInCell="0" allowOverlap="0" wp14:anchorId="177CB3D7" wp14:editId="260C0192">
          <wp:simplePos x="0" y="0"/>
          <wp:positionH relativeFrom="page">
            <wp:posOffset>5993130</wp:posOffset>
          </wp:positionH>
          <wp:positionV relativeFrom="page">
            <wp:posOffset>573405</wp:posOffset>
          </wp:positionV>
          <wp:extent cx="1234440" cy="283845"/>
          <wp:effectExtent l="0" t="0" r="3810" b="1905"/>
          <wp:wrapNone/>
          <wp:docPr id="53"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EA3626" w14:textId="77777777" w:rsidR="009F391E" w:rsidRDefault="009F391E" w:rsidP="00D61A6B">
    <w:pPr>
      <w:pStyle w:val="EmptyHeader"/>
    </w:pPr>
    <w:r>
      <w:t xml:space="preserve"> </w:t>
    </w:r>
  </w:p>
  <w:tbl>
    <w:tblPr>
      <w:tblW w:w="9923" w:type="dxa"/>
      <w:tblLayout w:type="fixed"/>
      <w:tblCellMar>
        <w:left w:w="0" w:type="dxa"/>
        <w:right w:w="0" w:type="dxa"/>
      </w:tblCellMar>
      <w:tblLook w:val="04A0" w:firstRow="1" w:lastRow="0" w:firstColumn="1" w:lastColumn="0" w:noHBand="0" w:noVBand="1"/>
    </w:tblPr>
    <w:tblGrid>
      <w:gridCol w:w="6804"/>
      <w:gridCol w:w="3119"/>
    </w:tblGrid>
    <w:tr w:rsidR="009F391E" w:rsidRPr="00037461" w14:paraId="63FCA321" w14:textId="77777777" w:rsidTr="00D61A6B">
      <w:trPr>
        <w:cantSplit/>
        <w:trHeight w:hRule="exact" w:val="1134"/>
      </w:trPr>
      <w:tc>
        <w:tcPr>
          <w:tcW w:w="6804" w:type="dxa"/>
          <w:shd w:val="clear" w:color="auto" w:fill="auto"/>
          <w:vAlign w:val="center"/>
        </w:tcPr>
        <w:p w14:paraId="6B2C0F1E" w14:textId="4B22E885" w:rsidR="009F391E" w:rsidRPr="00037461" w:rsidRDefault="009F391E" w:rsidP="00D61A6B">
          <w:pPr>
            <w:pStyle w:val="Header"/>
          </w:pPr>
          <w:r w:rsidRPr="00032A0D">
            <w:rPr>
              <w:noProof/>
              <w:lang w:val="en-AU" w:eastAsia="en-AU"/>
            </w:rPr>
            <w:drawing>
              <wp:anchor distT="0" distB="0" distL="114300" distR="114300" simplePos="0" relativeHeight="251662336" behindDoc="1" locked="0" layoutInCell="0" allowOverlap="1" wp14:anchorId="35A4F5F0" wp14:editId="147BBEFF">
                <wp:simplePos x="0" y="0"/>
                <wp:positionH relativeFrom="page">
                  <wp:posOffset>720090</wp:posOffset>
                </wp:positionH>
                <wp:positionV relativeFrom="page">
                  <wp:posOffset>360045</wp:posOffset>
                </wp:positionV>
                <wp:extent cx="4320000" cy="720000"/>
                <wp:effectExtent l="0" t="0" r="4445" b="4445"/>
                <wp:wrapNone/>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Word_header_background.jpg"/>
                        <pic:cNvPicPr/>
                      </pic:nvPicPr>
                      <pic:blipFill>
                        <a:blip r:embed="rId1">
                          <a:extLst>
                            <a:ext uri="{28A0092B-C50C-407E-A947-70E740481C1C}">
                              <a14:useLocalDpi xmlns:a14="http://schemas.microsoft.com/office/drawing/2010/main" val="0"/>
                            </a:ext>
                          </a:extLst>
                        </a:blip>
                        <a:stretch>
                          <a:fillRect/>
                        </a:stretch>
                      </pic:blipFill>
                      <pic:spPr>
                        <a:xfrm>
                          <a:off x="0" y="0"/>
                          <a:ext cx="4320000" cy="720000"/>
                        </a:xfrm>
                        <a:prstGeom prst="rect">
                          <a:avLst/>
                        </a:prstGeom>
                      </pic:spPr>
                    </pic:pic>
                  </a:graphicData>
                </a:graphic>
                <wp14:sizeRelH relativeFrom="page">
                  <wp14:pctWidth>0</wp14:pctWidth>
                </wp14:sizeRelH>
                <wp14:sizeRelV relativeFrom="page">
                  <wp14:pctHeight>0</wp14:pctHeight>
                </wp14:sizeRelV>
              </wp:anchor>
            </w:drawing>
          </w:r>
          <w:r>
            <w:rPr>
              <w:noProof/>
            </w:rPr>
            <w:fldChar w:fldCharType="begin"/>
          </w:r>
          <w:r>
            <w:rPr>
              <w:noProof/>
            </w:rPr>
            <w:instrText xml:space="preserve"> STYLEREF  "Document Title"  \* MERGEFORMAT </w:instrText>
          </w:r>
          <w:r>
            <w:rPr>
              <w:noProof/>
            </w:rPr>
            <w:fldChar w:fldCharType="separate"/>
          </w:r>
          <w:r w:rsidR="007E0985">
            <w:rPr>
              <w:noProof/>
            </w:rPr>
            <w:t>Report of the 2018-19 Forest Audit Program</w:t>
          </w:r>
          <w:r>
            <w:rPr>
              <w:noProof/>
            </w:rPr>
            <w:fldChar w:fldCharType="end"/>
          </w:r>
        </w:p>
      </w:tc>
      <w:tc>
        <w:tcPr>
          <w:tcW w:w="3119" w:type="dxa"/>
          <w:shd w:val="clear" w:color="auto" w:fill="auto"/>
          <w:vAlign w:val="center"/>
        </w:tcPr>
        <w:p w14:paraId="144CDE66" w14:textId="77777777" w:rsidR="009F391E" w:rsidRPr="00037461" w:rsidRDefault="009F391E" w:rsidP="00D61A6B"/>
      </w:tc>
    </w:tr>
  </w:tbl>
  <w:p w14:paraId="6E0B0C0A" w14:textId="77777777" w:rsidR="009F391E" w:rsidRDefault="009F391E" w:rsidP="00D61A6B">
    <w:pPr>
      <w:pStyle w:val="EmptyHeader"/>
    </w:pPr>
  </w:p>
  <w:p w14:paraId="38D9E0C8" w14:textId="77777777" w:rsidR="009F391E" w:rsidRDefault="009F391E" w:rsidP="00D61A6B">
    <w:pPr>
      <w:pStyle w:val="Header"/>
    </w:pPr>
    <w:r w:rsidRPr="00BF0918">
      <w:rPr>
        <w:rFonts w:cs="Arial"/>
        <w:b/>
        <w:noProof/>
        <w:color w:val="808080"/>
        <w:szCs w:val="22"/>
        <w:lang w:eastAsia="en-AU"/>
      </w:rPr>
      <w:drawing>
        <wp:anchor distT="0" distB="0" distL="114300" distR="114300" simplePos="0" relativeHeight="251668480" behindDoc="0" locked="1" layoutInCell="0" allowOverlap="0" wp14:anchorId="6A5B0910" wp14:editId="41778F24">
          <wp:simplePos x="0" y="0"/>
          <wp:positionH relativeFrom="page">
            <wp:posOffset>5993130</wp:posOffset>
          </wp:positionH>
          <wp:positionV relativeFrom="page">
            <wp:posOffset>573405</wp:posOffset>
          </wp:positionV>
          <wp:extent cx="1234440" cy="283845"/>
          <wp:effectExtent l="0" t="0" r="3810" b="1905"/>
          <wp:wrapNone/>
          <wp:docPr id="56"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2"/>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9F391E" w:rsidRPr="00037461" w14:paraId="6BEB9722" w14:textId="77777777" w:rsidTr="00D61A6B">
      <w:trPr>
        <w:cantSplit/>
        <w:trHeight w:val="851"/>
      </w:trPr>
      <w:tc>
        <w:tcPr>
          <w:tcW w:w="3572" w:type="pct"/>
          <w:shd w:val="clear" w:color="auto" w:fill="auto"/>
          <w:tcMar>
            <w:right w:w="567" w:type="dxa"/>
          </w:tcMar>
          <w:vAlign w:val="bottom"/>
        </w:tcPr>
        <w:p w14:paraId="6027B90A" w14:textId="1F83B697" w:rsidR="009F391E" w:rsidRPr="00037461" w:rsidRDefault="009F391E"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13561C">
            <w:rPr>
              <w:rFonts w:cs="Arial"/>
              <w:noProof/>
              <w:szCs w:val="22"/>
            </w:rPr>
            <w:t>Report of the 2018-19 Forest Audit Program</w:t>
          </w:r>
          <w:r w:rsidRPr="00BF0918">
            <w:rPr>
              <w:rFonts w:cs="Arial"/>
              <w:b/>
              <w:noProof/>
              <w:szCs w:val="22"/>
            </w:rPr>
            <w:fldChar w:fldCharType="end"/>
          </w:r>
        </w:p>
      </w:tc>
      <w:tc>
        <w:tcPr>
          <w:tcW w:w="1428" w:type="pct"/>
          <w:shd w:val="clear" w:color="auto" w:fill="auto"/>
          <w:vAlign w:val="bottom"/>
        </w:tcPr>
        <w:p w14:paraId="6EF2992F" w14:textId="77777777" w:rsidR="009F391E" w:rsidRPr="00037461" w:rsidRDefault="009F391E" w:rsidP="00D61A6B">
          <w:pPr>
            <w:jc w:val="right"/>
          </w:pPr>
        </w:p>
      </w:tc>
    </w:tr>
  </w:tbl>
  <w:p w14:paraId="4811E551" w14:textId="77777777" w:rsidR="009F391E" w:rsidRPr="00AC4577" w:rsidRDefault="009F391E" w:rsidP="00D61A6B">
    <w:pPr>
      <w:pStyle w:val="Header"/>
    </w:pPr>
    <w:r w:rsidRPr="00BF0918">
      <w:rPr>
        <w:rFonts w:cs="Arial"/>
        <w:b/>
        <w:noProof/>
        <w:color w:val="808080"/>
        <w:szCs w:val="22"/>
        <w:lang w:eastAsia="en-AU"/>
      </w:rPr>
      <w:drawing>
        <wp:anchor distT="0" distB="0" distL="114300" distR="114300" simplePos="0" relativeHeight="251672576" behindDoc="0" locked="1" layoutInCell="0" allowOverlap="0" wp14:anchorId="22BB3A3C" wp14:editId="03B5E7B1">
          <wp:simplePos x="0" y="0"/>
          <wp:positionH relativeFrom="page">
            <wp:posOffset>5993130</wp:posOffset>
          </wp:positionH>
          <wp:positionV relativeFrom="page">
            <wp:posOffset>573405</wp:posOffset>
          </wp:positionV>
          <wp:extent cx="1234440" cy="283845"/>
          <wp:effectExtent l="0" t="0" r="3810" b="1905"/>
          <wp:wrapNone/>
          <wp:docPr id="71"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9F391E" w:rsidRPr="00037461" w14:paraId="4256945A" w14:textId="77777777" w:rsidTr="00D61A6B">
      <w:trPr>
        <w:cantSplit/>
        <w:trHeight w:val="851"/>
      </w:trPr>
      <w:tc>
        <w:tcPr>
          <w:tcW w:w="3572" w:type="pct"/>
          <w:shd w:val="clear" w:color="auto" w:fill="auto"/>
          <w:tcMar>
            <w:right w:w="567" w:type="dxa"/>
          </w:tcMar>
          <w:vAlign w:val="bottom"/>
        </w:tcPr>
        <w:p w14:paraId="180462D2" w14:textId="27DE0A1D" w:rsidR="009F391E" w:rsidRPr="00037461" w:rsidRDefault="009F391E" w:rsidP="00D61A6B">
          <w:pPr>
            <w:pStyle w:val="Header"/>
          </w:pPr>
          <w:r w:rsidRPr="00BF0918">
            <w:rPr>
              <w:rFonts w:cs="Arial"/>
              <w:b/>
              <w:szCs w:val="22"/>
            </w:rPr>
            <w:fldChar w:fldCharType="begin"/>
          </w:r>
          <w:r w:rsidRPr="00BF0918">
            <w:rPr>
              <w:rFonts w:cs="Arial"/>
              <w:szCs w:val="22"/>
            </w:rPr>
            <w:instrText xml:space="preserve"> STYLEREF  "Document Title"  \* MERGEFORMAT </w:instrText>
          </w:r>
          <w:r w:rsidRPr="00BF0918">
            <w:rPr>
              <w:rFonts w:cs="Arial"/>
              <w:b/>
              <w:szCs w:val="22"/>
            </w:rPr>
            <w:fldChar w:fldCharType="separate"/>
          </w:r>
          <w:r w:rsidR="0013561C">
            <w:rPr>
              <w:rFonts w:cs="Arial"/>
              <w:noProof/>
              <w:szCs w:val="22"/>
            </w:rPr>
            <w:t>Report of the 2018-19 Forest Audit Program</w:t>
          </w:r>
          <w:r w:rsidRPr="00BF0918">
            <w:rPr>
              <w:rFonts w:cs="Arial"/>
              <w:b/>
              <w:noProof/>
              <w:szCs w:val="22"/>
            </w:rPr>
            <w:fldChar w:fldCharType="end"/>
          </w:r>
        </w:p>
      </w:tc>
      <w:tc>
        <w:tcPr>
          <w:tcW w:w="1428" w:type="pct"/>
          <w:shd w:val="clear" w:color="auto" w:fill="auto"/>
          <w:vAlign w:val="bottom"/>
        </w:tcPr>
        <w:p w14:paraId="7B4FE023" w14:textId="77777777" w:rsidR="009F391E" w:rsidRPr="00037461" w:rsidRDefault="009F391E" w:rsidP="00D61A6B">
          <w:pPr>
            <w:jc w:val="right"/>
          </w:pPr>
        </w:p>
      </w:tc>
    </w:tr>
  </w:tbl>
  <w:p w14:paraId="0E86216E" w14:textId="77777777" w:rsidR="009F391E" w:rsidRPr="00AC4577" w:rsidRDefault="009F391E" w:rsidP="00D61A6B">
    <w:pPr>
      <w:pStyle w:val="Header"/>
    </w:pPr>
    <w:r w:rsidRPr="00BF0918">
      <w:rPr>
        <w:rFonts w:cs="Arial"/>
        <w:b/>
        <w:noProof/>
        <w:color w:val="808080"/>
        <w:szCs w:val="22"/>
        <w:lang w:eastAsia="en-AU"/>
      </w:rPr>
      <w:drawing>
        <wp:anchor distT="0" distB="0" distL="114300" distR="114300" simplePos="0" relativeHeight="251674624" behindDoc="0" locked="1" layoutInCell="0" allowOverlap="0" wp14:anchorId="7486273F" wp14:editId="599C93B2">
          <wp:simplePos x="0" y="0"/>
          <wp:positionH relativeFrom="page">
            <wp:posOffset>5993130</wp:posOffset>
          </wp:positionH>
          <wp:positionV relativeFrom="page">
            <wp:posOffset>573405</wp:posOffset>
          </wp:positionV>
          <wp:extent cx="1234440" cy="283845"/>
          <wp:effectExtent l="0" t="0" r="3810" b="1905"/>
          <wp:wrapNone/>
          <wp:docPr id="68"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440" cy="283845"/>
                  </a:xfrm>
                  <a:prstGeom prst="rect">
                    <a:avLst/>
                  </a:prstGeom>
                  <a:noFill/>
                </pic:spPr>
              </pic:pic>
            </a:graphicData>
          </a:graphic>
          <wp14:sizeRelH relativeFrom="margin">
            <wp14:pctWidth>0</wp14:pctWidth>
          </wp14:sizeRelH>
          <wp14:sizeRelV relativeFrom="margin">
            <wp14:pctHeight>0</wp14:pctHeight>
          </wp14:sizeRelV>
        </wp:anchor>
      </w:drawing>
    </w:r>
  </w:p>
  <w:p w14:paraId="4ABD3F8B" w14:textId="77777777" w:rsidR="009F391E" w:rsidRDefault="009F391E"/>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7934"/>
      <w:gridCol w:w="3172"/>
    </w:tblGrid>
    <w:tr w:rsidR="009F391E" w:rsidRPr="00F01C7E" w14:paraId="53FB1D4F" w14:textId="77777777" w:rsidTr="0036050D">
      <w:trPr>
        <w:cantSplit/>
        <w:trHeight w:val="851"/>
      </w:trPr>
      <w:tc>
        <w:tcPr>
          <w:tcW w:w="3572" w:type="pct"/>
          <w:shd w:val="clear" w:color="auto" w:fill="auto"/>
          <w:tcMar>
            <w:right w:w="567" w:type="dxa"/>
          </w:tcMar>
          <w:vAlign w:val="bottom"/>
        </w:tcPr>
        <w:p w14:paraId="1C42C692" w14:textId="27BAE65B" w:rsidR="009F391E" w:rsidRPr="00F01C7E" w:rsidRDefault="0013561C" w:rsidP="0036050D">
          <w:pPr>
            <w:pStyle w:val="Header"/>
            <w:rPr>
              <w:b/>
            </w:rPr>
          </w:pPr>
          <w:r>
            <w:fldChar w:fldCharType="begin"/>
          </w:r>
          <w:r>
            <w:instrText xml:space="preserve"> STYLEREF  "Document Title"  \* MERGEFORMAT </w:instrText>
          </w:r>
          <w:r>
            <w:fldChar w:fldCharType="separate"/>
          </w:r>
          <w:r>
            <w:rPr>
              <w:noProof/>
            </w:rPr>
            <w:t>Report of the 2018-19 Forest Audit Program</w:t>
          </w:r>
          <w:r>
            <w:rPr>
              <w:noProof/>
            </w:rPr>
            <w:fldChar w:fldCharType="end"/>
          </w:r>
        </w:p>
      </w:tc>
      <w:tc>
        <w:tcPr>
          <w:tcW w:w="1428" w:type="pct"/>
          <w:shd w:val="clear" w:color="auto" w:fill="auto"/>
          <w:vAlign w:val="bottom"/>
        </w:tcPr>
        <w:p w14:paraId="48C8A1FC" w14:textId="77777777" w:rsidR="009F391E" w:rsidRPr="00F01C7E" w:rsidRDefault="009F391E" w:rsidP="0036050D">
          <w:pPr>
            <w:pStyle w:val="Header"/>
            <w:rPr>
              <w:b/>
            </w:rPr>
          </w:pPr>
        </w:p>
      </w:tc>
    </w:tr>
  </w:tbl>
  <w:p w14:paraId="63A03497" w14:textId="77777777" w:rsidR="009F391E" w:rsidRPr="00F01C7E" w:rsidRDefault="009F391E" w:rsidP="0036050D">
    <w:pPr>
      <w:pStyle w:val="Header"/>
      <w:rPr>
        <w:b/>
      </w:rPr>
    </w:pPr>
    <w:r w:rsidRPr="0036050D">
      <w:rPr>
        <w:rFonts w:cs="Arial"/>
        <w:b/>
        <w:noProof/>
        <w:color w:val="808080"/>
        <w:szCs w:val="22"/>
        <w:lang w:eastAsia="en-AU"/>
      </w:rPr>
      <w:drawing>
        <wp:anchor distT="0" distB="0" distL="114300" distR="114300" simplePos="0" relativeHeight="251687936" behindDoc="0" locked="1" layoutInCell="0" allowOverlap="0" wp14:anchorId="52DBBA7A" wp14:editId="528DC1DF">
          <wp:simplePos x="0" y="0"/>
          <wp:positionH relativeFrom="margin">
            <wp:align>right</wp:align>
          </wp:positionH>
          <wp:positionV relativeFrom="page">
            <wp:posOffset>572770</wp:posOffset>
          </wp:positionV>
          <wp:extent cx="1234440" cy="283845"/>
          <wp:effectExtent l="0" t="0" r="3810" b="1905"/>
          <wp:wrapNone/>
          <wp:docPr id="19"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5000" w:type="pct"/>
      <w:tblBorders>
        <w:bottom w:val="single" w:sz="8" w:space="0" w:color="2314DC" w:themeColor="accent1"/>
      </w:tblBorders>
      <w:tblCellMar>
        <w:left w:w="0" w:type="dxa"/>
        <w:bottom w:w="170" w:type="dxa"/>
        <w:right w:w="0" w:type="dxa"/>
      </w:tblCellMar>
      <w:tblLook w:val="04A0" w:firstRow="1" w:lastRow="0" w:firstColumn="1" w:lastColumn="0" w:noHBand="0" w:noVBand="1"/>
    </w:tblPr>
    <w:tblGrid>
      <w:gridCol w:w="3016"/>
      <w:gridCol w:w="8090"/>
    </w:tblGrid>
    <w:tr w:rsidR="009F391E" w:rsidRPr="00037461" w14:paraId="36914AEA" w14:textId="77777777" w:rsidTr="00D61A6B">
      <w:trPr>
        <w:cantSplit/>
        <w:trHeight w:val="851"/>
      </w:trPr>
      <w:tc>
        <w:tcPr>
          <w:tcW w:w="1358" w:type="pct"/>
          <w:shd w:val="clear" w:color="auto" w:fill="auto"/>
          <w:tcMar>
            <w:right w:w="567" w:type="dxa"/>
          </w:tcMar>
          <w:vAlign w:val="bottom"/>
        </w:tcPr>
        <w:p w14:paraId="1E124803" w14:textId="77777777" w:rsidR="009F391E" w:rsidRPr="00037461" w:rsidRDefault="009F391E" w:rsidP="00D61A6B">
          <w:pPr>
            <w:pStyle w:val="Header"/>
          </w:pPr>
        </w:p>
      </w:tc>
      <w:tc>
        <w:tcPr>
          <w:tcW w:w="3642" w:type="pct"/>
          <w:shd w:val="clear" w:color="auto" w:fill="auto"/>
          <w:vAlign w:val="bottom"/>
        </w:tcPr>
        <w:p w14:paraId="3E6151F0" w14:textId="58581104" w:rsidR="009F391E" w:rsidRPr="00037461" w:rsidRDefault="0013561C" w:rsidP="00D61A6B">
          <w:pPr>
            <w:pStyle w:val="Header"/>
            <w:jc w:val="right"/>
          </w:pPr>
          <w:r>
            <w:fldChar w:fldCharType="begin"/>
          </w:r>
          <w:r>
            <w:instrText xml:space="preserve"> STYLEREF  "Document Title"  \* MERGEFORMAT </w:instrText>
          </w:r>
          <w:r>
            <w:fldChar w:fldCharType="separate"/>
          </w:r>
          <w:r w:rsidR="007E0985">
            <w:rPr>
              <w:noProof/>
            </w:rPr>
            <w:t>Report of the 2018-19 Forest Audit Program</w:t>
          </w:r>
          <w:r>
            <w:rPr>
              <w:noProof/>
            </w:rPr>
            <w:fldChar w:fldCharType="end"/>
          </w:r>
        </w:p>
      </w:tc>
    </w:tr>
  </w:tbl>
  <w:p w14:paraId="7EF3CDF8" w14:textId="77777777" w:rsidR="009F391E" w:rsidRPr="007D5EB2" w:rsidRDefault="009F391E" w:rsidP="00D61A6B">
    <w:pPr>
      <w:pStyle w:val="Header"/>
    </w:pPr>
    <w:r w:rsidRPr="00BF0918">
      <w:rPr>
        <w:rFonts w:cs="Arial"/>
        <w:b/>
        <w:noProof/>
        <w:color w:val="808080"/>
        <w:szCs w:val="22"/>
      </w:rPr>
      <w:drawing>
        <wp:anchor distT="0" distB="0" distL="114300" distR="114300" simplePos="0" relativeHeight="251685888" behindDoc="0" locked="1" layoutInCell="0" allowOverlap="0" wp14:anchorId="2806933B" wp14:editId="1F4B156D">
          <wp:simplePos x="0" y="0"/>
          <wp:positionH relativeFrom="margin">
            <wp:align>left</wp:align>
          </wp:positionH>
          <wp:positionV relativeFrom="page">
            <wp:posOffset>572770</wp:posOffset>
          </wp:positionV>
          <wp:extent cx="1234440" cy="283845"/>
          <wp:effectExtent l="0" t="0" r="3810" b="1905"/>
          <wp:wrapNone/>
          <wp:docPr id="100" name="skm portrai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KM_CMYK_Rev.jpg"/>
                  <pic:cNvPicPr preferRelativeResize="0"/>
                </pic:nvPicPr>
                <pic:blipFill>
                  <a:blip r:embed="rId1"/>
                  <a:stretch>
                    <a:fillRect/>
                  </a:stretch>
                </pic:blipFill>
                <pic:spPr>
                  <a:xfrm>
                    <a:off x="0" y="0"/>
                    <a:ext cx="1234800" cy="284079"/>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945AB03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6CE115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D72C40EE"/>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D7708CC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9BB29D5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A5A0EBA"/>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00F8647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2B67F6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52785CE0"/>
    <w:lvl w:ilvl="0">
      <w:start w:val="1"/>
      <w:numFmt w:val="decimal"/>
      <w:pStyle w:val="ListNumber"/>
      <w:lvlText w:val="%1."/>
      <w:lvlJc w:val="left"/>
      <w:pPr>
        <w:tabs>
          <w:tab w:val="num" w:pos="360"/>
        </w:tabs>
        <w:ind w:left="360" w:hanging="360"/>
      </w:pPr>
    </w:lvl>
  </w:abstractNum>
  <w:abstractNum w:abstractNumId="9" w15:restartNumberingAfterBreak="0">
    <w:nsid w:val="003C2C21"/>
    <w:multiLevelType w:val="singleLevel"/>
    <w:tmpl w:val="B0CE791E"/>
    <w:lvl w:ilvl="0">
      <w:start w:val="1"/>
      <w:numFmt w:val="lowerRoman"/>
      <w:pStyle w:val="Para3roman"/>
      <w:lvlText w:val="%1."/>
      <w:lvlJc w:val="left"/>
      <w:pPr>
        <w:ind w:left="1701" w:hanging="425"/>
      </w:pPr>
      <w:rPr>
        <w:rFonts w:hint="default"/>
      </w:rPr>
    </w:lvl>
  </w:abstractNum>
  <w:abstractNum w:abstractNumId="10" w15:restartNumberingAfterBreak="0">
    <w:nsid w:val="01AE139E"/>
    <w:multiLevelType w:val="hybridMultilevel"/>
    <w:tmpl w:val="2B968C6E"/>
    <w:lvl w:ilvl="0" w:tplc="CDF6E0D6">
      <w:start w:val="1"/>
      <w:numFmt w:val="bullet"/>
      <w:pStyle w:val="Bodynarrow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2D00E14"/>
    <w:multiLevelType w:val="multilevel"/>
    <w:tmpl w:val="6098423A"/>
    <w:styleLink w:val="SKMTablesmallitem"/>
    <w:lvl w:ilvl="0">
      <w:start w:val="1"/>
      <w:numFmt w:val="decimal"/>
      <w:suff w:val="nothing"/>
      <w:lvlText w:val="%1"/>
      <w:lvlJc w:val="left"/>
      <w:pPr>
        <w:ind w:left="0" w:firstLine="0"/>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12" w15:restartNumberingAfterBreak="0">
    <w:nsid w:val="04C95399"/>
    <w:multiLevelType w:val="multilevel"/>
    <w:tmpl w:val="EEE8BB58"/>
    <w:styleLink w:val="JacobsBulletList1"/>
    <w:lvl w:ilvl="0">
      <w:start w:val="1"/>
      <w:numFmt w:val="bullet"/>
      <w:pStyle w:val="Para0bullet"/>
      <w:lvlText w:val="§"/>
      <w:lvlJc w:val="left"/>
      <w:pPr>
        <w:ind w:left="425" w:hanging="425"/>
      </w:pPr>
      <w:rPr>
        <w:rFonts w:ascii="Wingdings" w:hAnsi="Wingdings" w:hint="default"/>
        <w:color w:val="auto"/>
        <w:sz w:val="18"/>
      </w:rPr>
    </w:lvl>
    <w:lvl w:ilvl="1">
      <w:start w:val="1"/>
      <w:numFmt w:val="bullet"/>
      <w:pStyle w:val="Para1narrowarrow"/>
      <w:lvlText w:val="-"/>
      <w:lvlJc w:val="left"/>
      <w:pPr>
        <w:ind w:left="851" w:hanging="426"/>
      </w:pPr>
      <w:rPr>
        <w:rFonts w:ascii="Jacobs Chronos" w:hAnsi="Jacobs Chronos" w:cs="Jacobs Chronos"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13" w15:restartNumberingAfterBreak="0">
    <w:nsid w:val="06133C7F"/>
    <w:multiLevelType w:val="hybridMultilevel"/>
    <w:tmpl w:val="EB0A6F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7C53305"/>
    <w:multiLevelType w:val="multilevel"/>
    <w:tmpl w:val="E6E44C18"/>
    <w:styleLink w:val="JacobsNumberedList1"/>
    <w:lvl w:ilvl="0">
      <w:start w:val="1"/>
      <w:numFmt w:val="decimal"/>
      <w:pStyle w:val="Para0number"/>
      <w:lvlText w:val="%1)"/>
      <w:lvlJc w:val="left"/>
      <w:pPr>
        <w:ind w:left="425" w:hanging="425"/>
      </w:pPr>
      <w:rPr>
        <w:rFonts w:hint="default"/>
      </w:rPr>
    </w:lvl>
    <w:lvl w:ilvl="1">
      <w:start w:val="1"/>
      <w:numFmt w:val="lowerLetter"/>
      <w:lvlText w:val="%2)"/>
      <w:lvlJc w:val="left"/>
      <w:pPr>
        <w:ind w:left="851" w:hanging="426"/>
      </w:pPr>
      <w:rPr>
        <w:rFonts w:hint="default"/>
      </w:rPr>
    </w:lvl>
    <w:lvl w:ilvl="2">
      <w:start w:val="1"/>
      <w:numFmt w:val="lowerRoman"/>
      <w:lvlText w:val="%3."/>
      <w:lvlJc w:val="left"/>
      <w:pPr>
        <w:ind w:left="1276" w:hanging="425"/>
      </w:pPr>
      <w:rPr>
        <w:rFonts w:hint="default"/>
      </w:rPr>
    </w:lvl>
    <w:lvl w:ilvl="3">
      <w:start w:val="1"/>
      <w:numFmt w:val="none"/>
      <w:lvlRestart w:val="0"/>
      <w:lvlText w:val=""/>
      <w:lvlJc w:val="left"/>
      <w:pPr>
        <w:ind w:left="1276" w:hanging="425"/>
      </w:pPr>
      <w:rPr>
        <w:rFonts w:hint="default"/>
      </w:rPr>
    </w:lvl>
    <w:lvl w:ilvl="4">
      <w:start w:val="1"/>
      <w:numFmt w:val="none"/>
      <w:lvlRestart w:val="0"/>
      <w:lvlText w:val=""/>
      <w:lvlJc w:val="left"/>
      <w:pPr>
        <w:ind w:left="1276" w:hanging="425"/>
      </w:pPr>
      <w:rPr>
        <w:rFonts w:hint="default"/>
      </w:rPr>
    </w:lvl>
    <w:lvl w:ilvl="5">
      <w:start w:val="1"/>
      <w:numFmt w:val="none"/>
      <w:lvlRestart w:val="0"/>
      <w:lvlText w:val=""/>
      <w:lvlJc w:val="left"/>
      <w:pPr>
        <w:ind w:left="1276" w:hanging="425"/>
      </w:pPr>
      <w:rPr>
        <w:rFonts w:hint="default"/>
      </w:rPr>
    </w:lvl>
    <w:lvl w:ilvl="6">
      <w:start w:val="1"/>
      <w:numFmt w:val="none"/>
      <w:lvlRestart w:val="0"/>
      <w:lvlText w:val=""/>
      <w:lvlJc w:val="left"/>
      <w:pPr>
        <w:ind w:left="1276" w:hanging="425"/>
      </w:pPr>
      <w:rPr>
        <w:rFonts w:hint="default"/>
      </w:rPr>
    </w:lvl>
    <w:lvl w:ilvl="7">
      <w:start w:val="1"/>
      <w:numFmt w:val="none"/>
      <w:lvlRestart w:val="0"/>
      <w:lvlText w:val=""/>
      <w:lvlJc w:val="left"/>
      <w:pPr>
        <w:ind w:left="1276" w:hanging="425"/>
      </w:pPr>
      <w:rPr>
        <w:rFonts w:hint="default"/>
      </w:rPr>
    </w:lvl>
    <w:lvl w:ilvl="8">
      <w:start w:val="1"/>
      <w:numFmt w:val="none"/>
      <w:lvlRestart w:val="0"/>
      <w:lvlText w:val=""/>
      <w:lvlJc w:val="left"/>
      <w:pPr>
        <w:ind w:left="1276" w:hanging="425"/>
      </w:pPr>
      <w:rPr>
        <w:rFonts w:hint="default"/>
      </w:rPr>
    </w:lvl>
  </w:abstractNum>
  <w:abstractNum w:abstractNumId="15" w15:restartNumberingAfterBreak="0">
    <w:nsid w:val="081703E4"/>
    <w:multiLevelType w:val="multilevel"/>
    <w:tmpl w:val="1D02411C"/>
    <w:styleLink w:val="JacobsNumberedList13"/>
    <w:lvl w:ilvl="0">
      <w:start w:val="1"/>
      <w:numFmt w:val="decimal"/>
      <w:pStyle w:val="Para3number"/>
      <w:lvlText w:val="%1)"/>
      <w:lvlJc w:val="left"/>
      <w:pPr>
        <w:ind w:left="1701" w:hanging="425"/>
      </w:pPr>
      <w:rPr>
        <w:rFonts w:ascii="Jacobs Chronos" w:hAnsi="Jacobs Chronos" w:cs="Jacobs Chronos" w:hint="default"/>
        <w:b w:val="0"/>
        <w:i w:val="0"/>
        <w:color w:val="auto"/>
        <w:sz w:val="2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6" w15:restartNumberingAfterBreak="0">
    <w:nsid w:val="099D0038"/>
    <w:multiLevelType w:val="multilevel"/>
    <w:tmpl w:val="F5AC586E"/>
    <w:styleLink w:val="JacobsBulletList2"/>
    <w:lvl w:ilvl="0">
      <w:start w:val="1"/>
      <w:numFmt w:val="bullet"/>
      <w:pStyle w:val="Para0dash"/>
      <w:lvlText w:val="-"/>
      <w:lvlJc w:val="left"/>
      <w:pPr>
        <w:ind w:left="425" w:hanging="425"/>
      </w:pPr>
      <w:rPr>
        <w:rFonts w:ascii="Jacobs Chronos" w:hAnsi="Jacobs Chronos" w:cs="Jacobs Chronos"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17" w15:restartNumberingAfterBreak="0">
    <w:nsid w:val="09CF0B20"/>
    <w:multiLevelType w:val="hybridMultilevel"/>
    <w:tmpl w:val="8C647EAC"/>
    <w:lvl w:ilvl="0" w:tplc="F10634C8">
      <w:start w:val="1"/>
      <w:numFmt w:val="bullet"/>
      <w:pStyle w:val="ContentBulletsArrow"/>
      <w:lvlText w:val="&gt;"/>
      <w:lvlJc w:val="left"/>
      <w:pPr>
        <w:ind w:left="4298" w:hanging="851"/>
      </w:pPr>
      <w:rPr>
        <w:rFonts w:ascii="Jacobs Chronos" w:hAnsi="Jacobs Chronos" w:cs="Jacobs Chronos" w:hint="default"/>
      </w:rPr>
    </w:lvl>
    <w:lvl w:ilvl="1" w:tplc="FDE27A44" w:tentative="1">
      <w:start w:val="1"/>
      <w:numFmt w:val="bullet"/>
      <w:lvlText w:val="o"/>
      <w:lvlJc w:val="left"/>
      <w:pPr>
        <w:ind w:left="5171" w:hanging="360"/>
      </w:pPr>
      <w:rPr>
        <w:rFonts w:ascii="Courier New" w:hAnsi="Courier New" w:hint="default"/>
      </w:rPr>
    </w:lvl>
    <w:lvl w:ilvl="2" w:tplc="221026D4" w:tentative="1">
      <w:start w:val="1"/>
      <w:numFmt w:val="bullet"/>
      <w:lvlText w:val=""/>
      <w:lvlJc w:val="left"/>
      <w:pPr>
        <w:ind w:left="5891" w:hanging="360"/>
      </w:pPr>
      <w:rPr>
        <w:rFonts w:ascii="Wingdings" w:hAnsi="Wingdings" w:hint="default"/>
      </w:rPr>
    </w:lvl>
    <w:lvl w:ilvl="3" w:tplc="D6BC9188" w:tentative="1">
      <w:start w:val="1"/>
      <w:numFmt w:val="bullet"/>
      <w:lvlText w:val=""/>
      <w:lvlJc w:val="left"/>
      <w:pPr>
        <w:ind w:left="6611" w:hanging="360"/>
      </w:pPr>
      <w:rPr>
        <w:rFonts w:ascii="Symbol" w:hAnsi="Symbol" w:hint="default"/>
      </w:rPr>
    </w:lvl>
    <w:lvl w:ilvl="4" w:tplc="B0845AFC" w:tentative="1">
      <w:start w:val="1"/>
      <w:numFmt w:val="bullet"/>
      <w:lvlText w:val="o"/>
      <w:lvlJc w:val="left"/>
      <w:pPr>
        <w:ind w:left="7331" w:hanging="360"/>
      </w:pPr>
      <w:rPr>
        <w:rFonts w:ascii="Courier New" w:hAnsi="Courier New" w:hint="default"/>
      </w:rPr>
    </w:lvl>
    <w:lvl w:ilvl="5" w:tplc="E742928C" w:tentative="1">
      <w:start w:val="1"/>
      <w:numFmt w:val="bullet"/>
      <w:lvlText w:val=""/>
      <w:lvlJc w:val="left"/>
      <w:pPr>
        <w:ind w:left="8051" w:hanging="360"/>
      </w:pPr>
      <w:rPr>
        <w:rFonts w:ascii="Wingdings" w:hAnsi="Wingdings" w:hint="default"/>
      </w:rPr>
    </w:lvl>
    <w:lvl w:ilvl="6" w:tplc="A176A3DA" w:tentative="1">
      <w:start w:val="1"/>
      <w:numFmt w:val="bullet"/>
      <w:lvlText w:val=""/>
      <w:lvlJc w:val="left"/>
      <w:pPr>
        <w:ind w:left="8771" w:hanging="360"/>
      </w:pPr>
      <w:rPr>
        <w:rFonts w:ascii="Symbol" w:hAnsi="Symbol" w:hint="default"/>
      </w:rPr>
    </w:lvl>
    <w:lvl w:ilvl="7" w:tplc="6A8C04FA" w:tentative="1">
      <w:start w:val="1"/>
      <w:numFmt w:val="bullet"/>
      <w:lvlText w:val="o"/>
      <w:lvlJc w:val="left"/>
      <w:pPr>
        <w:ind w:left="9491" w:hanging="360"/>
      </w:pPr>
      <w:rPr>
        <w:rFonts w:ascii="Courier New" w:hAnsi="Courier New" w:hint="default"/>
      </w:rPr>
    </w:lvl>
    <w:lvl w:ilvl="8" w:tplc="33444060" w:tentative="1">
      <w:start w:val="1"/>
      <w:numFmt w:val="bullet"/>
      <w:lvlText w:val=""/>
      <w:lvlJc w:val="left"/>
      <w:pPr>
        <w:ind w:left="10211" w:hanging="360"/>
      </w:pPr>
      <w:rPr>
        <w:rFonts w:ascii="Wingdings" w:hAnsi="Wingdings" w:hint="default"/>
      </w:rPr>
    </w:lvl>
  </w:abstractNum>
  <w:abstractNum w:abstractNumId="18" w15:restartNumberingAfterBreak="0">
    <w:nsid w:val="09E53B47"/>
    <w:multiLevelType w:val="hybridMultilevel"/>
    <w:tmpl w:val="255CAABC"/>
    <w:lvl w:ilvl="0" w:tplc="092C556A">
      <w:start w:val="1"/>
      <w:numFmt w:val="bullet"/>
      <w:pStyle w:val="ContentBulletsDash"/>
      <w:lvlText w:val=""/>
      <w:lvlJc w:val="left"/>
      <w:pPr>
        <w:ind w:left="1418" w:hanging="851"/>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AEF2D64"/>
    <w:multiLevelType w:val="multilevel"/>
    <w:tmpl w:val="D65038F6"/>
    <w:styleLink w:val="JacobsSmallTableNumberedList1"/>
    <w:lvl w:ilvl="0">
      <w:start w:val="1"/>
      <w:numFmt w:val="decimal"/>
      <w:lvlText w:val="%1."/>
      <w:lvlJc w:val="left"/>
      <w:pPr>
        <w:ind w:left="283" w:hanging="283"/>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20" w15:restartNumberingAfterBreak="0">
    <w:nsid w:val="0B381398"/>
    <w:multiLevelType w:val="multilevel"/>
    <w:tmpl w:val="3E802D5E"/>
    <w:styleLink w:val="JacobsTableNumberedList2"/>
    <w:lvl w:ilvl="0">
      <w:start w:val="1"/>
      <w:numFmt w:val="lowerLetter"/>
      <w:pStyle w:val="Tableletter"/>
      <w:lvlText w:val="%1)"/>
      <w:lvlJc w:val="left"/>
      <w:pPr>
        <w:ind w:left="283" w:hanging="283"/>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1" w15:restartNumberingAfterBreak="0">
    <w:nsid w:val="0B4C097B"/>
    <w:multiLevelType w:val="multilevel"/>
    <w:tmpl w:val="62DE471C"/>
    <w:styleLink w:val="JacobsSingleSequentialList"/>
    <w:lvl w:ilvl="0">
      <w:start w:val="1"/>
      <w:numFmt w:val="decimal"/>
      <w:pStyle w:val="SingleSequential"/>
      <w:lvlText w:val="%1."/>
      <w:lvlJc w:val="left"/>
      <w:pPr>
        <w:ind w:left="851" w:hanging="851"/>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0B684144"/>
    <w:multiLevelType w:val="multilevel"/>
    <w:tmpl w:val="D89C6C1C"/>
    <w:styleLink w:val="JacobsTable2Item"/>
    <w:lvl w:ilvl="0">
      <w:start w:val="1"/>
      <w:numFmt w:val="decimal"/>
      <w:pStyle w:val="Table2item"/>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3" w15:restartNumberingAfterBreak="0">
    <w:nsid w:val="0C350032"/>
    <w:multiLevelType w:val="multilevel"/>
    <w:tmpl w:val="0D9C86FC"/>
    <w:lvl w:ilvl="0">
      <w:start w:val="1"/>
      <w:numFmt w:val="lowerLetter"/>
      <w:pStyle w:val="Para4letter"/>
      <w:lvlText w:val="%1)"/>
      <w:lvlJc w:val="left"/>
      <w:pPr>
        <w:ind w:left="212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0E3F3681"/>
    <w:multiLevelType w:val="multilevel"/>
    <w:tmpl w:val="DC36AEF6"/>
    <w:styleLink w:val="JacobsTable2SmallItem"/>
    <w:lvl w:ilvl="0">
      <w:start w:val="1"/>
      <w:numFmt w:val="decimal"/>
      <w:pStyle w:val="Table2smallitem"/>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5" w15:restartNumberingAfterBreak="0">
    <w:nsid w:val="0FA97530"/>
    <w:multiLevelType w:val="multilevel"/>
    <w:tmpl w:val="9A9A8116"/>
    <w:styleLink w:val="SKMSmallTableNumberedList1"/>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26" w15:restartNumberingAfterBreak="0">
    <w:nsid w:val="13D220C7"/>
    <w:multiLevelType w:val="multilevel"/>
    <w:tmpl w:val="3BA44F1A"/>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7" w15:restartNumberingAfterBreak="0">
    <w:nsid w:val="149B38D1"/>
    <w:multiLevelType w:val="multilevel"/>
    <w:tmpl w:val="6CCEA0F2"/>
    <w:styleLink w:val="JacobsSmallTableNumberedList2"/>
    <w:lvl w:ilvl="0">
      <w:start w:val="1"/>
      <w:numFmt w:val="lowerLetter"/>
      <w:pStyle w:val="Tablesmallletter"/>
      <w:lvlText w:val="%1)"/>
      <w:lvlJc w:val="left"/>
      <w:pPr>
        <w:ind w:left="283" w:hanging="283"/>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8" w15:restartNumberingAfterBreak="0">
    <w:nsid w:val="15587C12"/>
    <w:multiLevelType w:val="multilevel"/>
    <w:tmpl w:val="0A42F504"/>
    <w:styleLink w:val="JacobsTableList1"/>
    <w:lvl w:ilvl="0">
      <w:start w:val="1"/>
      <w:numFmt w:val="bullet"/>
      <w:pStyle w:val="Tablebullet"/>
      <w:lvlText w:val="§"/>
      <w:lvlJc w:val="left"/>
      <w:pPr>
        <w:ind w:left="284" w:hanging="284"/>
      </w:pPr>
      <w:rPr>
        <w:rFonts w:ascii="Wingdings" w:hAnsi="Wingdings"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29" w15:restartNumberingAfterBreak="0">
    <w:nsid w:val="15C02A74"/>
    <w:multiLevelType w:val="multilevel"/>
    <w:tmpl w:val="438CAD2E"/>
    <w:styleLink w:val="JacobsNumberedList32"/>
    <w:lvl w:ilvl="0">
      <w:start w:val="1"/>
      <w:numFmt w:val="lowerRoman"/>
      <w:pStyle w:val="Para2roman"/>
      <w:lvlText w:val="%1."/>
      <w:lvlJc w:val="left"/>
      <w:pPr>
        <w:ind w:left="127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0" w15:restartNumberingAfterBreak="0">
    <w:nsid w:val="17C10C25"/>
    <w:multiLevelType w:val="multilevel"/>
    <w:tmpl w:val="080ABF0C"/>
    <w:styleLink w:val="SKMBulletList1"/>
    <w:lvl w:ilvl="0">
      <w:start w:val="1"/>
      <w:numFmt w:val="bullet"/>
      <w:lvlText w:val=""/>
      <w:lvlJc w:val="left"/>
      <w:pPr>
        <w:ind w:left="425" w:hanging="425"/>
      </w:pPr>
      <w:rPr>
        <w:rFonts w:ascii="Symbol" w:hAnsi="Symbol" w:hint="default"/>
        <w:color w:val="auto"/>
        <w:sz w:val="18"/>
      </w:rPr>
    </w:lvl>
    <w:lvl w:ilvl="1">
      <w:start w:val="1"/>
      <w:numFmt w:val="bullet"/>
      <w:lvlText w:val="-"/>
      <w:lvlJc w:val="left"/>
      <w:pPr>
        <w:ind w:left="851" w:hanging="426"/>
      </w:pPr>
      <w:rPr>
        <w:rFonts w:ascii="Arial" w:hAnsi="Arial" w:hint="default"/>
        <w:color w:val="000000" w:themeColor="text1"/>
        <w:sz w:val="18"/>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31" w15:restartNumberingAfterBreak="0">
    <w:nsid w:val="17EC5BB2"/>
    <w:multiLevelType w:val="multilevel"/>
    <w:tmpl w:val="E8662322"/>
    <w:styleLink w:val="JacobsBulletList3"/>
    <w:lvl w:ilvl="0">
      <w:start w:val="1"/>
      <w:numFmt w:val="bullet"/>
      <w:pStyle w:val="Para0arrow"/>
      <w:lvlText w:val=""/>
      <w:lvlJc w:val="left"/>
      <w:pPr>
        <w:ind w:left="425" w:hanging="425"/>
      </w:pPr>
      <w:rPr>
        <w:rFonts w:ascii="Symbol" w:hAnsi="Symbol" w:hint="default"/>
        <w:color w:val="auto"/>
      </w:rPr>
    </w:lvl>
    <w:lvl w:ilvl="1">
      <w:start w:val="1"/>
      <w:numFmt w:val="none"/>
      <w:lvlText w:val=""/>
      <w:lvlJc w:val="left"/>
      <w:pPr>
        <w:ind w:left="425" w:hanging="425"/>
      </w:pPr>
      <w:rPr>
        <w:rFonts w:hint="default"/>
      </w:rPr>
    </w:lvl>
    <w:lvl w:ilvl="2">
      <w:start w:val="1"/>
      <w:numFmt w:val="none"/>
      <w:lvlRestart w:val="1"/>
      <w:lvlText w:val=""/>
      <w:lvlJc w:val="left"/>
      <w:pPr>
        <w:ind w:left="425" w:hanging="425"/>
      </w:pPr>
      <w:rPr>
        <w:rFonts w:hint="default"/>
      </w:rPr>
    </w:lvl>
    <w:lvl w:ilvl="3">
      <w:start w:val="1"/>
      <w:numFmt w:val="none"/>
      <w:lvlRestart w:val="1"/>
      <w:lvlText w:val=""/>
      <w:lvlJc w:val="left"/>
      <w:pPr>
        <w:ind w:left="425" w:hanging="425"/>
      </w:pPr>
      <w:rPr>
        <w:rFonts w:hint="default"/>
      </w:rPr>
    </w:lvl>
    <w:lvl w:ilvl="4">
      <w:start w:val="1"/>
      <w:numFmt w:val="none"/>
      <w:lvlRestart w:val="1"/>
      <w:lvlText w:val=""/>
      <w:lvlJc w:val="left"/>
      <w:pPr>
        <w:ind w:left="425" w:hanging="425"/>
      </w:pPr>
      <w:rPr>
        <w:rFonts w:hint="default"/>
      </w:rPr>
    </w:lvl>
    <w:lvl w:ilvl="5">
      <w:start w:val="1"/>
      <w:numFmt w:val="none"/>
      <w:lvlRestart w:val="1"/>
      <w:lvlText w:val=""/>
      <w:lvlJc w:val="left"/>
      <w:pPr>
        <w:ind w:left="425" w:hanging="425"/>
      </w:pPr>
      <w:rPr>
        <w:rFonts w:hint="default"/>
      </w:rPr>
    </w:lvl>
    <w:lvl w:ilvl="6">
      <w:start w:val="1"/>
      <w:numFmt w:val="none"/>
      <w:lvlRestart w:val="1"/>
      <w:lvlText w:val=""/>
      <w:lvlJc w:val="left"/>
      <w:pPr>
        <w:ind w:left="425" w:hanging="425"/>
      </w:pPr>
      <w:rPr>
        <w:rFonts w:hint="default"/>
      </w:rPr>
    </w:lvl>
    <w:lvl w:ilvl="7">
      <w:start w:val="1"/>
      <w:numFmt w:val="none"/>
      <w:lvlRestart w:val="1"/>
      <w:lvlText w:val=""/>
      <w:lvlJc w:val="left"/>
      <w:pPr>
        <w:ind w:left="425" w:hanging="425"/>
      </w:pPr>
      <w:rPr>
        <w:rFonts w:hint="default"/>
      </w:rPr>
    </w:lvl>
    <w:lvl w:ilvl="8">
      <w:start w:val="1"/>
      <w:numFmt w:val="none"/>
      <w:lvlRestart w:val="1"/>
      <w:lvlText w:val=""/>
      <w:lvlJc w:val="left"/>
      <w:pPr>
        <w:ind w:left="425" w:hanging="425"/>
      </w:pPr>
      <w:rPr>
        <w:rFonts w:hint="default"/>
      </w:rPr>
    </w:lvl>
  </w:abstractNum>
  <w:abstractNum w:abstractNumId="32" w15:restartNumberingAfterBreak="0">
    <w:nsid w:val="1857777E"/>
    <w:multiLevelType w:val="singleLevel"/>
    <w:tmpl w:val="7318D970"/>
    <w:lvl w:ilvl="0">
      <w:start w:val="1"/>
      <w:numFmt w:val="lowerRoman"/>
      <w:pStyle w:val="Para1roman"/>
      <w:lvlText w:val="%1."/>
      <w:lvlJc w:val="left"/>
      <w:pPr>
        <w:ind w:left="851" w:hanging="426"/>
      </w:pPr>
      <w:rPr>
        <w:rFonts w:hint="default"/>
      </w:rPr>
    </w:lvl>
  </w:abstractNum>
  <w:abstractNum w:abstractNumId="33" w15:restartNumberingAfterBreak="0">
    <w:nsid w:val="198A69D5"/>
    <w:multiLevelType w:val="multilevel"/>
    <w:tmpl w:val="69C62C24"/>
    <w:styleLink w:val="JacobsNumberedList11"/>
    <w:lvl w:ilvl="0">
      <w:start w:val="1"/>
      <w:numFmt w:val="decimal"/>
      <w:pStyle w:val="Para1number"/>
      <w:lvlText w:val="%1)"/>
      <w:lvlJc w:val="left"/>
      <w:pPr>
        <w:ind w:left="850" w:hanging="425"/>
      </w:pPr>
      <w:rPr>
        <w:rFonts w:ascii="Jacobs Chronos" w:hAnsi="Jacobs Chronos" w:cs="Jacobs Chronos"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1C8C638D"/>
    <w:multiLevelType w:val="multilevel"/>
    <w:tmpl w:val="BD3067A6"/>
    <w:styleLink w:val="JacobsNumberedList3"/>
    <w:lvl w:ilvl="0">
      <w:start w:val="1"/>
      <w:numFmt w:val="lowerRoman"/>
      <w:pStyle w:val="Para0roman"/>
      <w:lvlText w:val="%1."/>
      <w:lvlJc w:val="left"/>
      <w:pPr>
        <w:ind w:left="425" w:hanging="425"/>
      </w:pPr>
      <w:rPr>
        <w:rFonts w:hint="default"/>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35" w15:restartNumberingAfterBreak="0">
    <w:nsid w:val="22BD5706"/>
    <w:multiLevelType w:val="multilevel"/>
    <w:tmpl w:val="0060B47C"/>
    <w:styleLink w:val="JacobsBodyList"/>
    <w:lvl w:ilvl="0">
      <w:start w:val="1"/>
      <w:numFmt w:val="bullet"/>
      <w:lvlText w:val=""/>
      <w:lvlJc w:val="left"/>
      <w:pPr>
        <w:tabs>
          <w:tab w:val="num" w:pos="3600"/>
        </w:tabs>
        <w:ind w:left="3600" w:hanging="3600"/>
      </w:pPr>
      <w:rPr>
        <w:rFonts w:ascii="Symbol" w:hAnsi="Symbol" w:hint="default"/>
        <w:color w:val="auto"/>
      </w:rPr>
    </w:lvl>
    <w:lvl w:ilvl="1">
      <w:start w:val="1"/>
      <w:numFmt w:val="bullet"/>
      <w:lvlRestart w:val="0"/>
      <w:lvlText w:val=""/>
      <w:lvlJc w:val="left"/>
      <w:pPr>
        <w:ind w:left="3799" w:hanging="3601"/>
      </w:pPr>
      <w:rPr>
        <w:rFonts w:ascii="Symbol" w:hAnsi="Symbol" w:hint="default"/>
        <w:color w:val="auto"/>
      </w:rPr>
    </w:lvl>
    <w:lvl w:ilvl="2">
      <w:start w:val="1"/>
      <w:numFmt w:val="none"/>
      <w:lvlRestart w:val="0"/>
      <w:lvlText w:val=""/>
      <w:lvlJc w:val="left"/>
      <w:pPr>
        <w:ind w:left="3799" w:hanging="3601"/>
      </w:pPr>
      <w:rPr>
        <w:rFonts w:hint="default"/>
      </w:rPr>
    </w:lvl>
    <w:lvl w:ilvl="3">
      <w:start w:val="1"/>
      <w:numFmt w:val="none"/>
      <w:lvlRestart w:val="0"/>
      <w:lvlText w:val=""/>
      <w:lvlJc w:val="left"/>
      <w:pPr>
        <w:ind w:left="3799" w:hanging="3601"/>
      </w:pPr>
      <w:rPr>
        <w:rFonts w:hint="default"/>
      </w:rPr>
    </w:lvl>
    <w:lvl w:ilvl="4">
      <w:start w:val="1"/>
      <w:numFmt w:val="none"/>
      <w:lvlRestart w:val="0"/>
      <w:lvlText w:val=""/>
      <w:lvlJc w:val="left"/>
      <w:pPr>
        <w:ind w:left="3799" w:hanging="3601"/>
      </w:pPr>
      <w:rPr>
        <w:rFonts w:hint="default"/>
      </w:rPr>
    </w:lvl>
    <w:lvl w:ilvl="5">
      <w:start w:val="1"/>
      <w:numFmt w:val="none"/>
      <w:lvlRestart w:val="0"/>
      <w:lvlText w:val=""/>
      <w:lvlJc w:val="left"/>
      <w:pPr>
        <w:ind w:left="3799" w:hanging="3601"/>
      </w:pPr>
      <w:rPr>
        <w:rFonts w:hint="default"/>
      </w:rPr>
    </w:lvl>
    <w:lvl w:ilvl="6">
      <w:start w:val="1"/>
      <w:numFmt w:val="none"/>
      <w:lvlRestart w:val="0"/>
      <w:lvlText w:val=""/>
      <w:lvlJc w:val="left"/>
      <w:pPr>
        <w:ind w:left="3799" w:hanging="3601"/>
      </w:pPr>
      <w:rPr>
        <w:rFonts w:hint="default"/>
      </w:rPr>
    </w:lvl>
    <w:lvl w:ilvl="7">
      <w:start w:val="1"/>
      <w:numFmt w:val="none"/>
      <w:lvlRestart w:val="0"/>
      <w:lvlText w:val=""/>
      <w:lvlJc w:val="left"/>
      <w:pPr>
        <w:ind w:left="3799" w:hanging="3601"/>
      </w:pPr>
      <w:rPr>
        <w:rFonts w:hint="default"/>
      </w:rPr>
    </w:lvl>
    <w:lvl w:ilvl="8">
      <w:start w:val="1"/>
      <w:numFmt w:val="none"/>
      <w:lvlRestart w:val="0"/>
      <w:lvlText w:val=""/>
      <w:lvlJc w:val="left"/>
      <w:pPr>
        <w:ind w:left="3799" w:hanging="3601"/>
      </w:pPr>
      <w:rPr>
        <w:rFonts w:hint="default"/>
      </w:rPr>
    </w:lvl>
  </w:abstractNum>
  <w:abstractNum w:abstractNumId="36" w15:restartNumberingAfterBreak="0">
    <w:nsid w:val="2319309A"/>
    <w:multiLevelType w:val="multilevel"/>
    <w:tmpl w:val="4AEE2348"/>
    <w:styleLink w:val="SKMSmallTableList1"/>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37" w15:restartNumberingAfterBreak="0">
    <w:nsid w:val="234D04F4"/>
    <w:multiLevelType w:val="hybridMultilevel"/>
    <w:tmpl w:val="6EA8B96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244E0817"/>
    <w:multiLevelType w:val="multilevel"/>
    <w:tmpl w:val="C4580038"/>
    <w:styleLink w:val="JacobsTable2SmallList1"/>
    <w:lvl w:ilvl="0">
      <w:start w:val="1"/>
      <w:numFmt w:val="bullet"/>
      <w:pStyle w:val="Table2smallbullet"/>
      <w:lvlText w:val="§"/>
      <w:lvlJc w:val="left"/>
      <w:pPr>
        <w:tabs>
          <w:tab w:val="num" w:pos="567"/>
        </w:tabs>
        <w:ind w:left="567" w:hanging="283"/>
      </w:pPr>
      <w:rPr>
        <w:rFonts w:ascii="Wingdings" w:hAnsi="Wingdings" w:hint="default"/>
        <w:color w:val="auto"/>
      </w:rPr>
    </w:lvl>
    <w:lvl w:ilvl="1">
      <w:start w:val="1"/>
      <w:numFmt w:val="none"/>
      <w:lvlText w:val="%2"/>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39" w15:restartNumberingAfterBreak="0">
    <w:nsid w:val="25167EBA"/>
    <w:multiLevelType w:val="multilevel"/>
    <w:tmpl w:val="10E8194E"/>
    <w:styleLink w:val="JacobsTable2SmallNumberedList1"/>
    <w:lvl w:ilvl="0">
      <w:start w:val="1"/>
      <w:numFmt w:val="decimal"/>
      <w:pStyle w:val="Table2smallnumber"/>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40" w15:restartNumberingAfterBreak="0">
    <w:nsid w:val="28FE6194"/>
    <w:multiLevelType w:val="multilevel"/>
    <w:tmpl w:val="5100E6EA"/>
    <w:styleLink w:val="JacobsNumberedList24"/>
    <w:lvl w:ilvl="0">
      <w:start w:val="1"/>
      <w:numFmt w:val="lowerLetter"/>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1" w15:restartNumberingAfterBreak="0">
    <w:nsid w:val="2AFC3193"/>
    <w:multiLevelType w:val="hybridMultilevel"/>
    <w:tmpl w:val="AC8AB024"/>
    <w:lvl w:ilvl="0" w:tplc="96D60054">
      <w:start w:val="1"/>
      <w:numFmt w:val="lowerLetter"/>
      <w:pStyle w:val="ContentBulletsLetter"/>
      <w:lvlText w:val="%1)"/>
      <w:lvlJc w:val="left"/>
      <w:pPr>
        <w:ind w:left="1418" w:hanging="851"/>
      </w:pPr>
      <w:rPr>
        <w:rFonts w:hint="default"/>
      </w:rPr>
    </w:lvl>
    <w:lvl w:ilvl="1" w:tplc="CEAEA6BE">
      <w:start w:val="1"/>
      <w:numFmt w:val="lowerLetter"/>
      <w:lvlText w:val="%2."/>
      <w:lvlJc w:val="left"/>
      <w:pPr>
        <w:ind w:left="1440" w:hanging="360"/>
      </w:pPr>
    </w:lvl>
    <w:lvl w:ilvl="2" w:tplc="726281C0" w:tentative="1">
      <w:start w:val="1"/>
      <w:numFmt w:val="lowerRoman"/>
      <w:lvlText w:val="%3."/>
      <w:lvlJc w:val="right"/>
      <w:pPr>
        <w:ind w:left="2160" w:hanging="180"/>
      </w:pPr>
    </w:lvl>
    <w:lvl w:ilvl="3" w:tplc="441EB3B4" w:tentative="1">
      <w:start w:val="1"/>
      <w:numFmt w:val="decimal"/>
      <w:lvlText w:val="%4."/>
      <w:lvlJc w:val="left"/>
      <w:pPr>
        <w:ind w:left="2880" w:hanging="360"/>
      </w:pPr>
    </w:lvl>
    <w:lvl w:ilvl="4" w:tplc="8E12C5A2" w:tentative="1">
      <w:start w:val="1"/>
      <w:numFmt w:val="lowerLetter"/>
      <w:lvlText w:val="%5."/>
      <w:lvlJc w:val="left"/>
      <w:pPr>
        <w:ind w:left="3600" w:hanging="360"/>
      </w:pPr>
    </w:lvl>
    <w:lvl w:ilvl="5" w:tplc="7FBE19C0" w:tentative="1">
      <w:start w:val="1"/>
      <w:numFmt w:val="lowerRoman"/>
      <w:lvlText w:val="%6."/>
      <w:lvlJc w:val="right"/>
      <w:pPr>
        <w:ind w:left="4320" w:hanging="180"/>
      </w:pPr>
    </w:lvl>
    <w:lvl w:ilvl="6" w:tplc="37948A54" w:tentative="1">
      <w:start w:val="1"/>
      <w:numFmt w:val="decimal"/>
      <w:lvlText w:val="%7."/>
      <w:lvlJc w:val="left"/>
      <w:pPr>
        <w:ind w:left="5040" w:hanging="360"/>
      </w:pPr>
    </w:lvl>
    <w:lvl w:ilvl="7" w:tplc="4E9C4C02" w:tentative="1">
      <w:start w:val="1"/>
      <w:numFmt w:val="lowerLetter"/>
      <w:lvlText w:val="%8."/>
      <w:lvlJc w:val="left"/>
      <w:pPr>
        <w:ind w:left="5760" w:hanging="360"/>
      </w:pPr>
    </w:lvl>
    <w:lvl w:ilvl="8" w:tplc="81DE9170" w:tentative="1">
      <w:start w:val="1"/>
      <w:numFmt w:val="lowerRoman"/>
      <w:lvlText w:val="%9."/>
      <w:lvlJc w:val="right"/>
      <w:pPr>
        <w:ind w:left="6480" w:hanging="180"/>
      </w:pPr>
    </w:lvl>
  </w:abstractNum>
  <w:abstractNum w:abstractNumId="42" w15:restartNumberingAfterBreak="0">
    <w:nsid w:val="2C8C3A99"/>
    <w:multiLevelType w:val="multilevel"/>
    <w:tmpl w:val="405A2AB4"/>
    <w:styleLink w:val="JacobsNumberedList21"/>
    <w:lvl w:ilvl="0">
      <w:start w:val="1"/>
      <w:numFmt w:val="lowerLetter"/>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2CFB5491"/>
    <w:multiLevelType w:val="hybridMultilevel"/>
    <w:tmpl w:val="46580D8A"/>
    <w:lvl w:ilvl="0" w:tplc="A72A769C">
      <w:start w:val="1"/>
      <w:numFmt w:val="bullet"/>
      <w:pStyle w:val="PenPicSidebarbullet"/>
      <w:lvlText w:val="§"/>
      <w:lvlJc w:val="left"/>
      <w:pPr>
        <w:ind w:left="955" w:hanging="360"/>
      </w:pPr>
      <w:rPr>
        <w:rFonts w:ascii="Wingdings" w:hAnsi="Wingdings" w:hint="default"/>
        <w:color w:val="000000"/>
        <w:sz w:val="16"/>
      </w:rPr>
    </w:lvl>
    <w:lvl w:ilvl="1" w:tplc="91643EC6" w:tentative="1">
      <w:start w:val="1"/>
      <w:numFmt w:val="bullet"/>
      <w:lvlText w:val="o"/>
      <w:lvlJc w:val="left"/>
      <w:pPr>
        <w:ind w:left="1675" w:hanging="360"/>
      </w:pPr>
      <w:rPr>
        <w:rFonts w:ascii="Courier New" w:hAnsi="Courier New" w:cs="Courier New" w:hint="default"/>
      </w:rPr>
    </w:lvl>
    <w:lvl w:ilvl="2" w:tplc="9EAA4C7A" w:tentative="1">
      <w:start w:val="1"/>
      <w:numFmt w:val="bullet"/>
      <w:lvlText w:val=""/>
      <w:lvlJc w:val="left"/>
      <w:pPr>
        <w:ind w:left="2395" w:hanging="360"/>
      </w:pPr>
      <w:rPr>
        <w:rFonts w:ascii="Wingdings" w:hAnsi="Wingdings" w:hint="default"/>
      </w:rPr>
    </w:lvl>
    <w:lvl w:ilvl="3" w:tplc="670EE6BA" w:tentative="1">
      <w:start w:val="1"/>
      <w:numFmt w:val="bullet"/>
      <w:lvlText w:val=""/>
      <w:lvlJc w:val="left"/>
      <w:pPr>
        <w:ind w:left="3115" w:hanging="360"/>
      </w:pPr>
      <w:rPr>
        <w:rFonts w:ascii="Symbol" w:hAnsi="Symbol" w:hint="default"/>
      </w:rPr>
    </w:lvl>
    <w:lvl w:ilvl="4" w:tplc="1C543BB0" w:tentative="1">
      <w:start w:val="1"/>
      <w:numFmt w:val="bullet"/>
      <w:lvlText w:val="o"/>
      <w:lvlJc w:val="left"/>
      <w:pPr>
        <w:ind w:left="3835" w:hanging="360"/>
      </w:pPr>
      <w:rPr>
        <w:rFonts w:ascii="Courier New" w:hAnsi="Courier New" w:cs="Courier New" w:hint="default"/>
      </w:rPr>
    </w:lvl>
    <w:lvl w:ilvl="5" w:tplc="44EA484A" w:tentative="1">
      <w:start w:val="1"/>
      <w:numFmt w:val="bullet"/>
      <w:lvlText w:val=""/>
      <w:lvlJc w:val="left"/>
      <w:pPr>
        <w:ind w:left="4555" w:hanging="360"/>
      </w:pPr>
      <w:rPr>
        <w:rFonts w:ascii="Wingdings" w:hAnsi="Wingdings" w:hint="default"/>
      </w:rPr>
    </w:lvl>
    <w:lvl w:ilvl="6" w:tplc="D5F0070C" w:tentative="1">
      <w:start w:val="1"/>
      <w:numFmt w:val="bullet"/>
      <w:lvlText w:val=""/>
      <w:lvlJc w:val="left"/>
      <w:pPr>
        <w:ind w:left="5275" w:hanging="360"/>
      </w:pPr>
      <w:rPr>
        <w:rFonts w:ascii="Symbol" w:hAnsi="Symbol" w:hint="default"/>
      </w:rPr>
    </w:lvl>
    <w:lvl w:ilvl="7" w:tplc="9A7605D8" w:tentative="1">
      <w:start w:val="1"/>
      <w:numFmt w:val="bullet"/>
      <w:lvlText w:val="o"/>
      <w:lvlJc w:val="left"/>
      <w:pPr>
        <w:ind w:left="5995" w:hanging="360"/>
      </w:pPr>
      <w:rPr>
        <w:rFonts w:ascii="Courier New" w:hAnsi="Courier New" w:cs="Courier New" w:hint="default"/>
      </w:rPr>
    </w:lvl>
    <w:lvl w:ilvl="8" w:tplc="B272450A" w:tentative="1">
      <w:start w:val="1"/>
      <w:numFmt w:val="bullet"/>
      <w:lvlText w:val=""/>
      <w:lvlJc w:val="left"/>
      <w:pPr>
        <w:ind w:left="6715" w:hanging="360"/>
      </w:pPr>
      <w:rPr>
        <w:rFonts w:ascii="Wingdings" w:hAnsi="Wingdings" w:hint="default"/>
      </w:rPr>
    </w:lvl>
  </w:abstractNum>
  <w:abstractNum w:abstractNumId="44" w15:restartNumberingAfterBreak="0">
    <w:nsid w:val="2DA12417"/>
    <w:multiLevelType w:val="hybridMultilevel"/>
    <w:tmpl w:val="EB0A6F7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2EF47A25"/>
    <w:multiLevelType w:val="multilevel"/>
    <w:tmpl w:val="8BC81D84"/>
    <w:styleLink w:val="SKMSmallTableNumberedList2"/>
    <w:lvl w:ilvl="0">
      <w:start w:val="1"/>
      <w:numFmt w:val="lowerLetter"/>
      <w:lvlText w:val="%1)"/>
      <w:lvlJc w:val="left"/>
      <w:pPr>
        <w:ind w:left="284" w:hanging="284"/>
      </w:pPr>
      <w:rPr>
        <w:rFonts w:hint="default"/>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46" w15:restartNumberingAfterBreak="0">
    <w:nsid w:val="2FED62EC"/>
    <w:multiLevelType w:val="multilevel"/>
    <w:tmpl w:val="E1BEE56C"/>
    <w:styleLink w:val="JacobsTablesmallitem"/>
    <w:lvl w:ilvl="0">
      <w:start w:val="1"/>
      <w:numFmt w:val="decimal"/>
      <w:pStyle w:val="Tablesmallitem"/>
      <w:lvlText w:val="%1"/>
      <w:lvlJc w:val="left"/>
      <w:pPr>
        <w:ind w:left="283" w:hanging="283"/>
      </w:pPr>
      <w:rPr>
        <w:rFonts w:hint="default"/>
      </w:rPr>
    </w:lvl>
    <w:lvl w:ilvl="1">
      <w:start w:val="1"/>
      <w:numFmt w:val="decimal"/>
      <w:suff w:val="nothing"/>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7.%8"/>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47" w15:restartNumberingAfterBreak="0">
    <w:nsid w:val="31D61197"/>
    <w:multiLevelType w:val="singleLevel"/>
    <w:tmpl w:val="CCC66BB0"/>
    <w:lvl w:ilvl="0">
      <w:start w:val="1"/>
      <w:numFmt w:val="lowerLetter"/>
      <w:pStyle w:val="Para1letter"/>
      <w:lvlText w:val="%1)"/>
      <w:lvlJc w:val="left"/>
      <w:pPr>
        <w:ind w:left="850" w:hanging="425"/>
      </w:pPr>
      <w:rPr>
        <w:rFonts w:hint="default"/>
      </w:rPr>
    </w:lvl>
  </w:abstractNum>
  <w:abstractNum w:abstractNumId="48" w15:restartNumberingAfterBreak="0">
    <w:nsid w:val="323B49B1"/>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49" w15:restartNumberingAfterBreak="0">
    <w:nsid w:val="32D54839"/>
    <w:multiLevelType w:val="multilevel"/>
    <w:tmpl w:val="4AEE2348"/>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50" w15:restartNumberingAfterBreak="0">
    <w:nsid w:val="332C54AD"/>
    <w:multiLevelType w:val="multilevel"/>
    <w:tmpl w:val="A9A0D9D2"/>
    <w:styleLink w:val="JacobsTable2NumberedList1"/>
    <w:lvl w:ilvl="0">
      <w:start w:val="1"/>
      <w:numFmt w:val="decimal"/>
      <w:pStyle w:val="Table2number"/>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51" w15:restartNumberingAfterBreak="0">
    <w:nsid w:val="344B666B"/>
    <w:multiLevelType w:val="multilevel"/>
    <w:tmpl w:val="F6CEE00A"/>
    <w:styleLink w:val="JacobsTableItem"/>
    <w:lvl w:ilvl="0">
      <w:start w:val="1"/>
      <w:numFmt w:val="decimal"/>
      <w:pStyle w:val="Tableitem"/>
      <w:lvlText w:val="%1"/>
      <w:lvlJc w:val="left"/>
      <w:pPr>
        <w:ind w:left="283" w:hanging="283"/>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52" w15:restartNumberingAfterBreak="0">
    <w:nsid w:val="34555BA7"/>
    <w:multiLevelType w:val="hybridMultilevel"/>
    <w:tmpl w:val="1BB093FC"/>
    <w:lvl w:ilvl="0" w:tplc="CCC8BB6A">
      <w:start w:val="1"/>
      <w:numFmt w:val="lowerRoman"/>
      <w:pStyle w:val="ContentBulletsRomanNumeral"/>
      <w:lvlText w:val="%1."/>
      <w:lvlJc w:val="left"/>
      <w:pPr>
        <w:ind w:left="1418" w:hanging="851"/>
      </w:pPr>
      <w:rPr>
        <w:rFonts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3802558A"/>
    <w:multiLevelType w:val="multilevel"/>
    <w:tmpl w:val="418611DC"/>
    <w:lvl w:ilvl="0">
      <w:start w:val="1"/>
      <w:numFmt w:val="bullet"/>
      <w:pStyle w:val="SummaryBoxBullet"/>
      <w:lvlText w:val=""/>
      <w:lvlJc w:val="left"/>
      <w:pPr>
        <w:ind w:left="284" w:hanging="171"/>
      </w:pPr>
      <w:rPr>
        <w:rFonts w:ascii="Wingdings" w:hAnsi="Wingdings"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54" w15:restartNumberingAfterBreak="0">
    <w:nsid w:val="3A3C41A2"/>
    <w:multiLevelType w:val="multilevel"/>
    <w:tmpl w:val="A73418A2"/>
    <w:styleLink w:val="JacobsNumberedList2"/>
    <w:lvl w:ilvl="0">
      <w:start w:val="1"/>
      <w:numFmt w:val="lowerLetter"/>
      <w:pStyle w:val="Para0letter"/>
      <w:lvlText w:val="%1)"/>
      <w:lvlJc w:val="left"/>
      <w:pPr>
        <w:ind w:left="425" w:hanging="425"/>
      </w:pPr>
      <w:rPr>
        <w:rFonts w:hint="default"/>
      </w:rPr>
    </w:lvl>
    <w:lvl w:ilvl="1">
      <w:start w:val="1"/>
      <w:numFmt w:val="lowerRoman"/>
      <w:lvlText w:val="%2."/>
      <w:lvlJc w:val="left"/>
      <w:pPr>
        <w:ind w:left="851" w:hanging="426"/>
      </w:pPr>
      <w:rPr>
        <w:rFonts w:hint="default"/>
      </w:rPr>
    </w:lvl>
    <w:lvl w:ilvl="2">
      <w:start w:val="1"/>
      <w:numFmt w:val="none"/>
      <w:lvlRestart w:val="0"/>
      <w:lvlText w:val=""/>
      <w:lvlJc w:val="left"/>
      <w:pPr>
        <w:ind w:left="851" w:hanging="426"/>
      </w:pPr>
      <w:rPr>
        <w:rFonts w:hint="default"/>
      </w:rPr>
    </w:lvl>
    <w:lvl w:ilvl="3">
      <w:start w:val="1"/>
      <w:numFmt w:val="none"/>
      <w:lvlRestart w:val="0"/>
      <w:lvlText w:val=""/>
      <w:lvlJc w:val="left"/>
      <w:pPr>
        <w:ind w:left="851" w:hanging="426"/>
      </w:pPr>
      <w:rPr>
        <w:rFonts w:hint="default"/>
      </w:rPr>
    </w:lvl>
    <w:lvl w:ilvl="4">
      <w:start w:val="1"/>
      <w:numFmt w:val="none"/>
      <w:lvlRestart w:val="0"/>
      <w:lvlText w:val=""/>
      <w:lvlJc w:val="left"/>
      <w:pPr>
        <w:ind w:left="851" w:hanging="426"/>
      </w:pPr>
      <w:rPr>
        <w:rFonts w:hint="default"/>
      </w:rPr>
    </w:lvl>
    <w:lvl w:ilvl="5">
      <w:start w:val="1"/>
      <w:numFmt w:val="none"/>
      <w:lvlRestart w:val="0"/>
      <w:lvlText w:val=""/>
      <w:lvlJc w:val="left"/>
      <w:pPr>
        <w:ind w:left="851" w:hanging="426"/>
      </w:pPr>
      <w:rPr>
        <w:rFonts w:hint="default"/>
      </w:rPr>
    </w:lvl>
    <w:lvl w:ilvl="6">
      <w:start w:val="1"/>
      <w:numFmt w:val="none"/>
      <w:lvlRestart w:val="0"/>
      <w:lvlText w:val=""/>
      <w:lvlJc w:val="left"/>
      <w:pPr>
        <w:ind w:left="851" w:hanging="426"/>
      </w:pPr>
      <w:rPr>
        <w:rFonts w:hint="default"/>
      </w:rPr>
    </w:lvl>
    <w:lvl w:ilvl="7">
      <w:start w:val="1"/>
      <w:numFmt w:val="none"/>
      <w:lvlRestart w:val="0"/>
      <w:lvlText w:val=""/>
      <w:lvlJc w:val="left"/>
      <w:pPr>
        <w:ind w:left="851" w:hanging="426"/>
      </w:pPr>
      <w:rPr>
        <w:rFonts w:hint="default"/>
      </w:rPr>
    </w:lvl>
    <w:lvl w:ilvl="8">
      <w:start w:val="1"/>
      <w:numFmt w:val="none"/>
      <w:lvlRestart w:val="0"/>
      <w:lvlText w:val=""/>
      <w:lvlJc w:val="left"/>
      <w:pPr>
        <w:ind w:left="851" w:hanging="426"/>
      </w:pPr>
      <w:rPr>
        <w:rFonts w:hint="default"/>
      </w:rPr>
    </w:lvl>
  </w:abstractNum>
  <w:abstractNum w:abstractNumId="55" w15:restartNumberingAfterBreak="0">
    <w:nsid w:val="3A5F1748"/>
    <w:multiLevelType w:val="multilevel"/>
    <w:tmpl w:val="A9A0D9D2"/>
    <w:numStyleLink w:val="JacobsTable2NumberedList1"/>
  </w:abstractNum>
  <w:abstractNum w:abstractNumId="56" w15:restartNumberingAfterBreak="0">
    <w:nsid w:val="3AD53A78"/>
    <w:multiLevelType w:val="hybridMultilevel"/>
    <w:tmpl w:val="5874E09A"/>
    <w:lvl w:ilvl="0" w:tplc="2C88A3FA">
      <w:start w:val="1"/>
      <w:numFmt w:val="decimal"/>
      <w:pStyle w:val="ContentBulletsNumber"/>
      <w:lvlText w:val="%1."/>
      <w:lvlJc w:val="left"/>
      <w:pPr>
        <w:ind w:left="1418" w:hanging="851"/>
      </w:pPr>
      <w:rPr>
        <w:rFonts w:ascii="Jacobs Chronos" w:hAnsi="Jacobs Chronos" w:cs="Jacobs Chronos" w:hint="default"/>
        <w:b w:val="0"/>
        <w:bCs w:val="0"/>
        <w:i w:val="0"/>
        <w:iCs w:val="0"/>
        <w:color w:val="auto"/>
        <w:sz w:val="20"/>
        <w:szCs w:val="20"/>
      </w:rPr>
    </w:lvl>
    <w:lvl w:ilvl="1" w:tplc="BC964152" w:tentative="1">
      <w:start w:val="1"/>
      <w:numFmt w:val="lowerLetter"/>
      <w:lvlText w:val="%2."/>
      <w:lvlJc w:val="left"/>
      <w:pPr>
        <w:ind w:left="1440" w:hanging="360"/>
      </w:pPr>
    </w:lvl>
    <w:lvl w:ilvl="2" w:tplc="4A923C9A" w:tentative="1">
      <w:start w:val="1"/>
      <w:numFmt w:val="lowerRoman"/>
      <w:lvlText w:val="%3."/>
      <w:lvlJc w:val="right"/>
      <w:pPr>
        <w:ind w:left="2160" w:hanging="180"/>
      </w:pPr>
    </w:lvl>
    <w:lvl w:ilvl="3" w:tplc="7226ADAE" w:tentative="1">
      <w:start w:val="1"/>
      <w:numFmt w:val="decimal"/>
      <w:lvlText w:val="%4."/>
      <w:lvlJc w:val="left"/>
      <w:pPr>
        <w:ind w:left="2880" w:hanging="360"/>
      </w:pPr>
    </w:lvl>
    <w:lvl w:ilvl="4" w:tplc="986AA23C" w:tentative="1">
      <w:start w:val="1"/>
      <w:numFmt w:val="lowerLetter"/>
      <w:lvlText w:val="%5."/>
      <w:lvlJc w:val="left"/>
      <w:pPr>
        <w:ind w:left="3600" w:hanging="360"/>
      </w:pPr>
    </w:lvl>
    <w:lvl w:ilvl="5" w:tplc="79B6C6A2" w:tentative="1">
      <w:start w:val="1"/>
      <w:numFmt w:val="lowerRoman"/>
      <w:lvlText w:val="%6."/>
      <w:lvlJc w:val="right"/>
      <w:pPr>
        <w:ind w:left="4320" w:hanging="180"/>
      </w:pPr>
    </w:lvl>
    <w:lvl w:ilvl="6" w:tplc="C778D110" w:tentative="1">
      <w:start w:val="1"/>
      <w:numFmt w:val="decimal"/>
      <w:lvlText w:val="%7."/>
      <w:lvlJc w:val="left"/>
      <w:pPr>
        <w:ind w:left="5040" w:hanging="360"/>
      </w:pPr>
    </w:lvl>
    <w:lvl w:ilvl="7" w:tplc="FA52D17C" w:tentative="1">
      <w:start w:val="1"/>
      <w:numFmt w:val="lowerLetter"/>
      <w:lvlText w:val="%8."/>
      <w:lvlJc w:val="left"/>
      <w:pPr>
        <w:ind w:left="5760" w:hanging="360"/>
      </w:pPr>
    </w:lvl>
    <w:lvl w:ilvl="8" w:tplc="009CB5A2" w:tentative="1">
      <w:start w:val="1"/>
      <w:numFmt w:val="lowerRoman"/>
      <w:lvlText w:val="%9."/>
      <w:lvlJc w:val="right"/>
      <w:pPr>
        <w:ind w:left="6480" w:hanging="180"/>
      </w:pPr>
    </w:lvl>
  </w:abstractNum>
  <w:abstractNum w:abstractNumId="57" w15:restartNumberingAfterBreak="0">
    <w:nsid w:val="3D035E78"/>
    <w:multiLevelType w:val="multilevel"/>
    <w:tmpl w:val="24564522"/>
    <w:styleLink w:val="JacobsNumberedList12"/>
    <w:lvl w:ilvl="0">
      <w:start w:val="1"/>
      <w:numFmt w:val="decimal"/>
      <w:lvlText w:val="%1)"/>
      <w:lvlJc w:val="left"/>
      <w:pPr>
        <w:ind w:left="1247" w:hanging="396"/>
      </w:pPr>
      <w:rPr>
        <w:rFonts w:hint="default"/>
      </w:rPr>
    </w:lvl>
    <w:lvl w:ilvl="1">
      <w:start w:val="1"/>
      <w:numFmt w:val="lowerLetter"/>
      <w:lvlText w:val="%2."/>
      <w:lvlJc w:val="left"/>
      <w:pPr>
        <w:ind w:left="2291" w:hanging="360"/>
      </w:pPr>
      <w:rPr>
        <w:rFonts w:hint="default"/>
      </w:rPr>
    </w:lvl>
    <w:lvl w:ilvl="2">
      <w:start w:val="1"/>
      <w:numFmt w:val="lowerRoman"/>
      <w:lvlText w:val="%3."/>
      <w:lvlJc w:val="right"/>
      <w:pPr>
        <w:ind w:left="3011" w:hanging="180"/>
      </w:pPr>
      <w:rPr>
        <w:rFonts w:hint="default"/>
      </w:rPr>
    </w:lvl>
    <w:lvl w:ilvl="3">
      <w:start w:val="1"/>
      <w:numFmt w:val="decimal"/>
      <w:lvlText w:val="%4."/>
      <w:lvlJc w:val="left"/>
      <w:pPr>
        <w:ind w:left="3731" w:hanging="36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58" w15:restartNumberingAfterBreak="0">
    <w:nsid w:val="3D116354"/>
    <w:multiLevelType w:val="multilevel"/>
    <w:tmpl w:val="F5AC586E"/>
    <w:styleLink w:val="SKMBulletList2"/>
    <w:lvl w:ilvl="0">
      <w:start w:val="1"/>
      <w:numFmt w:val="bullet"/>
      <w:lvlText w:val="-"/>
      <w:lvlJc w:val="left"/>
      <w:pPr>
        <w:ind w:left="425" w:hanging="425"/>
      </w:pPr>
      <w:rPr>
        <w:rFonts w:ascii="Arial" w:hAnsi="Arial" w:hint="default"/>
        <w:color w:val="000000" w:themeColor="text1"/>
      </w:rPr>
    </w:lvl>
    <w:lvl w:ilvl="1">
      <w:start w:val="1"/>
      <w:numFmt w:val="none"/>
      <w:lvlRestart w:val="0"/>
      <w:lvlText w:val=""/>
      <w:lvlJc w:val="left"/>
      <w:pPr>
        <w:ind w:left="425" w:hanging="425"/>
      </w:pPr>
      <w:rPr>
        <w:rFonts w:hint="default"/>
      </w:rPr>
    </w:lvl>
    <w:lvl w:ilvl="2">
      <w:start w:val="1"/>
      <w:numFmt w:val="none"/>
      <w:lvlRestart w:val="0"/>
      <w:lvlText w:val=""/>
      <w:lvlJc w:val="left"/>
      <w:pPr>
        <w:ind w:left="425" w:hanging="425"/>
      </w:pPr>
      <w:rPr>
        <w:rFonts w:hint="default"/>
      </w:rPr>
    </w:lvl>
    <w:lvl w:ilvl="3">
      <w:start w:val="1"/>
      <w:numFmt w:val="none"/>
      <w:lvlRestart w:val="0"/>
      <w:lvlText w:val=""/>
      <w:lvlJc w:val="left"/>
      <w:pPr>
        <w:ind w:left="425" w:hanging="425"/>
      </w:pPr>
      <w:rPr>
        <w:rFonts w:hint="default"/>
      </w:rPr>
    </w:lvl>
    <w:lvl w:ilvl="4">
      <w:start w:val="1"/>
      <w:numFmt w:val="none"/>
      <w:lvlRestart w:val="0"/>
      <w:lvlText w:val=""/>
      <w:lvlJc w:val="left"/>
      <w:pPr>
        <w:ind w:left="425" w:hanging="425"/>
      </w:pPr>
      <w:rPr>
        <w:rFonts w:hint="default"/>
      </w:rPr>
    </w:lvl>
    <w:lvl w:ilvl="5">
      <w:start w:val="1"/>
      <w:numFmt w:val="none"/>
      <w:lvlRestart w:val="0"/>
      <w:lvlText w:val=""/>
      <w:lvlJc w:val="left"/>
      <w:pPr>
        <w:ind w:left="425" w:hanging="425"/>
      </w:pPr>
      <w:rPr>
        <w:rFonts w:hint="default"/>
      </w:rPr>
    </w:lvl>
    <w:lvl w:ilvl="6">
      <w:start w:val="1"/>
      <w:numFmt w:val="none"/>
      <w:lvlRestart w:val="0"/>
      <w:lvlText w:val=""/>
      <w:lvlJc w:val="left"/>
      <w:pPr>
        <w:ind w:left="425" w:hanging="425"/>
      </w:pPr>
      <w:rPr>
        <w:rFonts w:hint="default"/>
      </w:rPr>
    </w:lvl>
    <w:lvl w:ilvl="7">
      <w:start w:val="1"/>
      <w:numFmt w:val="none"/>
      <w:lvlRestart w:val="0"/>
      <w:lvlText w:val=""/>
      <w:lvlJc w:val="left"/>
      <w:pPr>
        <w:ind w:left="425" w:hanging="425"/>
      </w:pPr>
      <w:rPr>
        <w:rFonts w:hint="default"/>
      </w:rPr>
    </w:lvl>
    <w:lvl w:ilvl="8">
      <w:start w:val="1"/>
      <w:numFmt w:val="none"/>
      <w:lvlRestart w:val="0"/>
      <w:lvlText w:val=""/>
      <w:lvlJc w:val="left"/>
      <w:pPr>
        <w:ind w:left="425" w:hanging="425"/>
      </w:pPr>
      <w:rPr>
        <w:rFonts w:hint="default"/>
      </w:rPr>
    </w:lvl>
  </w:abstractNum>
  <w:abstractNum w:abstractNumId="59" w15:restartNumberingAfterBreak="0">
    <w:nsid w:val="3D5A66FD"/>
    <w:multiLevelType w:val="multilevel"/>
    <w:tmpl w:val="5AFCE06A"/>
    <w:styleLink w:val="Jacobs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60" w15:restartNumberingAfterBreak="0">
    <w:nsid w:val="3DE655D1"/>
    <w:multiLevelType w:val="multilevel"/>
    <w:tmpl w:val="D89C6C1C"/>
    <w:numStyleLink w:val="JacobsTable2Item"/>
  </w:abstractNum>
  <w:abstractNum w:abstractNumId="61" w15:restartNumberingAfterBreak="0">
    <w:nsid w:val="3E5C0D8B"/>
    <w:multiLevelType w:val="multilevel"/>
    <w:tmpl w:val="CB006F10"/>
    <w:styleLink w:val="JacobsNumberedList14"/>
    <w:lvl w:ilvl="0">
      <w:start w:val="1"/>
      <w:numFmt w:val="decimal"/>
      <w:pStyle w:val="Para4number"/>
      <w:lvlText w:val="%1)"/>
      <w:lvlJc w:val="left"/>
      <w:pPr>
        <w:ind w:left="2126" w:hanging="425"/>
      </w:pPr>
      <w:rPr>
        <w:rFonts w:ascii="Jacobs Chronos" w:hAnsi="Jacobs Chronos" w:cs="Jacobs Chronos" w:hint="default"/>
        <w:b w:val="0"/>
        <w:i w:val="0"/>
        <w:color w:val="auto"/>
        <w:sz w:val="2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2" w15:restartNumberingAfterBreak="0">
    <w:nsid w:val="410F274B"/>
    <w:multiLevelType w:val="multilevel"/>
    <w:tmpl w:val="2530FD80"/>
    <w:styleLink w:val="JacobsNumberedList23"/>
    <w:lvl w:ilvl="0">
      <w:start w:val="1"/>
      <w:numFmt w:val="lowerLetter"/>
      <w:pStyle w:val="Para3letter"/>
      <w:lvlText w:val="%1)"/>
      <w:lvlJc w:val="left"/>
      <w:pPr>
        <w:ind w:left="1701" w:hanging="425"/>
      </w:pPr>
      <w:rPr>
        <w:rFonts w:hint="default"/>
      </w:rPr>
    </w:lvl>
    <w:lvl w:ilvl="1">
      <w:start w:val="1"/>
      <w:numFmt w:val="lowerLetter"/>
      <w:lvlText w:val="%2."/>
      <w:lvlJc w:val="left"/>
      <w:pPr>
        <w:ind w:left="2716" w:hanging="360"/>
      </w:pPr>
      <w:rPr>
        <w:rFonts w:hint="default"/>
      </w:rPr>
    </w:lvl>
    <w:lvl w:ilvl="2">
      <w:start w:val="1"/>
      <w:numFmt w:val="lowerRoman"/>
      <w:lvlText w:val="%3."/>
      <w:lvlJc w:val="right"/>
      <w:pPr>
        <w:ind w:left="3436" w:hanging="180"/>
      </w:pPr>
      <w:rPr>
        <w:rFonts w:hint="default"/>
      </w:rPr>
    </w:lvl>
    <w:lvl w:ilvl="3">
      <w:start w:val="1"/>
      <w:numFmt w:val="decimal"/>
      <w:lvlText w:val="%4."/>
      <w:lvlJc w:val="left"/>
      <w:pPr>
        <w:ind w:left="4156" w:hanging="360"/>
      </w:pPr>
      <w:rPr>
        <w:rFonts w:hint="default"/>
      </w:rPr>
    </w:lvl>
    <w:lvl w:ilvl="4">
      <w:start w:val="1"/>
      <w:numFmt w:val="lowerLetter"/>
      <w:lvlText w:val="%5."/>
      <w:lvlJc w:val="left"/>
      <w:pPr>
        <w:ind w:left="4876" w:hanging="360"/>
      </w:pPr>
      <w:rPr>
        <w:rFonts w:hint="default"/>
      </w:rPr>
    </w:lvl>
    <w:lvl w:ilvl="5">
      <w:start w:val="1"/>
      <w:numFmt w:val="lowerRoman"/>
      <w:lvlText w:val="%6."/>
      <w:lvlJc w:val="right"/>
      <w:pPr>
        <w:ind w:left="5596" w:hanging="180"/>
      </w:pPr>
      <w:rPr>
        <w:rFonts w:hint="default"/>
      </w:rPr>
    </w:lvl>
    <w:lvl w:ilvl="6">
      <w:start w:val="1"/>
      <w:numFmt w:val="decimal"/>
      <w:lvlText w:val="%7."/>
      <w:lvlJc w:val="left"/>
      <w:pPr>
        <w:ind w:left="6316" w:hanging="360"/>
      </w:pPr>
      <w:rPr>
        <w:rFonts w:hint="default"/>
      </w:rPr>
    </w:lvl>
    <w:lvl w:ilvl="7">
      <w:start w:val="1"/>
      <w:numFmt w:val="lowerLetter"/>
      <w:lvlText w:val="%8."/>
      <w:lvlJc w:val="left"/>
      <w:pPr>
        <w:ind w:left="7036" w:hanging="360"/>
      </w:pPr>
      <w:rPr>
        <w:rFonts w:hint="default"/>
      </w:rPr>
    </w:lvl>
    <w:lvl w:ilvl="8">
      <w:start w:val="1"/>
      <w:numFmt w:val="lowerRoman"/>
      <w:lvlText w:val="%9."/>
      <w:lvlJc w:val="right"/>
      <w:pPr>
        <w:ind w:left="7756" w:hanging="180"/>
      </w:pPr>
      <w:rPr>
        <w:rFonts w:hint="default"/>
      </w:rPr>
    </w:lvl>
  </w:abstractNum>
  <w:abstractNum w:abstractNumId="63" w15:restartNumberingAfterBreak="0">
    <w:nsid w:val="415A5EB9"/>
    <w:multiLevelType w:val="multilevel"/>
    <w:tmpl w:val="80ACB8AE"/>
    <w:numStyleLink w:val="JacobsTable2NumberdList2"/>
  </w:abstractNum>
  <w:abstractNum w:abstractNumId="64" w15:restartNumberingAfterBreak="0">
    <w:nsid w:val="42EA4FEF"/>
    <w:multiLevelType w:val="multilevel"/>
    <w:tmpl w:val="17987CBC"/>
    <w:styleLink w:val="JacobsTable2SmallNumberedList2"/>
    <w:lvl w:ilvl="0">
      <w:start w:val="1"/>
      <w:numFmt w:val="lowerLetter"/>
      <w:pStyle w:val="Table2smallletter"/>
      <w:lvlText w:val="%1)"/>
      <w:lvlJc w:val="left"/>
      <w:pPr>
        <w:tabs>
          <w:tab w:val="num" w:pos="567"/>
        </w:tabs>
        <w:ind w:left="567" w:hanging="284"/>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65" w15:restartNumberingAfterBreak="0">
    <w:nsid w:val="4362556A"/>
    <w:multiLevelType w:val="hybridMultilevel"/>
    <w:tmpl w:val="FFAAB67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15:restartNumberingAfterBreak="0">
    <w:nsid w:val="446A46FF"/>
    <w:multiLevelType w:val="multilevel"/>
    <w:tmpl w:val="3BA44F1A"/>
    <w:styleLink w:val="SKMTableList1"/>
    <w:lvl w:ilvl="0">
      <w:start w:val="1"/>
      <w:numFmt w:val="bullet"/>
      <w:lvlText w:val=""/>
      <w:lvlJc w:val="left"/>
      <w:pPr>
        <w:ind w:left="284" w:hanging="284"/>
      </w:pPr>
      <w:rPr>
        <w:rFonts w:ascii="Symbol" w:hAnsi="Symbol"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67" w15:restartNumberingAfterBreak="0">
    <w:nsid w:val="45E40773"/>
    <w:multiLevelType w:val="multilevel"/>
    <w:tmpl w:val="FB9885D0"/>
    <w:styleLink w:val="JacobsNumberedList22"/>
    <w:lvl w:ilvl="0">
      <w:start w:val="1"/>
      <w:numFmt w:val="lowerLetter"/>
      <w:pStyle w:val="Para2letter"/>
      <w:lvlText w:val="%1)"/>
      <w:lvlJc w:val="left"/>
      <w:pPr>
        <w:ind w:left="1276" w:hanging="426"/>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8" w15:restartNumberingAfterBreak="0">
    <w:nsid w:val="4FA23504"/>
    <w:multiLevelType w:val="multilevel"/>
    <w:tmpl w:val="1AD8488E"/>
    <w:lvl w:ilvl="0">
      <w:start w:val="1"/>
      <w:numFmt w:val="lowerRoman"/>
      <w:pStyle w:val="Para4roman"/>
      <w:lvlText w:val="%1."/>
      <w:lvlJc w:val="left"/>
      <w:pPr>
        <w:ind w:left="2126" w:hanging="425"/>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9" w15:restartNumberingAfterBreak="0">
    <w:nsid w:val="54311BB7"/>
    <w:multiLevelType w:val="multilevel"/>
    <w:tmpl w:val="55E0FFD2"/>
    <w:styleLink w:val="JacobsNumberedList33"/>
    <w:lvl w:ilvl="0">
      <w:start w:val="1"/>
      <w:numFmt w:val="lowerRoman"/>
      <w:lvlText w:val="%1."/>
      <w:lvlJc w:val="right"/>
      <w:pPr>
        <w:ind w:left="1673" w:hanging="312"/>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0" w15:restartNumberingAfterBreak="0">
    <w:nsid w:val="55C23E8A"/>
    <w:multiLevelType w:val="multilevel"/>
    <w:tmpl w:val="9A9A8116"/>
    <w:lvl w:ilvl="0">
      <w:start w:val="1"/>
      <w:numFmt w:val="decimal"/>
      <w:lvlText w:val="%1."/>
      <w:lvlJc w:val="left"/>
      <w:pPr>
        <w:ind w:left="284" w:hanging="284"/>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ind w:left="567" w:hanging="283"/>
      </w:pPr>
      <w:rPr>
        <w:rFonts w:hint="default"/>
      </w:rPr>
    </w:lvl>
  </w:abstractNum>
  <w:abstractNum w:abstractNumId="71" w15:restartNumberingAfterBreak="0">
    <w:nsid w:val="57441F1E"/>
    <w:multiLevelType w:val="multilevel"/>
    <w:tmpl w:val="07F22186"/>
    <w:styleLink w:val="SKMTableItem"/>
    <w:lvl w:ilvl="0">
      <w:start w:val="1"/>
      <w:numFmt w:val="decimal"/>
      <w:suff w:val="nothing"/>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suff w:val="nothing"/>
      <w:lvlText w:val="%1.%2.%3"/>
      <w:lvlJc w:val="left"/>
      <w:pPr>
        <w:ind w:left="0" w:firstLine="0"/>
      </w:pPr>
      <w:rPr>
        <w:rFonts w:hint="default"/>
      </w:rPr>
    </w:lvl>
    <w:lvl w:ilvl="3">
      <w:start w:val="1"/>
      <w:numFmt w:val="decimal"/>
      <w:suff w:val="nothing"/>
      <w:lvlText w:val="%1.%2.%3.%4"/>
      <w:lvlJc w:val="left"/>
      <w:pPr>
        <w:ind w:left="0" w:firstLine="0"/>
      </w:pPr>
      <w:rPr>
        <w:rFonts w:hint="default"/>
      </w:rPr>
    </w:lvl>
    <w:lvl w:ilvl="4">
      <w:start w:val="1"/>
      <w:numFmt w:val="decimal"/>
      <w:suff w:val="nothing"/>
      <w:lvlText w:val="%1.%2.%3.%4.%5"/>
      <w:lvlJc w:val="left"/>
      <w:pPr>
        <w:ind w:left="0" w:firstLine="0"/>
      </w:pPr>
      <w:rPr>
        <w:rFonts w:hint="default"/>
      </w:rPr>
    </w:lvl>
    <w:lvl w:ilvl="5">
      <w:start w:val="1"/>
      <w:numFmt w:val="decimal"/>
      <w:suff w:val="nothing"/>
      <w:lvlText w:val="%1.%2.%3.%4.%5.%6"/>
      <w:lvlJc w:val="left"/>
      <w:pPr>
        <w:ind w:left="0" w:firstLine="0"/>
      </w:pPr>
      <w:rPr>
        <w:rFonts w:hint="default"/>
      </w:rPr>
    </w:lvl>
    <w:lvl w:ilvl="6">
      <w:start w:val="1"/>
      <w:numFmt w:val="decimal"/>
      <w:suff w:val="nothing"/>
      <w:lvlText w:val="%1.%2.%3.%4.%5.%6.%7"/>
      <w:lvlJc w:val="left"/>
      <w:pPr>
        <w:ind w:left="0" w:firstLine="0"/>
      </w:pPr>
      <w:rPr>
        <w:rFonts w:hint="default"/>
      </w:rPr>
    </w:lvl>
    <w:lvl w:ilvl="7">
      <w:start w:val="1"/>
      <w:numFmt w:val="decimal"/>
      <w:suff w:val="nothing"/>
      <w:lvlText w:val="%1.%2.%3.%4.%5.%6.%8.%7"/>
      <w:lvlJc w:val="left"/>
      <w:pPr>
        <w:ind w:left="0" w:firstLine="0"/>
      </w:pPr>
      <w:rPr>
        <w:rFonts w:hint="default"/>
      </w:rPr>
    </w:lvl>
    <w:lvl w:ilvl="8">
      <w:start w:val="1"/>
      <w:numFmt w:val="decimal"/>
      <w:suff w:val="nothing"/>
      <w:lvlText w:val="%1.%2.%3.%4.%5.%6.%7.%8.%9"/>
      <w:lvlJc w:val="left"/>
      <w:pPr>
        <w:ind w:left="0" w:firstLine="0"/>
      </w:pPr>
      <w:rPr>
        <w:rFonts w:hint="default"/>
      </w:rPr>
    </w:lvl>
  </w:abstractNum>
  <w:abstractNum w:abstractNumId="72" w15:restartNumberingAfterBreak="0">
    <w:nsid w:val="5C7C4E77"/>
    <w:multiLevelType w:val="multilevel"/>
    <w:tmpl w:val="0CA0CC82"/>
    <w:lvl w:ilvl="0">
      <w:start w:val="1"/>
      <w:numFmt w:val="decimal"/>
      <w:pStyle w:val="Heading1"/>
      <w:lvlText w:val="%1."/>
      <w:lvlJc w:val="left"/>
      <w:pPr>
        <w:ind w:left="360" w:hanging="360"/>
      </w:pPr>
      <w:rPr>
        <w:rFonts w:ascii="Jacobs Chronos" w:hAnsi="Jacobs Chronos" w:cs="Jacobs Chronos" w:hint="default"/>
        <w:b/>
        <w:bCs/>
        <w:i w:val="0"/>
        <w:iCs w:val="0"/>
        <w:color w:val="auto"/>
        <w:sz w:val="32"/>
        <w:szCs w:val="32"/>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851" w:hanging="851"/>
      </w:pPr>
      <w:rPr>
        <w:rFonts w:hint="default"/>
      </w:rPr>
    </w:lvl>
    <w:lvl w:ilvl="3">
      <w:start w:val="1"/>
      <w:numFmt w:val="decimal"/>
      <w:pStyle w:val="Heading4"/>
      <w:lvlText w:val="%1.%2.%3.%4"/>
      <w:lvlJc w:val="left"/>
      <w:pPr>
        <w:ind w:left="851" w:hanging="851"/>
      </w:pPr>
      <w:rPr>
        <w:rFonts w:hint="default"/>
      </w:rPr>
    </w:lvl>
    <w:lvl w:ilvl="4">
      <w:start w:val="1"/>
      <w:numFmt w:val="decimal"/>
      <w:pStyle w:val="Heading5"/>
      <w:lvlText w:val="%1.%2.%3.%4.%5"/>
      <w:lvlJc w:val="left"/>
      <w:pPr>
        <w:ind w:left="851" w:hanging="851"/>
      </w:pPr>
      <w:rPr>
        <w:rFonts w:hint="default"/>
      </w:rPr>
    </w:lvl>
    <w:lvl w:ilvl="5">
      <w:start w:val="1"/>
      <w:numFmt w:val="decimal"/>
      <w:pStyle w:val="Heading6"/>
      <w:lvlText w:val="%1.%2.%3.%4.%5.%6"/>
      <w:lvlJc w:val="left"/>
      <w:pPr>
        <w:ind w:left="851" w:hanging="851"/>
      </w:pPr>
      <w:rPr>
        <w:rFonts w:ascii="Jacobs Chronos" w:hAnsi="Jacobs Chronos" w:cs="Jacobs Chronos" w:hint="default"/>
        <w:b/>
        <w:i w:val="0"/>
        <w:sz w:val="20"/>
      </w:rPr>
    </w:lvl>
    <w:lvl w:ilvl="6">
      <w:numFmt w:val="decimal"/>
      <w:pStyle w:val="Heading7"/>
      <w:lvlText w:val="%1.%2.%3.%4.%5.%6.%7"/>
      <w:lvlJc w:val="left"/>
      <w:pPr>
        <w:ind w:left="851" w:hanging="851"/>
      </w:pPr>
      <w:rPr>
        <w:rFonts w:ascii="Jacobs Chronos Light" w:hAnsi="Jacobs Chronos Light" w:cs="Jacobs Chronos Light" w:hint="default"/>
        <w:b/>
        <w:i w:val="0"/>
        <w:sz w:val="20"/>
      </w:rPr>
    </w:lvl>
    <w:lvl w:ilvl="7">
      <w:numFmt w:val="decimal"/>
      <w:pStyle w:val="Heading8"/>
      <w:lvlText w:val="%1.%2.%3.%4.%5.%6.%8"/>
      <w:lvlJc w:val="left"/>
      <w:pPr>
        <w:ind w:left="851" w:hanging="851"/>
      </w:pPr>
      <w:rPr>
        <w:rFonts w:ascii="Jacobs Chronos Light" w:hAnsi="Jacobs Chronos Light" w:cs="Jacobs Chronos Light" w:hint="default"/>
        <w:b/>
        <w:i w:val="0"/>
        <w:sz w:val="20"/>
      </w:rPr>
    </w:lvl>
    <w:lvl w:ilvl="8">
      <w:numFmt w:val="none"/>
      <w:lvlRestart w:val="0"/>
      <w:suff w:val="nothing"/>
      <w:lvlText w:val=""/>
      <w:lvlJc w:val="left"/>
      <w:pPr>
        <w:ind w:left="-32767" w:firstLine="0"/>
      </w:pPr>
      <w:rPr>
        <w:rFonts w:hint="default"/>
      </w:rPr>
    </w:lvl>
  </w:abstractNum>
  <w:abstractNum w:abstractNumId="73" w15:restartNumberingAfterBreak="0">
    <w:nsid w:val="5C893E28"/>
    <w:multiLevelType w:val="multilevel"/>
    <w:tmpl w:val="BFBAF5F2"/>
    <w:styleLink w:val="JacobsNumberedList34"/>
    <w:lvl w:ilvl="0">
      <w:start w:val="1"/>
      <w:numFmt w:val="lowerRoman"/>
      <w:lvlText w:val="%1."/>
      <w:lvlJc w:val="left"/>
      <w:pPr>
        <w:ind w:left="2155" w:hanging="454"/>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4" w15:restartNumberingAfterBreak="0">
    <w:nsid w:val="5C9B73AC"/>
    <w:multiLevelType w:val="multilevel"/>
    <w:tmpl w:val="A142CAA2"/>
    <w:styleLink w:val="JacobsTableNumberedList1"/>
    <w:lvl w:ilvl="0">
      <w:start w:val="1"/>
      <w:numFmt w:val="decimal"/>
      <w:pStyle w:val="Tablenumber"/>
      <w:lvlText w:val="%1)"/>
      <w:lvlJc w:val="left"/>
      <w:pPr>
        <w:ind w:left="283" w:hanging="283"/>
      </w:pPr>
      <w:rPr>
        <w:rFonts w:hint="default"/>
      </w:rPr>
    </w:lvl>
    <w:lvl w:ilvl="1">
      <w:start w:val="1"/>
      <w:numFmt w:val="lowerLetter"/>
      <w:lvlText w:val="%2)"/>
      <w:lvlJc w:val="left"/>
      <w:pPr>
        <w:ind w:left="567" w:hanging="283"/>
      </w:pPr>
      <w:rPr>
        <w:rFonts w:hint="default"/>
      </w:rPr>
    </w:lvl>
    <w:lvl w:ilvl="2">
      <w:start w:val="1"/>
      <w:numFmt w:val="none"/>
      <w:lvlText w:val=""/>
      <w:lvlJc w:val="left"/>
      <w:pPr>
        <w:ind w:left="567" w:hanging="283"/>
      </w:pPr>
      <w:rPr>
        <w:rFonts w:hint="default"/>
      </w:rPr>
    </w:lvl>
    <w:lvl w:ilvl="3">
      <w:start w:val="1"/>
      <w:numFmt w:val="none"/>
      <w:lvlRestart w:val="2"/>
      <w:lvlText w:val=""/>
      <w:lvlJc w:val="left"/>
      <w:pPr>
        <w:ind w:left="567" w:hanging="283"/>
      </w:pPr>
      <w:rPr>
        <w:rFonts w:hint="default"/>
      </w:rPr>
    </w:lvl>
    <w:lvl w:ilvl="4">
      <w:start w:val="1"/>
      <w:numFmt w:val="none"/>
      <w:lvlRestart w:val="2"/>
      <w:lvlText w:val=""/>
      <w:lvlJc w:val="left"/>
      <w:pPr>
        <w:ind w:left="567" w:hanging="283"/>
      </w:pPr>
      <w:rPr>
        <w:rFonts w:hint="default"/>
      </w:rPr>
    </w:lvl>
    <w:lvl w:ilvl="5">
      <w:start w:val="1"/>
      <w:numFmt w:val="none"/>
      <w:lvlRestart w:val="2"/>
      <w:lvlText w:val=""/>
      <w:lvlJc w:val="left"/>
      <w:pPr>
        <w:ind w:left="567" w:hanging="283"/>
      </w:pPr>
      <w:rPr>
        <w:rFonts w:hint="default"/>
      </w:rPr>
    </w:lvl>
    <w:lvl w:ilvl="6">
      <w:start w:val="1"/>
      <w:numFmt w:val="none"/>
      <w:lvlRestart w:val="2"/>
      <w:lvlText w:val=""/>
      <w:lvlJc w:val="left"/>
      <w:pPr>
        <w:ind w:left="567" w:hanging="283"/>
      </w:pPr>
      <w:rPr>
        <w:rFonts w:hint="default"/>
      </w:rPr>
    </w:lvl>
    <w:lvl w:ilvl="7">
      <w:start w:val="1"/>
      <w:numFmt w:val="none"/>
      <w:lvlRestart w:val="2"/>
      <w:lvlText w:val=""/>
      <w:lvlJc w:val="left"/>
      <w:pPr>
        <w:ind w:left="567" w:hanging="283"/>
      </w:pPr>
      <w:rPr>
        <w:rFonts w:hint="default"/>
      </w:rPr>
    </w:lvl>
    <w:lvl w:ilvl="8">
      <w:start w:val="1"/>
      <w:numFmt w:val="none"/>
      <w:lvlRestart w:val="2"/>
      <w:lvlText w:val=""/>
      <w:lvlJc w:val="left"/>
      <w:pPr>
        <w:tabs>
          <w:tab w:val="num" w:pos="2835"/>
        </w:tabs>
        <w:ind w:left="567" w:firstLine="2268"/>
      </w:pPr>
      <w:rPr>
        <w:rFonts w:hint="default"/>
      </w:rPr>
    </w:lvl>
  </w:abstractNum>
  <w:abstractNum w:abstractNumId="75" w15:restartNumberingAfterBreak="0">
    <w:nsid w:val="604157CD"/>
    <w:multiLevelType w:val="hybridMultilevel"/>
    <w:tmpl w:val="8368CBC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6" w15:restartNumberingAfterBreak="0">
    <w:nsid w:val="612D52D1"/>
    <w:multiLevelType w:val="singleLevel"/>
    <w:tmpl w:val="B2329E56"/>
    <w:lvl w:ilvl="0">
      <w:start w:val="1"/>
      <w:numFmt w:val="decimal"/>
      <w:pStyle w:val="Para2number"/>
      <w:lvlText w:val="%1)"/>
      <w:lvlJc w:val="left"/>
      <w:pPr>
        <w:ind w:left="1276" w:hanging="426"/>
      </w:pPr>
      <w:rPr>
        <w:rFonts w:ascii="Jacobs Chronos" w:hAnsi="Jacobs Chronos" w:cs="Jacobs Chronos" w:hint="default"/>
        <w:b w:val="0"/>
        <w:i w:val="0"/>
        <w:color w:val="auto"/>
        <w:sz w:val="20"/>
      </w:rPr>
    </w:lvl>
  </w:abstractNum>
  <w:abstractNum w:abstractNumId="77" w15:restartNumberingAfterBreak="0">
    <w:nsid w:val="61B061A8"/>
    <w:multiLevelType w:val="multilevel"/>
    <w:tmpl w:val="5AFCE06A"/>
    <w:styleLink w:val="SKMNarrowList"/>
    <w:lvl w:ilvl="0">
      <w:start w:val="1"/>
      <w:numFmt w:val="bullet"/>
      <w:lvlText w:val=""/>
      <w:lvlJc w:val="left"/>
      <w:pPr>
        <w:ind w:left="198" w:hanging="198"/>
      </w:pPr>
      <w:rPr>
        <w:rFonts w:ascii="Symbol" w:hAnsi="Symbol" w:hint="default"/>
        <w:color w:val="auto"/>
      </w:rPr>
    </w:lvl>
    <w:lvl w:ilvl="1">
      <w:start w:val="1"/>
      <w:numFmt w:val="bullet"/>
      <w:lvlRestart w:val="0"/>
      <w:lvlText w:val=""/>
      <w:lvlJc w:val="left"/>
      <w:pPr>
        <w:ind w:left="397" w:hanging="199"/>
      </w:pPr>
      <w:rPr>
        <w:rFonts w:ascii="Symbol" w:hAnsi="Symbol" w:hint="default"/>
        <w:color w:val="auto"/>
      </w:rPr>
    </w:lvl>
    <w:lvl w:ilvl="2">
      <w:start w:val="1"/>
      <w:numFmt w:val="none"/>
      <w:lvlRestart w:val="0"/>
      <w:lvlText w:val=""/>
      <w:lvlJc w:val="left"/>
      <w:pPr>
        <w:ind w:left="397" w:firstLine="0"/>
      </w:pPr>
      <w:rPr>
        <w:rFonts w:hint="default"/>
      </w:rPr>
    </w:lvl>
    <w:lvl w:ilvl="3">
      <w:start w:val="1"/>
      <w:numFmt w:val="none"/>
      <w:lvlRestart w:val="0"/>
      <w:lvlText w:val=""/>
      <w:lvlJc w:val="left"/>
      <w:pPr>
        <w:ind w:left="397" w:firstLine="0"/>
      </w:pPr>
      <w:rPr>
        <w:rFonts w:hint="default"/>
      </w:rPr>
    </w:lvl>
    <w:lvl w:ilvl="4">
      <w:start w:val="1"/>
      <w:numFmt w:val="none"/>
      <w:lvlRestart w:val="0"/>
      <w:lvlText w:val=""/>
      <w:lvlJc w:val="left"/>
      <w:pPr>
        <w:ind w:left="397" w:firstLine="0"/>
      </w:pPr>
      <w:rPr>
        <w:rFonts w:hint="default"/>
      </w:rPr>
    </w:lvl>
    <w:lvl w:ilvl="5">
      <w:start w:val="1"/>
      <w:numFmt w:val="none"/>
      <w:lvlRestart w:val="0"/>
      <w:lvlText w:val=""/>
      <w:lvlJc w:val="left"/>
      <w:pPr>
        <w:ind w:left="397" w:firstLine="0"/>
      </w:pPr>
      <w:rPr>
        <w:rFonts w:hint="default"/>
      </w:rPr>
    </w:lvl>
    <w:lvl w:ilvl="6">
      <w:start w:val="1"/>
      <w:numFmt w:val="none"/>
      <w:lvlRestart w:val="0"/>
      <w:lvlText w:val=""/>
      <w:lvlJc w:val="left"/>
      <w:pPr>
        <w:ind w:left="397" w:firstLine="0"/>
      </w:pPr>
      <w:rPr>
        <w:rFonts w:hint="default"/>
      </w:rPr>
    </w:lvl>
    <w:lvl w:ilvl="7">
      <w:start w:val="1"/>
      <w:numFmt w:val="none"/>
      <w:lvlRestart w:val="0"/>
      <w:lvlText w:val=""/>
      <w:lvlJc w:val="left"/>
      <w:pPr>
        <w:ind w:left="397" w:firstLine="0"/>
      </w:pPr>
      <w:rPr>
        <w:rFonts w:hint="default"/>
      </w:rPr>
    </w:lvl>
    <w:lvl w:ilvl="8">
      <w:start w:val="1"/>
      <w:numFmt w:val="none"/>
      <w:lvlRestart w:val="0"/>
      <w:lvlText w:val=""/>
      <w:lvlJc w:val="left"/>
      <w:pPr>
        <w:ind w:left="397" w:firstLine="0"/>
      </w:pPr>
      <w:rPr>
        <w:rFonts w:hint="default"/>
      </w:rPr>
    </w:lvl>
  </w:abstractNum>
  <w:abstractNum w:abstractNumId="78" w15:restartNumberingAfterBreak="0">
    <w:nsid w:val="633D6386"/>
    <w:multiLevelType w:val="multilevel"/>
    <w:tmpl w:val="E362DF46"/>
    <w:lvl w:ilvl="0">
      <w:start w:val="1"/>
      <w:numFmt w:val="upperLetter"/>
      <w:pStyle w:val="Heading9"/>
      <w:suff w:val="space"/>
      <w:lvlText w:val="Appendix %1."/>
      <w:lvlJc w:val="left"/>
      <w:pPr>
        <w:ind w:left="360" w:hanging="360"/>
      </w:pPr>
      <w:rPr>
        <w:rFonts w:ascii="Jacobs Chronos" w:hAnsi="Jacobs Chronos" w:cs="Jacobs Chronos" w:hint="default"/>
        <w:b/>
        <w:i w:val="0"/>
        <w:sz w:val="32"/>
      </w:rPr>
    </w:lvl>
    <w:lvl w:ilvl="1">
      <w:start w:val="1"/>
      <w:numFmt w:val="decimal"/>
      <w:pStyle w:val="Appendixsubheading1"/>
      <w:lvlText w:val="%1.%2"/>
      <w:lvlJc w:val="left"/>
      <w:pPr>
        <w:ind w:left="851" w:hanging="851"/>
      </w:pPr>
      <w:rPr>
        <w:rFonts w:ascii="Jacobs Chronos" w:hAnsi="Jacobs Chronos" w:cs="Jacobs Chronos" w:hint="default"/>
        <w:b/>
        <w:i w:val="0"/>
        <w:sz w:val="24"/>
      </w:rPr>
    </w:lvl>
    <w:lvl w:ilvl="2">
      <w:start w:val="1"/>
      <w:numFmt w:val="decimal"/>
      <w:pStyle w:val="Appendixsubheading2"/>
      <w:lvlText w:val="%1.%2.%3"/>
      <w:lvlJc w:val="left"/>
      <w:pPr>
        <w:ind w:left="851" w:hanging="851"/>
      </w:pPr>
      <w:rPr>
        <w:rFonts w:ascii="Jacobs Chronos" w:hAnsi="Jacobs Chronos" w:cs="Jacobs Chronos" w:hint="default"/>
        <w:b/>
        <w:i w:val="0"/>
        <w:sz w:val="20"/>
      </w:rPr>
    </w:lvl>
    <w:lvl w:ilvl="3">
      <w:start w:val="1"/>
      <w:numFmt w:val="decimal"/>
      <w:pStyle w:val="Appendixsubheading3"/>
      <w:lvlText w:val="%1.%2.%3.%4"/>
      <w:lvlJc w:val="left"/>
      <w:pPr>
        <w:ind w:left="851" w:hanging="851"/>
      </w:pPr>
      <w:rPr>
        <w:rFonts w:ascii="Jacobs Chronos" w:hAnsi="Jacobs Chronos" w:cs="Jacobs Chronos" w:hint="default"/>
        <w:b/>
        <w:i w:val="0"/>
        <w:sz w:val="20"/>
      </w:rPr>
    </w:lvl>
    <w:lvl w:ilvl="4">
      <w:numFmt w:val="none"/>
      <w:lvlRestart w:val="0"/>
      <w:suff w:val="nothing"/>
      <w:lvlText w:val=""/>
      <w:lvlJc w:val="left"/>
      <w:pPr>
        <w:ind w:left="-32767" w:firstLine="32767"/>
      </w:pPr>
      <w:rPr>
        <w:rFonts w:ascii="Jacobs Chronos Light" w:hAnsi="Jacobs Chronos Light" w:cs="Jacobs Chronos Light" w:hint="default"/>
        <w:b/>
        <w:i w:val="0"/>
        <w:sz w:val="20"/>
      </w:rPr>
    </w:lvl>
    <w:lvl w:ilvl="5">
      <w:numFmt w:val="none"/>
      <w:lvlRestart w:val="0"/>
      <w:suff w:val="nothing"/>
      <w:lvlText w:val=""/>
      <w:lvlJc w:val="left"/>
      <w:pPr>
        <w:ind w:left="-32767" w:firstLine="0"/>
      </w:pPr>
      <w:rPr>
        <w:rFonts w:hint="default"/>
      </w:rPr>
    </w:lvl>
    <w:lvl w:ilvl="6">
      <w:numFmt w:val="none"/>
      <w:lvlRestart w:val="0"/>
      <w:suff w:val="nothing"/>
      <w:lvlText w:val=""/>
      <w:lvlJc w:val="left"/>
      <w:pPr>
        <w:ind w:left="-32767" w:firstLine="0"/>
      </w:pPr>
      <w:rPr>
        <w:rFonts w:hint="default"/>
      </w:rPr>
    </w:lvl>
    <w:lvl w:ilvl="7">
      <w:numFmt w:val="none"/>
      <w:lvlRestart w:val="0"/>
      <w:suff w:val="nothing"/>
      <w:lvlText w:val=""/>
      <w:lvlJc w:val="left"/>
      <w:pPr>
        <w:ind w:left="-32767" w:firstLine="0"/>
      </w:pPr>
      <w:rPr>
        <w:rFonts w:hint="default"/>
      </w:rPr>
    </w:lvl>
    <w:lvl w:ilvl="8">
      <w:numFmt w:val="none"/>
      <w:lvlRestart w:val="0"/>
      <w:suff w:val="nothing"/>
      <w:lvlText w:val=""/>
      <w:lvlJc w:val="left"/>
      <w:pPr>
        <w:ind w:left="-32767" w:firstLine="0"/>
      </w:pPr>
      <w:rPr>
        <w:rFonts w:hint="default"/>
      </w:rPr>
    </w:lvl>
  </w:abstractNum>
  <w:abstractNum w:abstractNumId="79" w15:restartNumberingAfterBreak="0">
    <w:nsid w:val="63F74075"/>
    <w:multiLevelType w:val="multilevel"/>
    <w:tmpl w:val="07F8362A"/>
    <w:styleLink w:val="JacobsTable2List1"/>
    <w:lvl w:ilvl="0">
      <w:start w:val="1"/>
      <w:numFmt w:val="bullet"/>
      <w:pStyle w:val="Table2bullet"/>
      <w:lvlText w:val="§"/>
      <w:lvlJc w:val="left"/>
      <w:pPr>
        <w:tabs>
          <w:tab w:val="num" w:pos="567"/>
        </w:tabs>
        <w:ind w:left="567" w:hanging="283"/>
      </w:pPr>
      <w:rPr>
        <w:rFonts w:ascii="Wingdings" w:hAnsi="Wingdings" w:hint="default"/>
        <w:color w:val="auto"/>
      </w:rPr>
    </w:lvl>
    <w:lvl w:ilvl="1">
      <w:start w:val="1"/>
      <w:numFmt w:val="none"/>
      <w:lvlText w:val="%2"/>
      <w:lvlJc w:val="left"/>
      <w:pPr>
        <w:ind w:left="720" w:hanging="360"/>
      </w:pPr>
      <w:rPr>
        <w:rFonts w:hint="default"/>
      </w:rPr>
    </w:lvl>
    <w:lvl w:ilvl="2">
      <w:start w:val="1"/>
      <w:numFmt w:val="none"/>
      <w:lvlText w:val="%3"/>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0" w15:restartNumberingAfterBreak="0">
    <w:nsid w:val="66FC26A6"/>
    <w:multiLevelType w:val="multilevel"/>
    <w:tmpl w:val="AAE0FFF2"/>
    <w:styleLink w:val="JacobsNumberedList31"/>
    <w:lvl w:ilvl="0">
      <w:start w:val="1"/>
      <w:numFmt w:val="lowerRoman"/>
      <w:lvlText w:val="%1."/>
      <w:lvlJc w:val="left"/>
      <w:pPr>
        <w:ind w:left="425" w:hanging="68"/>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1" w15:restartNumberingAfterBreak="0">
    <w:nsid w:val="696E67E8"/>
    <w:multiLevelType w:val="multilevel"/>
    <w:tmpl w:val="BFACDB88"/>
    <w:styleLink w:val="JacobsSidebarList"/>
    <w:lvl w:ilvl="0">
      <w:start w:val="1"/>
      <w:numFmt w:val="bullet"/>
      <w:pStyle w:val="Sidebarbullet"/>
      <w:lvlText w:val=""/>
      <w:lvlJc w:val="left"/>
      <w:pPr>
        <w:ind w:left="284" w:hanging="284"/>
      </w:pPr>
      <w:rPr>
        <w:rFonts w:ascii="Symbol" w:hAnsi="Symbol" w:hint="default"/>
        <w:color w:val="auto"/>
      </w:rPr>
    </w:lvl>
    <w:lvl w:ilvl="1">
      <w:start w:val="1"/>
      <w:numFmt w:val="none"/>
      <w:lvlRestart w:val="0"/>
      <w:lvlText w:val=""/>
      <w:lvlJc w:val="left"/>
      <w:pPr>
        <w:ind w:left="284" w:firstLine="76"/>
      </w:pPr>
      <w:rPr>
        <w:rFonts w:hint="default"/>
      </w:rPr>
    </w:lvl>
    <w:lvl w:ilvl="2">
      <w:start w:val="1"/>
      <w:numFmt w:val="none"/>
      <w:lvlRestart w:val="0"/>
      <w:lvlText w:val=""/>
      <w:lvlJc w:val="left"/>
      <w:pPr>
        <w:ind w:left="284" w:hanging="284"/>
      </w:pPr>
      <w:rPr>
        <w:rFonts w:hint="default"/>
      </w:rPr>
    </w:lvl>
    <w:lvl w:ilvl="3">
      <w:start w:val="1"/>
      <w:numFmt w:val="none"/>
      <w:lvlRestart w:val="0"/>
      <w:lvlText w:val=""/>
      <w:lvlJc w:val="left"/>
      <w:pPr>
        <w:ind w:left="284" w:hanging="284"/>
      </w:pPr>
      <w:rPr>
        <w:rFonts w:hint="default"/>
      </w:rPr>
    </w:lvl>
    <w:lvl w:ilvl="4">
      <w:start w:val="1"/>
      <w:numFmt w:val="none"/>
      <w:lvlRestart w:val="0"/>
      <w:lvlText w:val=""/>
      <w:lvlJc w:val="left"/>
      <w:pPr>
        <w:ind w:left="284" w:hanging="284"/>
      </w:pPr>
      <w:rPr>
        <w:rFonts w:hint="default"/>
      </w:rPr>
    </w:lvl>
    <w:lvl w:ilvl="5">
      <w:start w:val="1"/>
      <w:numFmt w:val="none"/>
      <w:lvlRestart w:val="0"/>
      <w:lvlText w:val=""/>
      <w:lvlJc w:val="left"/>
      <w:pPr>
        <w:ind w:left="284" w:hanging="284"/>
      </w:pPr>
      <w:rPr>
        <w:rFonts w:hint="default"/>
      </w:rPr>
    </w:lvl>
    <w:lvl w:ilvl="6">
      <w:start w:val="1"/>
      <w:numFmt w:val="none"/>
      <w:lvlRestart w:val="0"/>
      <w:lvlText w:val=""/>
      <w:lvlJc w:val="left"/>
      <w:pPr>
        <w:ind w:left="284" w:hanging="284"/>
      </w:pPr>
      <w:rPr>
        <w:rFonts w:hint="default"/>
      </w:rPr>
    </w:lvl>
    <w:lvl w:ilvl="7">
      <w:start w:val="1"/>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82" w15:restartNumberingAfterBreak="0">
    <w:nsid w:val="6A242EBF"/>
    <w:multiLevelType w:val="multilevel"/>
    <w:tmpl w:val="80ACB8AE"/>
    <w:styleLink w:val="JacobsTable2NumberdList2"/>
    <w:lvl w:ilvl="0">
      <w:start w:val="1"/>
      <w:numFmt w:val="lowerLetter"/>
      <w:pStyle w:val="Table2letter"/>
      <w:lvlText w:val="%1)"/>
      <w:lvlJc w:val="left"/>
      <w:pPr>
        <w:tabs>
          <w:tab w:val="num" w:pos="567"/>
        </w:tabs>
        <w:ind w:left="567" w:hanging="283"/>
      </w:pPr>
      <w:rPr>
        <w:rFonts w:hint="default"/>
      </w:rPr>
    </w:lvl>
    <w:lvl w:ilvl="1">
      <w:start w:val="1"/>
      <w:numFmt w:val="none"/>
      <w:lvlText w:val=""/>
      <w:lvlJc w:val="left"/>
      <w:pPr>
        <w:ind w:left="720" w:hanging="360"/>
      </w:pPr>
      <w:rPr>
        <w:rFonts w:hint="default"/>
      </w:rPr>
    </w:lvl>
    <w:lvl w:ilvl="2">
      <w:start w:val="1"/>
      <w:numFmt w:val="none"/>
      <w:lvlText w:val=""/>
      <w:lvlJc w:val="left"/>
      <w:pPr>
        <w:ind w:left="1080" w:hanging="360"/>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83" w15:restartNumberingAfterBreak="0">
    <w:nsid w:val="6C571012"/>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84" w15:restartNumberingAfterBreak="0">
    <w:nsid w:val="6F444416"/>
    <w:multiLevelType w:val="hybridMultilevel"/>
    <w:tmpl w:val="FD9A97C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5" w15:restartNumberingAfterBreak="0">
    <w:nsid w:val="6F7D6216"/>
    <w:multiLevelType w:val="multilevel"/>
    <w:tmpl w:val="F3E2DA6E"/>
    <w:styleLink w:val="JacobsSmallTableList1"/>
    <w:lvl w:ilvl="0">
      <w:start w:val="1"/>
      <w:numFmt w:val="bullet"/>
      <w:pStyle w:val="Tablesmallbullet"/>
      <w:lvlText w:val="§"/>
      <w:lvlJc w:val="left"/>
      <w:pPr>
        <w:ind w:left="284" w:hanging="284"/>
      </w:pPr>
      <w:rPr>
        <w:rFonts w:ascii="Wingdings" w:hAnsi="Wingdings" w:hint="default"/>
        <w:color w:val="auto"/>
      </w:rPr>
    </w:lvl>
    <w:lvl w:ilvl="1">
      <w:start w:val="1"/>
      <w:numFmt w:val="none"/>
      <w:lvlText w:val=""/>
      <w:lvlJc w:val="left"/>
      <w:pPr>
        <w:ind w:left="284" w:hanging="284"/>
      </w:pPr>
      <w:rPr>
        <w:rFonts w:hint="default"/>
      </w:rPr>
    </w:lvl>
    <w:lvl w:ilvl="2">
      <w:start w:val="1"/>
      <w:numFmt w:val="none"/>
      <w:lvlRestart w:val="1"/>
      <w:lvlText w:val=""/>
      <w:lvlJc w:val="left"/>
      <w:pPr>
        <w:ind w:left="284" w:hanging="284"/>
      </w:pPr>
      <w:rPr>
        <w:rFonts w:hint="default"/>
      </w:rPr>
    </w:lvl>
    <w:lvl w:ilvl="3">
      <w:start w:val="1"/>
      <w:numFmt w:val="none"/>
      <w:lvlRestart w:val="1"/>
      <w:lvlText w:val=""/>
      <w:lvlJc w:val="left"/>
      <w:pPr>
        <w:ind w:left="284" w:hanging="284"/>
      </w:pPr>
      <w:rPr>
        <w:rFonts w:hint="default"/>
      </w:rPr>
    </w:lvl>
    <w:lvl w:ilvl="4">
      <w:start w:val="1"/>
      <w:numFmt w:val="none"/>
      <w:lvlRestart w:val="1"/>
      <w:lvlText w:val=""/>
      <w:lvlJc w:val="left"/>
      <w:pPr>
        <w:ind w:left="284" w:hanging="284"/>
      </w:pPr>
      <w:rPr>
        <w:rFonts w:hint="default"/>
      </w:rPr>
    </w:lvl>
    <w:lvl w:ilvl="5">
      <w:start w:val="1"/>
      <w:numFmt w:val="none"/>
      <w:lvlRestart w:val="1"/>
      <w:lvlText w:val=""/>
      <w:lvlJc w:val="left"/>
      <w:pPr>
        <w:ind w:left="284" w:hanging="284"/>
      </w:pPr>
      <w:rPr>
        <w:rFonts w:hint="default"/>
      </w:rPr>
    </w:lvl>
    <w:lvl w:ilvl="6">
      <w:start w:val="1"/>
      <w:numFmt w:val="none"/>
      <w:lvlRestart w:val="1"/>
      <w:lvlText w:val=""/>
      <w:lvlJc w:val="left"/>
      <w:pPr>
        <w:ind w:left="284" w:hanging="284"/>
      </w:pPr>
      <w:rPr>
        <w:rFonts w:hint="default"/>
      </w:rPr>
    </w:lvl>
    <w:lvl w:ilvl="7">
      <w:start w:val="1"/>
      <w:numFmt w:val="none"/>
      <w:lvlRestart w:val="1"/>
      <w:lvlText w:val=""/>
      <w:lvlJc w:val="left"/>
      <w:pPr>
        <w:ind w:left="284" w:hanging="284"/>
      </w:pPr>
      <w:rPr>
        <w:rFonts w:hint="default"/>
      </w:rPr>
    </w:lvl>
    <w:lvl w:ilvl="8">
      <w:start w:val="1"/>
      <w:numFmt w:val="none"/>
      <w:lvlRestart w:val="1"/>
      <w:lvlText w:val=""/>
      <w:lvlJc w:val="left"/>
      <w:pPr>
        <w:ind w:left="284" w:hanging="284"/>
      </w:pPr>
      <w:rPr>
        <w:rFonts w:hint="default"/>
      </w:rPr>
    </w:lvl>
  </w:abstractNum>
  <w:abstractNum w:abstractNumId="86" w15:restartNumberingAfterBreak="0">
    <w:nsid w:val="716A4269"/>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7" w15:restartNumberingAfterBreak="0">
    <w:nsid w:val="733B6855"/>
    <w:multiLevelType w:val="hybridMultilevel"/>
    <w:tmpl w:val="68F296FE"/>
    <w:lvl w:ilvl="0" w:tplc="CA3E4538">
      <w:start w:val="1"/>
      <w:numFmt w:val="bullet"/>
      <w:pStyle w:val="ContentBulletsRound"/>
      <w:lvlText w:val=""/>
      <w:lvlJc w:val="left"/>
      <w:pPr>
        <w:ind w:left="1418" w:hanging="851"/>
      </w:pPr>
      <w:rPr>
        <w:rFonts w:ascii="Symbol" w:hAnsi="Symbol" w:hint="default"/>
      </w:rPr>
    </w:lvl>
    <w:lvl w:ilvl="1" w:tplc="FDA8B1F8" w:tentative="1">
      <w:start w:val="1"/>
      <w:numFmt w:val="bullet"/>
      <w:lvlText w:val="o"/>
      <w:lvlJc w:val="left"/>
      <w:pPr>
        <w:ind w:left="1440" w:hanging="360"/>
      </w:pPr>
      <w:rPr>
        <w:rFonts w:ascii="Courier New" w:hAnsi="Courier New" w:hint="default"/>
      </w:rPr>
    </w:lvl>
    <w:lvl w:ilvl="2" w:tplc="1A6265B6" w:tentative="1">
      <w:start w:val="1"/>
      <w:numFmt w:val="bullet"/>
      <w:lvlText w:val=""/>
      <w:lvlJc w:val="left"/>
      <w:pPr>
        <w:ind w:left="2160" w:hanging="360"/>
      </w:pPr>
      <w:rPr>
        <w:rFonts w:ascii="Wingdings" w:hAnsi="Wingdings" w:hint="default"/>
      </w:rPr>
    </w:lvl>
    <w:lvl w:ilvl="3" w:tplc="8FF64460" w:tentative="1">
      <w:start w:val="1"/>
      <w:numFmt w:val="bullet"/>
      <w:lvlText w:val=""/>
      <w:lvlJc w:val="left"/>
      <w:pPr>
        <w:ind w:left="2880" w:hanging="360"/>
      </w:pPr>
      <w:rPr>
        <w:rFonts w:ascii="Symbol" w:hAnsi="Symbol" w:hint="default"/>
      </w:rPr>
    </w:lvl>
    <w:lvl w:ilvl="4" w:tplc="7C30A48C" w:tentative="1">
      <w:start w:val="1"/>
      <w:numFmt w:val="bullet"/>
      <w:lvlText w:val="o"/>
      <w:lvlJc w:val="left"/>
      <w:pPr>
        <w:ind w:left="3600" w:hanging="360"/>
      </w:pPr>
      <w:rPr>
        <w:rFonts w:ascii="Courier New" w:hAnsi="Courier New" w:hint="default"/>
      </w:rPr>
    </w:lvl>
    <w:lvl w:ilvl="5" w:tplc="2A463226" w:tentative="1">
      <w:start w:val="1"/>
      <w:numFmt w:val="bullet"/>
      <w:lvlText w:val=""/>
      <w:lvlJc w:val="left"/>
      <w:pPr>
        <w:ind w:left="4320" w:hanging="360"/>
      </w:pPr>
      <w:rPr>
        <w:rFonts w:ascii="Wingdings" w:hAnsi="Wingdings" w:hint="default"/>
      </w:rPr>
    </w:lvl>
    <w:lvl w:ilvl="6" w:tplc="284E93BE" w:tentative="1">
      <w:start w:val="1"/>
      <w:numFmt w:val="bullet"/>
      <w:lvlText w:val=""/>
      <w:lvlJc w:val="left"/>
      <w:pPr>
        <w:ind w:left="5040" w:hanging="360"/>
      </w:pPr>
      <w:rPr>
        <w:rFonts w:ascii="Symbol" w:hAnsi="Symbol" w:hint="default"/>
      </w:rPr>
    </w:lvl>
    <w:lvl w:ilvl="7" w:tplc="56F436C0" w:tentative="1">
      <w:start w:val="1"/>
      <w:numFmt w:val="bullet"/>
      <w:lvlText w:val="o"/>
      <w:lvlJc w:val="left"/>
      <w:pPr>
        <w:ind w:left="5760" w:hanging="360"/>
      </w:pPr>
      <w:rPr>
        <w:rFonts w:ascii="Courier New" w:hAnsi="Courier New" w:hint="default"/>
      </w:rPr>
    </w:lvl>
    <w:lvl w:ilvl="8" w:tplc="BABC7322" w:tentative="1">
      <w:start w:val="1"/>
      <w:numFmt w:val="bullet"/>
      <w:lvlText w:val=""/>
      <w:lvlJc w:val="left"/>
      <w:pPr>
        <w:ind w:left="6480" w:hanging="360"/>
      </w:pPr>
      <w:rPr>
        <w:rFonts w:ascii="Wingdings" w:hAnsi="Wingdings" w:hint="default"/>
      </w:rPr>
    </w:lvl>
  </w:abstractNum>
  <w:abstractNum w:abstractNumId="88" w15:restartNumberingAfterBreak="0">
    <w:nsid w:val="7587004A"/>
    <w:multiLevelType w:val="multilevel"/>
    <w:tmpl w:val="07F8362A"/>
    <w:numStyleLink w:val="JacobsTable2List1"/>
  </w:abstractNum>
  <w:num w:numId="1">
    <w:abstractNumId w:val="17"/>
  </w:num>
  <w:num w:numId="2">
    <w:abstractNumId w:val="18"/>
  </w:num>
  <w:num w:numId="3">
    <w:abstractNumId w:val="41"/>
  </w:num>
  <w:num w:numId="4">
    <w:abstractNumId w:val="56"/>
  </w:num>
  <w:num w:numId="5">
    <w:abstractNumId w:val="52"/>
  </w:num>
  <w:num w:numId="6">
    <w:abstractNumId w:val="87"/>
  </w:num>
  <w:num w:numId="7">
    <w:abstractNumId w:val="72"/>
  </w:num>
  <w:num w:numId="8">
    <w:abstractNumId w:val="78"/>
  </w:num>
  <w:num w:numId="9">
    <w:abstractNumId w:val="43"/>
  </w:num>
  <w:num w:numId="10">
    <w:abstractNumId w:val="53"/>
  </w:num>
  <w:num w:numId="11">
    <w:abstractNumId w:val="35"/>
  </w:num>
  <w:num w:numId="12">
    <w:abstractNumId w:val="12"/>
  </w:num>
  <w:num w:numId="13">
    <w:abstractNumId w:val="16"/>
  </w:num>
  <w:num w:numId="14">
    <w:abstractNumId w:val="31"/>
  </w:num>
  <w:num w:numId="15">
    <w:abstractNumId w:val="59"/>
  </w:num>
  <w:num w:numId="16">
    <w:abstractNumId w:val="14"/>
  </w:num>
  <w:num w:numId="17">
    <w:abstractNumId w:val="54"/>
  </w:num>
  <w:num w:numId="18">
    <w:abstractNumId w:val="34"/>
  </w:num>
  <w:num w:numId="19">
    <w:abstractNumId w:val="85"/>
  </w:num>
  <w:num w:numId="20">
    <w:abstractNumId w:val="19"/>
  </w:num>
  <w:num w:numId="21">
    <w:abstractNumId w:val="27"/>
  </w:num>
  <w:num w:numId="22">
    <w:abstractNumId w:val="51"/>
  </w:num>
  <w:num w:numId="23">
    <w:abstractNumId w:val="28"/>
  </w:num>
  <w:num w:numId="24">
    <w:abstractNumId w:val="74"/>
  </w:num>
  <w:num w:numId="25">
    <w:abstractNumId w:val="20"/>
  </w:num>
  <w:num w:numId="26">
    <w:abstractNumId w:val="46"/>
  </w:num>
  <w:num w:numId="27">
    <w:abstractNumId w:val="33"/>
  </w:num>
  <w:num w:numId="28">
    <w:abstractNumId w:val="57"/>
  </w:num>
  <w:num w:numId="29">
    <w:abstractNumId w:val="15"/>
  </w:num>
  <w:num w:numId="30">
    <w:abstractNumId w:val="42"/>
  </w:num>
  <w:num w:numId="31">
    <w:abstractNumId w:val="67"/>
  </w:num>
  <w:num w:numId="32">
    <w:abstractNumId w:val="62"/>
  </w:num>
  <w:num w:numId="33">
    <w:abstractNumId w:val="80"/>
  </w:num>
  <w:num w:numId="34">
    <w:abstractNumId w:val="29"/>
  </w:num>
  <w:num w:numId="35">
    <w:abstractNumId w:val="69"/>
  </w:num>
  <w:num w:numId="36">
    <w:abstractNumId w:val="47"/>
  </w:num>
  <w:num w:numId="37">
    <w:abstractNumId w:val="32"/>
  </w:num>
  <w:num w:numId="38">
    <w:abstractNumId w:val="76"/>
  </w:num>
  <w:num w:numId="39">
    <w:abstractNumId w:val="9"/>
  </w:num>
  <w:num w:numId="40">
    <w:abstractNumId w:val="73"/>
  </w:num>
  <w:num w:numId="41">
    <w:abstractNumId w:val="68"/>
  </w:num>
  <w:num w:numId="42">
    <w:abstractNumId w:val="61"/>
  </w:num>
  <w:num w:numId="43">
    <w:abstractNumId w:val="40"/>
  </w:num>
  <w:num w:numId="44">
    <w:abstractNumId w:val="23"/>
  </w:num>
  <w:num w:numId="45">
    <w:abstractNumId w:val="79"/>
  </w:num>
  <w:num w:numId="46">
    <w:abstractNumId w:val="88"/>
  </w:num>
  <w:num w:numId="47">
    <w:abstractNumId w:val="50"/>
  </w:num>
  <w:num w:numId="48">
    <w:abstractNumId w:val="82"/>
  </w:num>
  <w:num w:numId="49">
    <w:abstractNumId w:val="22"/>
  </w:num>
  <w:num w:numId="50">
    <w:abstractNumId w:val="38"/>
  </w:num>
  <w:num w:numId="51">
    <w:abstractNumId w:val="39"/>
  </w:num>
  <w:num w:numId="52">
    <w:abstractNumId w:val="64"/>
  </w:num>
  <w:num w:numId="53">
    <w:abstractNumId w:val="24"/>
  </w:num>
  <w:num w:numId="54">
    <w:abstractNumId w:val="55"/>
  </w:num>
  <w:num w:numId="55">
    <w:abstractNumId w:val="63"/>
  </w:num>
  <w:num w:numId="56">
    <w:abstractNumId w:val="60"/>
  </w:num>
  <w:num w:numId="57">
    <w:abstractNumId w:val="21"/>
  </w:num>
  <w:num w:numId="58">
    <w:abstractNumId w:val="21"/>
  </w:num>
  <w:num w:numId="59">
    <w:abstractNumId w:val="86"/>
  </w:num>
  <w:num w:numId="60">
    <w:abstractNumId w:val="83"/>
  </w:num>
  <w:num w:numId="61">
    <w:abstractNumId w:val="48"/>
  </w:num>
  <w:num w:numId="62">
    <w:abstractNumId w:val="7"/>
  </w:num>
  <w:num w:numId="63">
    <w:abstractNumId w:val="6"/>
  </w:num>
  <w:num w:numId="64">
    <w:abstractNumId w:val="5"/>
  </w:num>
  <w:num w:numId="65">
    <w:abstractNumId w:val="4"/>
  </w:num>
  <w:num w:numId="66">
    <w:abstractNumId w:val="8"/>
  </w:num>
  <w:num w:numId="67">
    <w:abstractNumId w:val="3"/>
  </w:num>
  <w:num w:numId="68">
    <w:abstractNumId w:val="2"/>
  </w:num>
  <w:num w:numId="69">
    <w:abstractNumId w:val="1"/>
  </w:num>
  <w:num w:numId="70">
    <w:abstractNumId w:val="0"/>
  </w:num>
  <w:num w:numId="71">
    <w:abstractNumId w:val="10"/>
  </w:num>
  <w:num w:numId="72">
    <w:abstractNumId w:val="30"/>
  </w:num>
  <w:num w:numId="73">
    <w:abstractNumId w:val="26"/>
  </w:num>
  <w:num w:numId="74">
    <w:abstractNumId w:val="71"/>
  </w:num>
  <w:num w:numId="75">
    <w:abstractNumId w:val="37"/>
  </w:num>
  <w:num w:numId="76">
    <w:abstractNumId w:val="25"/>
  </w:num>
  <w:num w:numId="7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70"/>
  </w:num>
  <w:num w:numId="79">
    <w:abstractNumId w:val="58"/>
  </w:num>
  <w:num w:numId="80">
    <w:abstractNumId w:val="81"/>
  </w:num>
  <w:num w:numId="81">
    <w:abstractNumId w:val="77"/>
  </w:num>
  <w:num w:numId="82">
    <w:abstractNumId w:val="66"/>
  </w:num>
  <w:num w:numId="83">
    <w:abstractNumId w:val="11"/>
  </w:num>
  <w:num w:numId="84">
    <w:abstractNumId w:val="45"/>
  </w:num>
  <w:num w:numId="85">
    <w:abstractNumId w:val="13"/>
  </w:num>
  <w:num w:numId="86">
    <w:abstractNumId w:val="44"/>
  </w:num>
  <w:num w:numId="87">
    <w:abstractNumId w:val="36"/>
  </w:num>
  <w:num w:numId="88">
    <w:abstractNumId w:val="49"/>
  </w:num>
  <w:num w:numId="89">
    <w:abstractNumId w:val="65"/>
  </w:num>
  <w:num w:numId="90">
    <w:abstractNumId w:val="84"/>
  </w:num>
  <w:num w:numId="91">
    <w:abstractNumId w:val="75"/>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removeDateAndTime/>
  <w:embedTrueTypeFonts/>
  <w:saveSubsetFonts/>
  <w:attachedTemplate r:id="rId1"/>
  <w:stylePaneFormatFilter w:val="7824" w:allStyles="0" w:customStyles="0" w:latentStyles="1" w:stylesInUse="0" w:headingStyles="1" w:numberingStyles="0" w:tableStyles="0" w:directFormattingOnRuns="0" w:directFormattingOnParagraphs="0" w:directFormattingOnNumbering="0" w:directFormattingOnTables="1" w:clearFormatting="1" w:top3HeadingStyles="1" w:visibleStyles="1" w:alternateStyleNames="0"/>
  <w:defaultTabStop w:val="425"/>
  <w:drawingGridHorizontalSpacing w:val="100"/>
  <w:displayHorizontalDrawingGridEvery w:val="2"/>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Address" w:val="50 Mitchell St_x000b_PO Box 952_x000b_Bendigo VIC 3552 Australia"/>
    <w:docVar w:name="AuthorEmail" w:val="craig.clifton@jacobs.com"/>
    <w:docVar w:name="AuthorName" w:val="Craig Clifton"/>
    <w:docVar w:name="AuthorPhone" w:val="+61 (0) 418 381 259"/>
    <w:docVar w:name="AuthorTitle" w:val="Global Technical Leader - Resilience and Climate Change"/>
    <w:docVar w:name="Branding" w:val="JACOBS"/>
    <w:docVar w:name="CoverBusinessRegoNo" w:val="ABN 37 001 024 095"/>
    <w:docVar w:name="CoverCopyright" w:val="Jacobs Group (Australia) Pty Limited"/>
    <w:docVar w:name="CoverLimitation" w:val="Jacobs"/>
    <w:docVar w:name="CoverLogoInUse" w:val=" "/>
    <w:docVar w:name="DisplayToggleMirrorMargins" w:val="True"/>
    <w:docVar w:name="EntityName" w:val="Jacobs Group (Australia) Pty Limited"/>
    <w:docVar w:name="EntityOnly" w:val="Jacobs Group (Australia) Pty Limited"/>
    <w:docVar w:name="Fax" w:val="F +61 3 5444 1862"/>
    <w:docVar w:name="FaxFooter" w:val="Jacobs Group (Australia) Pty Limited ABN 37 001 024 095"/>
    <w:docVar w:name="FaxFooterFollowOn" w:val=" "/>
    <w:docVar w:name="FilterItem" w:val="Australia"/>
    <w:docVar w:name="Footer" w:val="Jacobs Group (Australia) Pty Limited ABN 37 001 024 095"/>
    <w:docVar w:name="FooterFollowOn" w:val=" "/>
    <w:docVar w:name="LetterFooter" w:val="Jacobs Group (Australia) Pty Limited ABN 37 001 024 095"/>
    <w:docVar w:name="LetterFooterFollowOn" w:val=" "/>
    <w:docVar w:name="Logo" w:val=" "/>
    <w:docVar w:name="LogoLandscape" w:val="Jacobs landscape logo A4"/>
    <w:docVar w:name="LogoLandscapeA3" w:val="Jacobs landscape logo A3"/>
    <w:docVar w:name="LogoLandscapeA3USL" w:val="Jacobs landscape logo USL A3"/>
    <w:docVar w:name="LogoLandscapeUSL" w:val="Jacobs landscape logo USL"/>
    <w:docVar w:name="LogoPortrait" w:val="Jacobs portrait logo A4"/>
    <w:docVar w:name="LogoPortraitUSL" w:val="Jacobs portrait logo USL"/>
    <w:docVar w:name="LogoProposalA4" w:val="Jacobs report cover logo A4"/>
    <w:docVar w:name="LogoProposalUSL" w:val="Jacobs report cover logo USL"/>
    <w:docVar w:name="LogoReportA3" w:val="Jacobs landscape cover logo A3"/>
    <w:docVar w:name="LogoReportA4" w:val="Jacobs report cover logo A4"/>
    <w:docVar w:name="LogoReportTabloid" w:val="Jacobs landscape cover logo USA3"/>
    <w:docVar w:name="LogoReportUSL" w:val="Jacobs report cover logo USL"/>
    <w:docVar w:name="LogoStationeryGeneral" w:val="Jacobs stationery logo (color)"/>
    <w:docVar w:name="LogoStationeryGeneralUSL" w:val="Jacobs stationery logo (color)"/>
    <w:docVar w:name="LogoStationeryLetter" w:val="Jacobs letter logo"/>
    <w:docVar w:name="LogoStationeryLetterUSL" w:val="Jacobs letter logo USL"/>
    <w:docVar w:name="LogoUSL" w:val=" "/>
    <w:docVar w:name="OfficeName" w:val="Bendigo"/>
    <w:docVar w:name="Paper Size" w:val="US Letter"/>
    <w:docVar w:name="Phone" w:val="T +61 3 5444 1861"/>
    <w:docVar w:name="RegisteredTradeMark" w:val="Jacobs® is a trademark of Jacobs Engineering Group Inc."/>
    <w:docVar w:name="ShortAddress1" w:val=" "/>
    <w:docVar w:name="ShortAddress2" w:val=" "/>
    <w:docVar w:name="Web" w:val="www.jacobs.com"/>
  </w:docVars>
  <w:rsids>
    <w:rsidRoot w:val="00032E15"/>
    <w:rsid w:val="000014B3"/>
    <w:rsid w:val="00003143"/>
    <w:rsid w:val="00006B5A"/>
    <w:rsid w:val="00007410"/>
    <w:rsid w:val="00007B43"/>
    <w:rsid w:val="00007EDE"/>
    <w:rsid w:val="00011403"/>
    <w:rsid w:val="00011476"/>
    <w:rsid w:val="00012480"/>
    <w:rsid w:val="00012F85"/>
    <w:rsid w:val="00014CF3"/>
    <w:rsid w:val="00015523"/>
    <w:rsid w:val="000157E5"/>
    <w:rsid w:val="00016CF3"/>
    <w:rsid w:val="0001705B"/>
    <w:rsid w:val="00020F53"/>
    <w:rsid w:val="000217C0"/>
    <w:rsid w:val="00022FBA"/>
    <w:rsid w:val="00024B85"/>
    <w:rsid w:val="00025193"/>
    <w:rsid w:val="000252CA"/>
    <w:rsid w:val="00025944"/>
    <w:rsid w:val="00026231"/>
    <w:rsid w:val="00032E15"/>
    <w:rsid w:val="000352B5"/>
    <w:rsid w:val="000373F0"/>
    <w:rsid w:val="00037461"/>
    <w:rsid w:val="00040A20"/>
    <w:rsid w:val="0004302B"/>
    <w:rsid w:val="00043C9F"/>
    <w:rsid w:val="000465FB"/>
    <w:rsid w:val="000524AE"/>
    <w:rsid w:val="0005266C"/>
    <w:rsid w:val="00052E73"/>
    <w:rsid w:val="0005390A"/>
    <w:rsid w:val="00054594"/>
    <w:rsid w:val="0005491F"/>
    <w:rsid w:val="00054E16"/>
    <w:rsid w:val="00061534"/>
    <w:rsid w:val="00062407"/>
    <w:rsid w:val="0006464F"/>
    <w:rsid w:val="00064759"/>
    <w:rsid w:val="000670B2"/>
    <w:rsid w:val="00067BEB"/>
    <w:rsid w:val="000702C8"/>
    <w:rsid w:val="00070FB4"/>
    <w:rsid w:val="000728C3"/>
    <w:rsid w:val="00074B80"/>
    <w:rsid w:val="000758F9"/>
    <w:rsid w:val="00075D0D"/>
    <w:rsid w:val="00076BB8"/>
    <w:rsid w:val="0008100C"/>
    <w:rsid w:val="00081C6F"/>
    <w:rsid w:val="00082F46"/>
    <w:rsid w:val="000847A8"/>
    <w:rsid w:val="000860D4"/>
    <w:rsid w:val="00086790"/>
    <w:rsid w:val="000867FF"/>
    <w:rsid w:val="00086E78"/>
    <w:rsid w:val="00087A4B"/>
    <w:rsid w:val="00091D03"/>
    <w:rsid w:val="00093693"/>
    <w:rsid w:val="00094190"/>
    <w:rsid w:val="00096085"/>
    <w:rsid w:val="00097841"/>
    <w:rsid w:val="000A0E10"/>
    <w:rsid w:val="000A125A"/>
    <w:rsid w:val="000A1438"/>
    <w:rsid w:val="000A20EF"/>
    <w:rsid w:val="000A3931"/>
    <w:rsid w:val="000A44CA"/>
    <w:rsid w:val="000A4DB7"/>
    <w:rsid w:val="000A71CC"/>
    <w:rsid w:val="000A782F"/>
    <w:rsid w:val="000B07EA"/>
    <w:rsid w:val="000B2CA3"/>
    <w:rsid w:val="000B5DC3"/>
    <w:rsid w:val="000B7020"/>
    <w:rsid w:val="000B7078"/>
    <w:rsid w:val="000C02D2"/>
    <w:rsid w:val="000C0BA2"/>
    <w:rsid w:val="000C3406"/>
    <w:rsid w:val="000D10DA"/>
    <w:rsid w:val="000D2EDA"/>
    <w:rsid w:val="000D3176"/>
    <w:rsid w:val="000D48EC"/>
    <w:rsid w:val="000E1485"/>
    <w:rsid w:val="000E1EA7"/>
    <w:rsid w:val="000E2676"/>
    <w:rsid w:val="000E3302"/>
    <w:rsid w:val="000E337F"/>
    <w:rsid w:val="000E3677"/>
    <w:rsid w:val="000E5F1E"/>
    <w:rsid w:val="000E7503"/>
    <w:rsid w:val="000F0EE5"/>
    <w:rsid w:val="000F1818"/>
    <w:rsid w:val="000F2DCD"/>
    <w:rsid w:val="000F3100"/>
    <w:rsid w:val="000F38BE"/>
    <w:rsid w:val="000F494A"/>
    <w:rsid w:val="000F49F4"/>
    <w:rsid w:val="000F53A1"/>
    <w:rsid w:val="000F6490"/>
    <w:rsid w:val="000F6F05"/>
    <w:rsid w:val="000F743D"/>
    <w:rsid w:val="00100084"/>
    <w:rsid w:val="00101052"/>
    <w:rsid w:val="00101FEF"/>
    <w:rsid w:val="00106744"/>
    <w:rsid w:val="00107C37"/>
    <w:rsid w:val="0011226D"/>
    <w:rsid w:val="00112282"/>
    <w:rsid w:val="00112B85"/>
    <w:rsid w:val="00112F88"/>
    <w:rsid w:val="001143B7"/>
    <w:rsid w:val="00115E60"/>
    <w:rsid w:val="00116744"/>
    <w:rsid w:val="001174F3"/>
    <w:rsid w:val="001175AB"/>
    <w:rsid w:val="00117715"/>
    <w:rsid w:val="00117869"/>
    <w:rsid w:val="00121F3E"/>
    <w:rsid w:val="00122DF8"/>
    <w:rsid w:val="00123BED"/>
    <w:rsid w:val="001249A3"/>
    <w:rsid w:val="00127613"/>
    <w:rsid w:val="00127C0E"/>
    <w:rsid w:val="00127C46"/>
    <w:rsid w:val="0013088D"/>
    <w:rsid w:val="00130CF9"/>
    <w:rsid w:val="00132619"/>
    <w:rsid w:val="001329A5"/>
    <w:rsid w:val="00134D7D"/>
    <w:rsid w:val="0013561C"/>
    <w:rsid w:val="0014018E"/>
    <w:rsid w:val="0014107C"/>
    <w:rsid w:val="00141CBD"/>
    <w:rsid w:val="0014204D"/>
    <w:rsid w:val="00142DCF"/>
    <w:rsid w:val="001449D8"/>
    <w:rsid w:val="00146A88"/>
    <w:rsid w:val="00146F8C"/>
    <w:rsid w:val="0014724D"/>
    <w:rsid w:val="00152CDD"/>
    <w:rsid w:val="00153090"/>
    <w:rsid w:val="001551A8"/>
    <w:rsid w:val="00155BE5"/>
    <w:rsid w:val="00156D73"/>
    <w:rsid w:val="00157170"/>
    <w:rsid w:val="00160681"/>
    <w:rsid w:val="001609B7"/>
    <w:rsid w:val="00161569"/>
    <w:rsid w:val="00161E9D"/>
    <w:rsid w:val="00162083"/>
    <w:rsid w:val="0016335F"/>
    <w:rsid w:val="00163A01"/>
    <w:rsid w:val="0016618D"/>
    <w:rsid w:val="00166484"/>
    <w:rsid w:val="00170125"/>
    <w:rsid w:val="00170FDB"/>
    <w:rsid w:val="0017126C"/>
    <w:rsid w:val="00171500"/>
    <w:rsid w:val="0017295D"/>
    <w:rsid w:val="00173577"/>
    <w:rsid w:val="00174C71"/>
    <w:rsid w:val="001755CB"/>
    <w:rsid w:val="001755FB"/>
    <w:rsid w:val="0017620C"/>
    <w:rsid w:val="00176862"/>
    <w:rsid w:val="0017789D"/>
    <w:rsid w:val="00177FDA"/>
    <w:rsid w:val="00180105"/>
    <w:rsid w:val="0018042B"/>
    <w:rsid w:val="00181066"/>
    <w:rsid w:val="00182D55"/>
    <w:rsid w:val="0018373C"/>
    <w:rsid w:val="00183EB7"/>
    <w:rsid w:val="001860B5"/>
    <w:rsid w:val="00186109"/>
    <w:rsid w:val="00192EB2"/>
    <w:rsid w:val="00195EC1"/>
    <w:rsid w:val="001963C7"/>
    <w:rsid w:val="00196D13"/>
    <w:rsid w:val="0019755B"/>
    <w:rsid w:val="001A175E"/>
    <w:rsid w:val="001A1DD3"/>
    <w:rsid w:val="001A3F34"/>
    <w:rsid w:val="001A42CC"/>
    <w:rsid w:val="001A7354"/>
    <w:rsid w:val="001B005A"/>
    <w:rsid w:val="001B16B0"/>
    <w:rsid w:val="001B2790"/>
    <w:rsid w:val="001B39C9"/>
    <w:rsid w:val="001B40BE"/>
    <w:rsid w:val="001B4E4A"/>
    <w:rsid w:val="001B563A"/>
    <w:rsid w:val="001B5766"/>
    <w:rsid w:val="001B6D0B"/>
    <w:rsid w:val="001B71DB"/>
    <w:rsid w:val="001C0E03"/>
    <w:rsid w:val="001C1EA8"/>
    <w:rsid w:val="001C33DA"/>
    <w:rsid w:val="001C3E25"/>
    <w:rsid w:val="001C45CF"/>
    <w:rsid w:val="001C4EDA"/>
    <w:rsid w:val="001C725F"/>
    <w:rsid w:val="001C784E"/>
    <w:rsid w:val="001D14F1"/>
    <w:rsid w:val="001D5E3F"/>
    <w:rsid w:val="001D74FA"/>
    <w:rsid w:val="001D7B37"/>
    <w:rsid w:val="001D7DE2"/>
    <w:rsid w:val="001E1256"/>
    <w:rsid w:val="001E3658"/>
    <w:rsid w:val="001E3CC6"/>
    <w:rsid w:val="001E4D1D"/>
    <w:rsid w:val="001E4D1E"/>
    <w:rsid w:val="001E4EDA"/>
    <w:rsid w:val="001E67A5"/>
    <w:rsid w:val="001E6AC1"/>
    <w:rsid w:val="001F0697"/>
    <w:rsid w:val="001F150C"/>
    <w:rsid w:val="001F3D0A"/>
    <w:rsid w:val="001F418B"/>
    <w:rsid w:val="001F5420"/>
    <w:rsid w:val="001F619C"/>
    <w:rsid w:val="001F6A6F"/>
    <w:rsid w:val="001F74B3"/>
    <w:rsid w:val="001F77E1"/>
    <w:rsid w:val="0020155D"/>
    <w:rsid w:val="002022C2"/>
    <w:rsid w:val="00202AF0"/>
    <w:rsid w:val="00202CA4"/>
    <w:rsid w:val="0020454A"/>
    <w:rsid w:val="00204B30"/>
    <w:rsid w:val="00204BAD"/>
    <w:rsid w:val="00206F76"/>
    <w:rsid w:val="00210FE9"/>
    <w:rsid w:val="00212B8E"/>
    <w:rsid w:val="00213631"/>
    <w:rsid w:val="00213E89"/>
    <w:rsid w:val="00214E0E"/>
    <w:rsid w:val="00222FCB"/>
    <w:rsid w:val="002233F0"/>
    <w:rsid w:val="00223951"/>
    <w:rsid w:val="00223DEF"/>
    <w:rsid w:val="00224068"/>
    <w:rsid w:val="00224FA7"/>
    <w:rsid w:val="00225F88"/>
    <w:rsid w:val="002264C0"/>
    <w:rsid w:val="00230452"/>
    <w:rsid w:val="002344A6"/>
    <w:rsid w:val="00236A21"/>
    <w:rsid w:val="0024108E"/>
    <w:rsid w:val="0024167D"/>
    <w:rsid w:val="00241814"/>
    <w:rsid w:val="00241F39"/>
    <w:rsid w:val="0024455A"/>
    <w:rsid w:val="00244F7C"/>
    <w:rsid w:val="002455F3"/>
    <w:rsid w:val="00246B7C"/>
    <w:rsid w:val="002474CD"/>
    <w:rsid w:val="002474F0"/>
    <w:rsid w:val="00247B7C"/>
    <w:rsid w:val="00251A70"/>
    <w:rsid w:val="00251CEA"/>
    <w:rsid w:val="002520D0"/>
    <w:rsid w:val="00252AD9"/>
    <w:rsid w:val="00252FCB"/>
    <w:rsid w:val="002535DC"/>
    <w:rsid w:val="00254801"/>
    <w:rsid w:val="00255E56"/>
    <w:rsid w:val="002566FD"/>
    <w:rsid w:val="002568C7"/>
    <w:rsid w:val="0025702F"/>
    <w:rsid w:val="00257A09"/>
    <w:rsid w:val="0026179A"/>
    <w:rsid w:val="00262E79"/>
    <w:rsid w:val="00263F0D"/>
    <w:rsid w:val="00264230"/>
    <w:rsid w:val="002663E4"/>
    <w:rsid w:val="00267DD3"/>
    <w:rsid w:val="00270ED9"/>
    <w:rsid w:val="00271B84"/>
    <w:rsid w:val="00272230"/>
    <w:rsid w:val="002752B2"/>
    <w:rsid w:val="00275890"/>
    <w:rsid w:val="00275DB5"/>
    <w:rsid w:val="0027714D"/>
    <w:rsid w:val="0027759C"/>
    <w:rsid w:val="002776CE"/>
    <w:rsid w:val="0028203F"/>
    <w:rsid w:val="00282E7E"/>
    <w:rsid w:val="00283089"/>
    <w:rsid w:val="0028330A"/>
    <w:rsid w:val="0028596B"/>
    <w:rsid w:val="0028732E"/>
    <w:rsid w:val="00287F6A"/>
    <w:rsid w:val="00290A79"/>
    <w:rsid w:val="002911B2"/>
    <w:rsid w:val="00292170"/>
    <w:rsid w:val="00292753"/>
    <w:rsid w:val="00292B49"/>
    <w:rsid w:val="002959C4"/>
    <w:rsid w:val="002A00CE"/>
    <w:rsid w:val="002A3E36"/>
    <w:rsid w:val="002A629B"/>
    <w:rsid w:val="002A6B32"/>
    <w:rsid w:val="002A7CAB"/>
    <w:rsid w:val="002B0FD4"/>
    <w:rsid w:val="002B3695"/>
    <w:rsid w:val="002B3827"/>
    <w:rsid w:val="002B3C2E"/>
    <w:rsid w:val="002B4ABA"/>
    <w:rsid w:val="002B6318"/>
    <w:rsid w:val="002B6F8B"/>
    <w:rsid w:val="002C02FB"/>
    <w:rsid w:val="002C11A2"/>
    <w:rsid w:val="002C2F94"/>
    <w:rsid w:val="002C38C3"/>
    <w:rsid w:val="002C6A76"/>
    <w:rsid w:val="002C70C7"/>
    <w:rsid w:val="002D0844"/>
    <w:rsid w:val="002D1A9F"/>
    <w:rsid w:val="002D1BCA"/>
    <w:rsid w:val="002D444F"/>
    <w:rsid w:val="002D549F"/>
    <w:rsid w:val="002D59CD"/>
    <w:rsid w:val="002D70F5"/>
    <w:rsid w:val="002D7A95"/>
    <w:rsid w:val="002D7B56"/>
    <w:rsid w:val="002E0AFC"/>
    <w:rsid w:val="002E16D5"/>
    <w:rsid w:val="002E1794"/>
    <w:rsid w:val="002E1D85"/>
    <w:rsid w:val="002E3592"/>
    <w:rsid w:val="002E47CB"/>
    <w:rsid w:val="002E5D59"/>
    <w:rsid w:val="002E61CB"/>
    <w:rsid w:val="002E69A2"/>
    <w:rsid w:val="002E7970"/>
    <w:rsid w:val="002E7DC6"/>
    <w:rsid w:val="002F1064"/>
    <w:rsid w:val="002F2727"/>
    <w:rsid w:val="002F4511"/>
    <w:rsid w:val="00302656"/>
    <w:rsid w:val="00303409"/>
    <w:rsid w:val="00304077"/>
    <w:rsid w:val="00305295"/>
    <w:rsid w:val="0030764E"/>
    <w:rsid w:val="00307BF0"/>
    <w:rsid w:val="00311964"/>
    <w:rsid w:val="00312B0C"/>
    <w:rsid w:val="00314807"/>
    <w:rsid w:val="00314848"/>
    <w:rsid w:val="00316296"/>
    <w:rsid w:val="003202A7"/>
    <w:rsid w:val="00320383"/>
    <w:rsid w:val="003204CD"/>
    <w:rsid w:val="00320D2C"/>
    <w:rsid w:val="003212CE"/>
    <w:rsid w:val="003220C5"/>
    <w:rsid w:val="00324783"/>
    <w:rsid w:val="003252EA"/>
    <w:rsid w:val="003254E4"/>
    <w:rsid w:val="00327817"/>
    <w:rsid w:val="00330FB8"/>
    <w:rsid w:val="003326ED"/>
    <w:rsid w:val="003330E6"/>
    <w:rsid w:val="00334626"/>
    <w:rsid w:val="00335616"/>
    <w:rsid w:val="00336E1A"/>
    <w:rsid w:val="00340828"/>
    <w:rsid w:val="00343DBB"/>
    <w:rsid w:val="00344967"/>
    <w:rsid w:val="0034782A"/>
    <w:rsid w:val="00347D96"/>
    <w:rsid w:val="003506DF"/>
    <w:rsid w:val="00351097"/>
    <w:rsid w:val="00351507"/>
    <w:rsid w:val="003531F5"/>
    <w:rsid w:val="00353F07"/>
    <w:rsid w:val="0035480C"/>
    <w:rsid w:val="003552CE"/>
    <w:rsid w:val="00356452"/>
    <w:rsid w:val="00357C6D"/>
    <w:rsid w:val="0036050D"/>
    <w:rsid w:val="00360936"/>
    <w:rsid w:val="003611D2"/>
    <w:rsid w:val="00362377"/>
    <w:rsid w:val="003629D1"/>
    <w:rsid w:val="00362D25"/>
    <w:rsid w:val="00364CFC"/>
    <w:rsid w:val="00366CAC"/>
    <w:rsid w:val="003672A2"/>
    <w:rsid w:val="00367E95"/>
    <w:rsid w:val="00370182"/>
    <w:rsid w:val="00371B79"/>
    <w:rsid w:val="00372103"/>
    <w:rsid w:val="003730BF"/>
    <w:rsid w:val="00373110"/>
    <w:rsid w:val="00376AEF"/>
    <w:rsid w:val="003772ED"/>
    <w:rsid w:val="00380BBE"/>
    <w:rsid w:val="00383416"/>
    <w:rsid w:val="0038422B"/>
    <w:rsid w:val="00384844"/>
    <w:rsid w:val="00384C00"/>
    <w:rsid w:val="00385342"/>
    <w:rsid w:val="00385E26"/>
    <w:rsid w:val="003909F3"/>
    <w:rsid w:val="00390D65"/>
    <w:rsid w:val="00391D94"/>
    <w:rsid w:val="00393937"/>
    <w:rsid w:val="00393B8D"/>
    <w:rsid w:val="003950AB"/>
    <w:rsid w:val="00396074"/>
    <w:rsid w:val="00396D30"/>
    <w:rsid w:val="003975FA"/>
    <w:rsid w:val="003A00A6"/>
    <w:rsid w:val="003A0D3E"/>
    <w:rsid w:val="003A175A"/>
    <w:rsid w:val="003A2B0F"/>
    <w:rsid w:val="003A2C99"/>
    <w:rsid w:val="003A2CD7"/>
    <w:rsid w:val="003A3034"/>
    <w:rsid w:val="003A35AB"/>
    <w:rsid w:val="003A5F6A"/>
    <w:rsid w:val="003A6027"/>
    <w:rsid w:val="003B0305"/>
    <w:rsid w:val="003B03DD"/>
    <w:rsid w:val="003B043C"/>
    <w:rsid w:val="003B1407"/>
    <w:rsid w:val="003B178B"/>
    <w:rsid w:val="003B1C52"/>
    <w:rsid w:val="003B24FC"/>
    <w:rsid w:val="003B2811"/>
    <w:rsid w:val="003B3A20"/>
    <w:rsid w:val="003B3DD5"/>
    <w:rsid w:val="003B4CC6"/>
    <w:rsid w:val="003B5A3C"/>
    <w:rsid w:val="003B666D"/>
    <w:rsid w:val="003C021D"/>
    <w:rsid w:val="003C057C"/>
    <w:rsid w:val="003C2143"/>
    <w:rsid w:val="003C5544"/>
    <w:rsid w:val="003C67BE"/>
    <w:rsid w:val="003C757B"/>
    <w:rsid w:val="003D0620"/>
    <w:rsid w:val="003D099B"/>
    <w:rsid w:val="003D1ECB"/>
    <w:rsid w:val="003D2E6F"/>
    <w:rsid w:val="003D4495"/>
    <w:rsid w:val="003D50BE"/>
    <w:rsid w:val="003E21E8"/>
    <w:rsid w:val="003E5197"/>
    <w:rsid w:val="003E59A6"/>
    <w:rsid w:val="003E6362"/>
    <w:rsid w:val="003E66AF"/>
    <w:rsid w:val="003E6E41"/>
    <w:rsid w:val="003E6F51"/>
    <w:rsid w:val="003E72BF"/>
    <w:rsid w:val="003F106A"/>
    <w:rsid w:val="003F155A"/>
    <w:rsid w:val="003F2663"/>
    <w:rsid w:val="003F2B10"/>
    <w:rsid w:val="003F37F0"/>
    <w:rsid w:val="003F410A"/>
    <w:rsid w:val="003F41F9"/>
    <w:rsid w:val="003F5870"/>
    <w:rsid w:val="003F69DC"/>
    <w:rsid w:val="00400B48"/>
    <w:rsid w:val="00400F37"/>
    <w:rsid w:val="00403866"/>
    <w:rsid w:val="004045D9"/>
    <w:rsid w:val="004120C2"/>
    <w:rsid w:val="0041210B"/>
    <w:rsid w:val="00412FA7"/>
    <w:rsid w:val="00414DF0"/>
    <w:rsid w:val="0041555E"/>
    <w:rsid w:val="004155A7"/>
    <w:rsid w:val="00416786"/>
    <w:rsid w:val="004200A9"/>
    <w:rsid w:val="00420660"/>
    <w:rsid w:val="00422D6C"/>
    <w:rsid w:val="00423D9F"/>
    <w:rsid w:val="004241B4"/>
    <w:rsid w:val="00425EA4"/>
    <w:rsid w:val="004267B2"/>
    <w:rsid w:val="004300A0"/>
    <w:rsid w:val="00430F16"/>
    <w:rsid w:val="00432E76"/>
    <w:rsid w:val="0043300A"/>
    <w:rsid w:val="0043317F"/>
    <w:rsid w:val="004341EC"/>
    <w:rsid w:val="004346F4"/>
    <w:rsid w:val="00435EE3"/>
    <w:rsid w:val="0043617D"/>
    <w:rsid w:val="00437A4D"/>
    <w:rsid w:val="0044077F"/>
    <w:rsid w:val="00441743"/>
    <w:rsid w:val="00442115"/>
    <w:rsid w:val="00442E25"/>
    <w:rsid w:val="00443B6C"/>
    <w:rsid w:val="00443B88"/>
    <w:rsid w:val="0044473B"/>
    <w:rsid w:val="00444AFC"/>
    <w:rsid w:val="0044537D"/>
    <w:rsid w:val="004513C8"/>
    <w:rsid w:val="0045291D"/>
    <w:rsid w:val="0045393F"/>
    <w:rsid w:val="00453C8E"/>
    <w:rsid w:val="0045552D"/>
    <w:rsid w:val="00455936"/>
    <w:rsid w:val="00456CCE"/>
    <w:rsid w:val="00457C9C"/>
    <w:rsid w:val="00460241"/>
    <w:rsid w:val="00460741"/>
    <w:rsid w:val="00462CB3"/>
    <w:rsid w:val="00462D0D"/>
    <w:rsid w:val="00463857"/>
    <w:rsid w:val="004638D7"/>
    <w:rsid w:val="004646A4"/>
    <w:rsid w:val="004646DE"/>
    <w:rsid w:val="00464DA8"/>
    <w:rsid w:val="00464E96"/>
    <w:rsid w:val="004650AF"/>
    <w:rsid w:val="004659D9"/>
    <w:rsid w:val="00465A60"/>
    <w:rsid w:val="00466175"/>
    <w:rsid w:val="00467CCE"/>
    <w:rsid w:val="00472625"/>
    <w:rsid w:val="0047354D"/>
    <w:rsid w:val="00475001"/>
    <w:rsid w:val="00477583"/>
    <w:rsid w:val="00477A91"/>
    <w:rsid w:val="00482053"/>
    <w:rsid w:val="004820FB"/>
    <w:rsid w:val="00482EE8"/>
    <w:rsid w:val="004837BE"/>
    <w:rsid w:val="00485E48"/>
    <w:rsid w:val="00487542"/>
    <w:rsid w:val="00487CAE"/>
    <w:rsid w:val="00490765"/>
    <w:rsid w:val="0049114A"/>
    <w:rsid w:val="00491431"/>
    <w:rsid w:val="00491776"/>
    <w:rsid w:val="00491B38"/>
    <w:rsid w:val="00495D5C"/>
    <w:rsid w:val="00496130"/>
    <w:rsid w:val="0049667F"/>
    <w:rsid w:val="004A0239"/>
    <w:rsid w:val="004A03D2"/>
    <w:rsid w:val="004A1D42"/>
    <w:rsid w:val="004A201A"/>
    <w:rsid w:val="004A237E"/>
    <w:rsid w:val="004A3A35"/>
    <w:rsid w:val="004A523E"/>
    <w:rsid w:val="004B1323"/>
    <w:rsid w:val="004B24FD"/>
    <w:rsid w:val="004B27A2"/>
    <w:rsid w:val="004B306E"/>
    <w:rsid w:val="004B4631"/>
    <w:rsid w:val="004B4C09"/>
    <w:rsid w:val="004C03F7"/>
    <w:rsid w:val="004C1BE0"/>
    <w:rsid w:val="004C3699"/>
    <w:rsid w:val="004C374E"/>
    <w:rsid w:val="004C3852"/>
    <w:rsid w:val="004C4CE4"/>
    <w:rsid w:val="004C7720"/>
    <w:rsid w:val="004D0B05"/>
    <w:rsid w:val="004D29DE"/>
    <w:rsid w:val="004D5019"/>
    <w:rsid w:val="004D5488"/>
    <w:rsid w:val="004D574E"/>
    <w:rsid w:val="004D6125"/>
    <w:rsid w:val="004D7A3B"/>
    <w:rsid w:val="004E185A"/>
    <w:rsid w:val="004E369D"/>
    <w:rsid w:val="004E570F"/>
    <w:rsid w:val="004E57C8"/>
    <w:rsid w:val="004E6541"/>
    <w:rsid w:val="004E65E7"/>
    <w:rsid w:val="004F1718"/>
    <w:rsid w:val="004F2501"/>
    <w:rsid w:val="004F25EC"/>
    <w:rsid w:val="004F401D"/>
    <w:rsid w:val="004F4E9F"/>
    <w:rsid w:val="004F66B1"/>
    <w:rsid w:val="00503B4B"/>
    <w:rsid w:val="00503FBD"/>
    <w:rsid w:val="00507192"/>
    <w:rsid w:val="0050747E"/>
    <w:rsid w:val="0050777F"/>
    <w:rsid w:val="00511FD3"/>
    <w:rsid w:val="00512430"/>
    <w:rsid w:val="00513D2A"/>
    <w:rsid w:val="0051485F"/>
    <w:rsid w:val="00515948"/>
    <w:rsid w:val="00515EC4"/>
    <w:rsid w:val="005163C9"/>
    <w:rsid w:val="005167D0"/>
    <w:rsid w:val="00516D09"/>
    <w:rsid w:val="00520146"/>
    <w:rsid w:val="00520755"/>
    <w:rsid w:val="00520778"/>
    <w:rsid w:val="00523360"/>
    <w:rsid w:val="00523D25"/>
    <w:rsid w:val="00523E3C"/>
    <w:rsid w:val="00526496"/>
    <w:rsid w:val="005267B8"/>
    <w:rsid w:val="005271BE"/>
    <w:rsid w:val="00530480"/>
    <w:rsid w:val="00530B47"/>
    <w:rsid w:val="00531F2B"/>
    <w:rsid w:val="00534198"/>
    <w:rsid w:val="0053431A"/>
    <w:rsid w:val="0053463E"/>
    <w:rsid w:val="00535794"/>
    <w:rsid w:val="005359B5"/>
    <w:rsid w:val="00535D37"/>
    <w:rsid w:val="00536452"/>
    <w:rsid w:val="00536A4B"/>
    <w:rsid w:val="00536E59"/>
    <w:rsid w:val="00536E6B"/>
    <w:rsid w:val="005379B9"/>
    <w:rsid w:val="00541515"/>
    <w:rsid w:val="005422BA"/>
    <w:rsid w:val="0054412F"/>
    <w:rsid w:val="00544DE9"/>
    <w:rsid w:val="00545228"/>
    <w:rsid w:val="00545455"/>
    <w:rsid w:val="005454B3"/>
    <w:rsid w:val="005456C8"/>
    <w:rsid w:val="00546BE4"/>
    <w:rsid w:val="00546F86"/>
    <w:rsid w:val="005503F8"/>
    <w:rsid w:val="00550400"/>
    <w:rsid w:val="00553284"/>
    <w:rsid w:val="005544E2"/>
    <w:rsid w:val="00554A7B"/>
    <w:rsid w:val="00554DFE"/>
    <w:rsid w:val="00554E58"/>
    <w:rsid w:val="005556F3"/>
    <w:rsid w:val="00556115"/>
    <w:rsid w:val="00556362"/>
    <w:rsid w:val="00561AD5"/>
    <w:rsid w:val="005628F7"/>
    <w:rsid w:val="00564CBE"/>
    <w:rsid w:val="00565598"/>
    <w:rsid w:val="005669CD"/>
    <w:rsid w:val="00566A84"/>
    <w:rsid w:val="0056765F"/>
    <w:rsid w:val="0056780F"/>
    <w:rsid w:val="00567977"/>
    <w:rsid w:val="005679AA"/>
    <w:rsid w:val="00567F73"/>
    <w:rsid w:val="00570FA8"/>
    <w:rsid w:val="005732AF"/>
    <w:rsid w:val="00573B81"/>
    <w:rsid w:val="0057447D"/>
    <w:rsid w:val="005749F6"/>
    <w:rsid w:val="005767FD"/>
    <w:rsid w:val="00577615"/>
    <w:rsid w:val="00583895"/>
    <w:rsid w:val="00585FD9"/>
    <w:rsid w:val="005A0559"/>
    <w:rsid w:val="005A1B54"/>
    <w:rsid w:val="005A1B99"/>
    <w:rsid w:val="005A1C0F"/>
    <w:rsid w:val="005A3B5B"/>
    <w:rsid w:val="005A5441"/>
    <w:rsid w:val="005A7CCC"/>
    <w:rsid w:val="005B004E"/>
    <w:rsid w:val="005B05BB"/>
    <w:rsid w:val="005B0A1A"/>
    <w:rsid w:val="005B0A63"/>
    <w:rsid w:val="005B0C84"/>
    <w:rsid w:val="005B1425"/>
    <w:rsid w:val="005B2680"/>
    <w:rsid w:val="005B2D29"/>
    <w:rsid w:val="005B5009"/>
    <w:rsid w:val="005B526C"/>
    <w:rsid w:val="005C0FA6"/>
    <w:rsid w:val="005C3798"/>
    <w:rsid w:val="005D04CE"/>
    <w:rsid w:val="005D14F4"/>
    <w:rsid w:val="005D17D6"/>
    <w:rsid w:val="005D1D81"/>
    <w:rsid w:val="005D4E92"/>
    <w:rsid w:val="005D7144"/>
    <w:rsid w:val="005E12B6"/>
    <w:rsid w:val="005E23EA"/>
    <w:rsid w:val="005E323F"/>
    <w:rsid w:val="005E3F0E"/>
    <w:rsid w:val="005E4FA9"/>
    <w:rsid w:val="005E561E"/>
    <w:rsid w:val="005F0114"/>
    <w:rsid w:val="005F0279"/>
    <w:rsid w:val="005F0316"/>
    <w:rsid w:val="005F0B13"/>
    <w:rsid w:val="005F2AFE"/>
    <w:rsid w:val="005F3DA4"/>
    <w:rsid w:val="005F545D"/>
    <w:rsid w:val="005F5B33"/>
    <w:rsid w:val="005F6162"/>
    <w:rsid w:val="005F6D00"/>
    <w:rsid w:val="006006DD"/>
    <w:rsid w:val="00602428"/>
    <w:rsid w:val="00602994"/>
    <w:rsid w:val="0060302D"/>
    <w:rsid w:val="00603856"/>
    <w:rsid w:val="006052E7"/>
    <w:rsid w:val="00606D88"/>
    <w:rsid w:val="00607A9E"/>
    <w:rsid w:val="0061091B"/>
    <w:rsid w:val="00611A0B"/>
    <w:rsid w:val="0061227F"/>
    <w:rsid w:val="0061420F"/>
    <w:rsid w:val="00615863"/>
    <w:rsid w:val="006170BC"/>
    <w:rsid w:val="0061721B"/>
    <w:rsid w:val="006218E7"/>
    <w:rsid w:val="00621A59"/>
    <w:rsid w:val="0062204E"/>
    <w:rsid w:val="00624661"/>
    <w:rsid w:val="006256E9"/>
    <w:rsid w:val="0062579D"/>
    <w:rsid w:val="006272CA"/>
    <w:rsid w:val="00627CC3"/>
    <w:rsid w:val="0063018B"/>
    <w:rsid w:val="00630738"/>
    <w:rsid w:val="006336DE"/>
    <w:rsid w:val="006340AE"/>
    <w:rsid w:val="006341D0"/>
    <w:rsid w:val="00634564"/>
    <w:rsid w:val="00634FA7"/>
    <w:rsid w:val="00635EA7"/>
    <w:rsid w:val="00637BA7"/>
    <w:rsid w:val="00641496"/>
    <w:rsid w:val="0064173F"/>
    <w:rsid w:val="006419D0"/>
    <w:rsid w:val="00642689"/>
    <w:rsid w:val="00642879"/>
    <w:rsid w:val="00644359"/>
    <w:rsid w:val="0064472E"/>
    <w:rsid w:val="0064504C"/>
    <w:rsid w:val="00645A7C"/>
    <w:rsid w:val="00646865"/>
    <w:rsid w:val="006509B6"/>
    <w:rsid w:val="0065189A"/>
    <w:rsid w:val="00654687"/>
    <w:rsid w:val="00654CDF"/>
    <w:rsid w:val="00655FC7"/>
    <w:rsid w:val="00657C60"/>
    <w:rsid w:val="00660F0E"/>
    <w:rsid w:val="0066339A"/>
    <w:rsid w:val="00664283"/>
    <w:rsid w:val="00664925"/>
    <w:rsid w:val="00666009"/>
    <w:rsid w:val="0067108D"/>
    <w:rsid w:val="006721A3"/>
    <w:rsid w:val="0067246A"/>
    <w:rsid w:val="006730ED"/>
    <w:rsid w:val="006736B9"/>
    <w:rsid w:val="00673896"/>
    <w:rsid w:val="00674285"/>
    <w:rsid w:val="006756D5"/>
    <w:rsid w:val="00675E4A"/>
    <w:rsid w:val="00676219"/>
    <w:rsid w:val="00676D91"/>
    <w:rsid w:val="0068078C"/>
    <w:rsid w:val="00680A11"/>
    <w:rsid w:val="00680A9B"/>
    <w:rsid w:val="00680ECA"/>
    <w:rsid w:val="00681071"/>
    <w:rsid w:val="006817CA"/>
    <w:rsid w:val="0068427A"/>
    <w:rsid w:val="00684B26"/>
    <w:rsid w:val="00684FEB"/>
    <w:rsid w:val="00685186"/>
    <w:rsid w:val="00686C3F"/>
    <w:rsid w:val="00687C22"/>
    <w:rsid w:val="00692C86"/>
    <w:rsid w:val="00693434"/>
    <w:rsid w:val="006934A1"/>
    <w:rsid w:val="0069362C"/>
    <w:rsid w:val="00694603"/>
    <w:rsid w:val="006953B5"/>
    <w:rsid w:val="0069549F"/>
    <w:rsid w:val="00696861"/>
    <w:rsid w:val="006A054B"/>
    <w:rsid w:val="006A1A19"/>
    <w:rsid w:val="006A25C6"/>
    <w:rsid w:val="006A26E2"/>
    <w:rsid w:val="006A366B"/>
    <w:rsid w:val="006A7869"/>
    <w:rsid w:val="006A7BDC"/>
    <w:rsid w:val="006A7DC0"/>
    <w:rsid w:val="006B1511"/>
    <w:rsid w:val="006B2F2B"/>
    <w:rsid w:val="006B3890"/>
    <w:rsid w:val="006B3B35"/>
    <w:rsid w:val="006B4E7A"/>
    <w:rsid w:val="006B60BF"/>
    <w:rsid w:val="006B6197"/>
    <w:rsid w:val="006C09D1"/>
    <w:rsid w:val="006C0D68"/>
    <w:rsid w:val="006C293D"/>
    <w:rsid w:val="006C3ED8"/>
    <w:rsid w:val="006C5106"/>
    <w:rsid w:val="006C53F2"/>
    <w:rsid w:val="006C672A"/>
    <w:rsid w:val="006C7888"/>
    <w:rsid w:val="006D16A1"/>
    <w:rsid w:val="006D23F0"/>
    <w:rsid w:val="006D67BB"/>
    <w:rsid w:val="006D6CC0"/>
    <w:rsid w:val="006D6F98"/>
    <w:rsid w:val="006D707B"/>
    <w:rsid w:val="006D7159"/>
    <w:rsid w:val="006E1045"/>
    <w:rsid w:val="006E45FE"/>
    <w:rsid w:val="006E496B"/>
    <w:rsid w:val="006E5C2B"/>
    <w:rsid w:val="006E5FDC"/>
    <w:rsid w:val="006E7F8D"/>
    <w:rsid w:val="006F0678"/>
    <w:rsid w:val="006F085C"/>
    <w:rsid w:val="006F094A"/>
    <w:rsid w:val="006F0FBC"/>
    <w:rsid w:val="006F3567"/>
    <w:rsid w:val="006F59B2"/>
    <w:rsid w:val="006F6C68"/>
    <w:rsid w:val="006F72D3"/>
    <w:rsid w:val="006F751A"/>
    <w:rsid w:val="006F777E"/>
    <w:rsid w:val="00700232"/>
    <w:rsid w:val="0070114B"/>
    <w:rsid w:val="00704CB4"/>
    <w:rsid w:val="00706F25"/>
    <w:rsid w:val="007102F2"/>
    <w:rsid w:val="00710DD8"/>
    <w:rsid w:val="007117E6"/>
    <w:rsid w:val="00712E9C"/>
    <w:rsid w:val="00715B08"/>
    <w:rsid w:val="00716A53"/>
    <w:rsid w:val="00717A2B"/>
    <w:rsid w:val="00717C3B"/>
    <w:rsid w:val="007203A1"/>
    <w:rsid w:val="007208A8"/>
    <w:rsid w:val="00720B35"/>
    <w:rsid w:val="00720EA0"/>
    <w:rsid w:val="007227DE"/>
    <w:rsid w:val="007253F7"/>
    <w:rsid w:val="00725CF2"/>
    <w:rsid w:val="007278F1"/>
    <w:rsid w:val="00727DF3"/>
    <w:rsid w:val="007301B1"/>
    <w:rsid w:val="007325BA"/>
    <w:rsid w:val="00733591"/>
    <w:rsid w:val="00734071"/>
    <w:rsid w:val="0073426D"/>
    <w:rsid w:val="00734EEF"/>
    <w:rsid w:val="00735E95"/>
    <w:rsid w:val="00741D0E"/>
    <w:rsid w:val="007420E7"/>
    <w:rsid w:val="007421F2"/>
    <w:rsid w:val="007436FA"/>
    <w:rsid w:val="007451BF"/>
    <w:rsid w:val="00746722"/>
    <w:rsid w:val="007479DA"/>
    <w:rsid w:val="00750911"/>
    <w:rsid w:val="00751123"/>
    <w:rsid w:val="0075122C"/>
    <w:rsid w:val="0075132B"/>
    <w:rsid w:val="0075286F"/>
    <w:rsid w:val="00753322"/>
    <w:rsid w:val="00755A74"/>
    <w:rsid w:val="00757067"/>
    <w:rsid w:val="0076113C"/>
    <w:rsid w:val="00761320"/>
    <w:rsid w:val="00767A1C"/>
    <w:rsid w:val="00770074"/>
    <w:rsid w:val="0077039B"/>
    <w:rsid w:val="007728FC"/>
    <w:rsid w:val="00773456"/>
    <w:rsid w:val="007736BB"/>
    <w:rsid w:val="00774D3C"/>
    <w:rsid w:val="007770D1"/>
    <w:rsid w:val="007772D1"/>
    <w:rsid w:val="00777807"/>
    <w:rsid w:val="007826AD"/>
    <w:rsid w:val="00783360"/>
    <w:rsid w:val="007837F7"/>
    <w:rsid w:val="007848B1"/>
    <w:rsid w:val="00785CD3"/>
    <w:rsid w:val="007873E1"/>
    <w:rsid w:val="007931EB"/>
    <w:rsid w:val="0079499D"/>
    <w:rsid w:val="00794ED0"/>
    <w:rsid w:val="0079524C"/>
    <w:rsid w:val="007956CA"/>
    <w:rsid w:val="00795E8C"/>
    <w:rsid w:val="00795F00"/>
    <w:rsid w:val="007967B8"/>
    <w:rsid w:val="007A09BE"/>
    <w:rsid w:val="007A0A35"/>
    <w:rsid w:val="007A2040"/>
    <w:rsid w:val="007A300C"/>
    <w:rsid w:val="007A33C5"/>
    <w:rsid w:val="007A51F6"/>
    <w:rsid w:val="007A7EA5"/>
    <w:rsid w:val="007B062A"/>
    <w:rsid w:val="007B0CFF"/>
    <w:rsid w:val="007B0DDD"/>
    <w:rsid w:val="007B1C28"/>
    <w:rsid w:val="007B2F0C"/>
    <w:rsid w:val="007B4A7D"/>
    <w:rsid w:val="007B5330"/>
    <w:rsid w:val="007B61D6"/>
    <w:rsid w:val="007B739C"/>
    <w:rsid w:val="007C1375"/>
    <w:rsid w:val="007C1583"/>
    <w:rsid w:val="007C2AE6"/>
    <w:rsid w:val="007C3A9D"/>
    <w:rsid w:val="007C4C2F"/>
    <w:rsid w:val="007C6744"/>
    <w:rsid w:val="007D13B5"/>
    <w:rsid w:val="007D2364"/>
    <w:rsid w:val="007D300B"/>
    <w:rsid w:val="007D473C"/>
    <w:rsid w:val="007E076D"/>
    <w:rsid w:val="007E0985"/>
    <w:rsid w:val="007E15A4"/>
    <w:rsid w:val="007E2206"/>
    <w:rsid w:val="007E2DDD"/>
    <w:rsid w:val="007E30D9"/>
    <w:rsid w:val="007E3138"/>
    <w:rsid w:val="007E388B"/>
    <w:rsid w:val="007E5920"/>
    <w:rsid w:val="007E7542"/>
    <w:rsid w:val="007E7FD0"/>
    <w:rsid w:val="007F0952"/>
    <w:rsid w:val="007F1358"/>
    <w:rsid w:val="007F13E7"/>
    <w:rsid w:val="007F1649"/>
    <w:rsid w:val="007F1E99"/>
    <w:rsid w:val="007F2A07"/>
    <w:rsid w:val="00800FCF"/>
    <w:rsid w:val="00801662"/>
    <w:rsid w:val="00803195"/>
    <w:rsid w:val="00803742"/>
    <w:rsid w:val="00806593"/>
    <w:rsid w:val="0080768B"/>
    <w:rsid w:val="00810A4C"/>
    <w:rsid w:val="008111C3"/>
    <w:rsid w:val="00812844"/>
    <w:rsid w:val="008166C1"/>
    <w:rsid w:val="00817286"/>
    <w:rsid w:val="00821835"/>
    <w:rsid w:val="00822322"/>
    <w:rsid w:val="008229E6"/>
    <w:rsid w:val="008238E6"/>
    <w:rsid w:val="00824343"/>
    <w:rsid w:val="008259E3"/>
    <w:rsid w:val="00825A80"/>
    <w:rsid w:val="00826673"/>
    <w:rsid w:val="00826CDB"/>
    <w:rsid w:val="00830344"/>
    <w:rsid w:val="008307CD"/>
    <w:rsid w:val="00831B4A"/>
    <w:rsid w:val="0083301B"/>
    <w:rsid w:val="00833B24"/>
    <w:rsid w:val="00834619"/>
    <w:rsid w:val="0083691B"/>
    <w:rsid w:val="00840CD7"/>
    <w:rsid w:val="008411A8"/>
    <w:rsid w:val="008411FB"/>
    <w:rsid w:val="008435D9"/>
    <w:rsid w:val="008435E1"/>
    <w:rsid w:val="008438F0"/>
    <w:rsid w:val="00844851"/>
    <w:rsid w:val="00846784"/>
    <w:rsid w:val="00846AFE"/>
    <w:rsid w:val="00846F91"/>
    <w:rsid w:val="0084740A"/>
    <w:rsid w:val="008475CD"/>
    <w:rsid w:val="00851AF1"/>
    <w:rsid w:val="0085252A"/>
    <w:rsid w:val="00852588"/>
    <w:rsid w:val="00853B35"/>
    <w:rsid w:val="00855E89"/>
    <w:rsid w:val="008562D2"/>
    <w:rsid w:val="008611F3"/>
    <w:rsid w:val="008617BA"/>
    <w:rsid w:val="00861B24"/>
    <w:rsid w:val="00862D5C"/>
    <w:rsid w:val="00863EEC"/>
    <w:rsid w:val="00863F75"/>
    <w:rsid w:val="008653B6"/>
    <w:rsid w:val="00865691"/>
    <w:rsid w:val="008661DB"/>
    <w:rsid w:val="00866974"/>
    <w:rsid w:val="0086757E"/>
    <w:rsid w:val="0087129E"/>
    <w:rsid w:val="00872221"/>
    <w:rsid w:val="00873650"/>
    <w:rsid w:val="00874066"/>
    <w:rsid w:val="00874852"/>
    <w:rsid w:val="0088106C"/>
    <w:rsid w:val="00881C46"/>
    <w:rsid w:val="00882172"/>
    <w:rsid w:val="0088261C"/>
    <w:rsid w:val="00884A8A"/>
    <w:rsid w:val="008862D7"/>
    <w:rsid w:val="0088690B"/>
    <w:rsid w:val="008901E2"/>
    <w:rsid w:val="00893317"/>
    <w:rsid w:val="00893E8D"/>
    <w:rsid w:val="008941BD"/>
    <w:rsid w:val="008950DF"/>
    <w:rsid w:val="00895764"/>
    <w:rsid w:val="008964B9"/>
    <w:rsid w:val="00897BC7"/>
    <w:rsid w:val="008A0F3B"/>
    <w:rsid w:val="008A127C"/>
    <w:rsid w:val="008A325D"/>
    <w:rsid w:val="008A329D"/>
    <w:rsid w:val="008A5723"/>
    <w:rsid w:val="008A69B9"/>
    <w:rsid w:val="008B03B9"/>
    <w:rsid w:val="008B200A"/>
    <w:rsid w:val="008B2182"/>
    <w:rsid w:val="008B6061"/>
    <w:rsid w:val="008B60A4"/>
    <w:rsid w:val="008B6D44"/>
    <w:rsid w:val="008C0023"/>
    <w:rsid w:val="008C0C17"/>
    <w:rsid w:val="008C3B90"/>
    <w:rsid w:val="008C51C4"/>
    <w:rsid w:val="008C67FC"/>
    <w:rsid w:val="008C7CD3"/>
    <w:rsid w:val="008D1414"/>
    <w:rsid w:val="008D21DB"/>
    <w:rsid w:val="008D32C5"/>
    <w:rsid w:val="008D68CC"/>
    <w:rsid w:val="008D6CE0"/>
    <w:rsid w:val="008D7924"/>
    <w:rsid w:val="008E0363"/>
    <w:rsid w:val="008E1784"/>
    <w:rsid w:val="008E189F"/>
    <w:rsid w:val="008E1B62"/>
    <w:rsid w:val="008E1CB5"/>
    <w:rsid w:val="008E33CF"/>
    <w:rsid w:val="008E3A29"/>
    <w:rsid w:val="008E4AE7"/>
    <w:rsid w:val="008E504F"/>
    <w:rsid w:val="008F074A"/>
    <w:rsid w:val="008F1334"/>
    <w:rsid w:val="008F13B3"/>
    <w:rsid w:val="008F1EA6"/>
    <w:rsid w:val="008F1F60"/>
    <w:rsid w:val="008F4B3E"/>
    <w:rsid w:val="008F66D3"/>
    <w:rsid w:val="00901140"/>
    <w:rsid w:val="009038E7"/>
    <w:rsid w:val="00903D9F"/>
    <w:rsid w:val="00903EC7"/>
    <w:rsid w:val="00904032"/>
    <w:rsid w:val="009061EF"/>
    <w:rsid w:val="009071A6"/>
    <w:rsid w:val="00907477"/>
    <w:rsid w:val="00907ED5"/>
    <w:rsid w:val="0091015E"/>
    <w:rsid w:val="00911FD2"/>
    <w:rsid w:val="00912E9D"/>
    <w:rsid w:val="00913434"/>
    <w:rsid w:val="0091350E"/>
    <w:rsid w:val="00915A0C"/>
    <w:rsid w:val="00916E57"/>
    <w:rsid w:val="0091726B"/>
    <w:rsid w:val="009205C2"/>
    <w:rsid w:val="00920AD4"/>
    <w:rsid w:val="0092157D"/>
    <w:rsid w:val="0092176E"/>
    <w:rsid w:val="00930823"/>
    <w:rsid w:val="00931AF4"/>
    <w:rsid w:val="00934C07"/>
    <w:rsid w:val="009414F7"/>
    <w:rsid w:val="00942D12"/>
    <w:rsid w:val="00945261"/>
    <w:rsid w:val="00945783"/>
    <w:rsid w:val="00947A56"/>
    <w:rsid w:val="00950516"/>
    <w:rsid w:val="0095291F"/>
    <w:rsid w:val="009539F1"/>
    <w:rsid w:val="00953A30"/>
    <w:rsid w:val="0095500D"/>
    <w:rsid w:val="00955138"/>
    <w:rsid w:val="00955306"/>
    <w:rsid w:val="0095542C"/>
    <w:rsid w:val="00956C76"/>
    <w:rsid w:val="00957619"/>
    <w:rsid w:val="00957BA9"/>
    <w:rsid w:val="009602A1"/>
    <w:rsid w:val="00960958"/>
    <w:rsid w:val="00962615"/>
    <w:rsid w:val="00966DBD"/>
    <w:rsid w:val="009723AE"/>
    <w:rsid w:val="00972821"/>
    <w:rsid w:val="00972CF2"/>
    <w:rsid w:val="00973F52"/>
    <w:rsid w:val="0097486E"/>
    <w:rsid w:val="00974EDD"/>
    <w:rsid w:val="00975178"/>
    <w:rsid w:val="00976D75"/>
    <w:rsid w:val="00977116"/>
    <w:rsid w:val="00980C0B"/>
    <w:rsid w:val="0098182B"/>
    <w:rsid w:val="00981A38"/>
    <w:rsid w:val="00982C0D"/>
    <w:rsid w:val="00982DC4"/>
    <w:rsid w:val="00983642"/>
    <w:rsid w:val="0098580E"/>
    <w:rsid w:val="00990D27"/>
    <w:rsid w:val="00991588"/>
    <w:rsid w:val="009915C7"/>
    <w:rsid w:val="00991B15"/>
    <w:rsid w:val="00992010"/>
    <w:rsid w:val="00992D60"/>
    <w:rsid w:val="00993F96"/>
    <w:rsid w:val="00994070"/>
    <w:rsid w:val="00995C79"/>
    <w:rsid w:val="00996BC7"/>
    <w:rsid w:val="00997940"/>
    <w:rsid w:val="009A044C"/>
    <w:rsid w:val="009A1DD0"/>
    <w:rsid w:val="009A21E4"/>
    <w:rsid w:val="009A403F"/>
    <w:rsid w:val="009A7620"/>
    <w:rsid w:val="009A79F2"/>
    <w:rsid w:val="009B0F0B"/>
    <w:rsid w:val="009B23DE"/>
    <w:rsid w:val="009B2512"/>
    <w:rsid w:val="009B4366"/>
    <w:rsid w:val="009B4B00"/>
    <w:rsid w:val="009B4F8F"/>
    <w:rsid w:val="009B6692"/>
    <w:rsid w:val="009B669F"/>
    <w:rsid w:val="009C092D"/>
    <w:rsid w:val="009C1CFE"/>
    <w:rsid w:val="009C25DB"/>
    <w:rsid w:val="009C53E8"/>
    <w:rsid w:val="009D005A"/>
    <w:rsid w:val="009D1F38"/>
    <w:rsid w:val="009D1F41"/>
    <w:rsid w:val="009D2317"/>
    <w:rsid w:val="009D26B4"/>
    <w:rsid w:val="009D6E1A"/>
    <w:rsid w:val="009D77D7"/>
    <w:rsid w:val="009E1740"/>
    <w:rsid w:val="009E237B"/>
    <w:rsid w:val="009E5D83"/>
    <w:rsid w:val="009E5E51"/>
    <w:rsid w:val="009E5E7A"/>
    <w:rsid w:val="009E7880"/>
    <w:rsid w:val="009E7AF5"/>
    <w:rsid w:val="009F0C73"/>
    <w:rsid w:val="009F1A9A"/>
    <w:rsid w:val="009F1F8D"/>
    <w:rsid w:val="009F391E"/>
    <w:rsid w:val="009F3B0A"/>
    <w:rsid w:val="009F3B9E"/>
    <w:rsid w:val="009F41E2"/>
    <w:rsid w:val="009F4B75"/>
    <w:rsid w:val="009F4CF8"/>
    <w:rsid w:val="009F5221"/>
    <w:rsid w:val="009F6DB3"/>
    <w:rsid w:val="009F7235"/>
    <w:rsid w:val="009F77AF"/>
    <w:rsid w:val="009F7DA1"/>
    <w:rsid w:val="00A01C26"/>
    <w:rsid w:val="00A04A2F"/>
    <w:rsid w:val="00A04DDE"/>
    <w:rsid w:val="00A05784"/>
    <w:rsid w:val="00A05C82"/>
    <w:rsid w:val="00A06C32"/>
    <w:rsid w:val="00A076C0"/>
    <w:rsid w:val="00A10527"/>
    <w:rsid w:val="00A1138B"/>
    <w:rsid w:val="00A113E1"/>
    <w:rsid w:val="00A13AE2"/>
    <w:rsid w:val="00A15375"/>
    <w:rsid w:val="00A153F5"/>
    <w:rsid w:val="00A15C91"/>
    <w:rsid w:val="00A16D1D"/>
    <w:rsid w:val="00A1792F"/>
    <w:rsid w:val="00A2037B"/>
    <w:rsid w:val="00A217D4"/>
    <w:rsid w:val="00A238C5"/>
    <w:rsid w:val="00A2456A"/>
    <w:rsid w:val="00A26E59"/>
    <w:rsid w:val="00A278C9"/>
    <w:rsid w:val="00A31D06"/>
    <w:rsid w:val="00A332BD"/>
    <w:rsid w:val="00A33357"/>
    <w:rsid w:val="00A333FC"/>
    <w:rsid w:val="00A356CD"/>
    <w:rsid w:val="00A35964"/>
    <w:rsid w:val="00A36C78"/>
    <w:rsid w:val="00A36D0D"/>
    <w:rsid w:val="00A36E8B"/>
    <w:rsid w:val="00A36ECD"/>
    <w:rsid w:val="00A3712A"/>
    <w:rsid w:val="00A41787"/>
    <w:rsid w:val="00A42C1A"/>
    <w:rsid w:val="00A44BBB"/>
    <w:rsid w:val="00A457EE"/>
    <w:rsid w:val="00A45E8E"/>
    <w:rsid w:val="00A47A91"/>
    <w:rsid w:val="00A47C25"/>
    <w:rsid w:val="00A504D1"/>
    <w:rsid w:val="00A5440E"/>
    <w:rsid w:val="00A54487"/>
    <w:rsid w:val="00A55E9F"/>
    <w:rsid w:val="00A566AB"/>
    <w:rsid w:val="00A64D9B"/>
    <w:rsid w:val="00A66B5C"/>
    <w:rsid w:val="00A67C59"/>
    <w:rsid w:val="00A709E0"/>
    <w:rsid w:val="00A710CD"/>
    <w:rsid w:val="00A71EE4"/>
    <w:rsid w:val="00A73FB8"/>
    <w:rsid w:val="00A74091"/>
    <w:rsid w:val="00A752B2"/>
    <w:rsid w:val="00A779D2"/>
    <w:rsid w:val="00A80A11"/>
    <w:rsid w:val="00A80DD5"/>
    <w:rsid w:val="00A81533"/>
    <w:rsid w:val="00A82B26"/>
    <w:rsid w:val="00A83330"/>
    <w:rsid w:val="00A83E01"/>
    <w:rsid w:val="00A84F30"/>
    <w:rsid w:val="00A84F46"/>
    <w:rsid w:val="00A90BF5"/>
    <w:rsid w:val="00A91A75"/>
    <w:rsid w:val="00A93F49"/>
    <w:rsid w:val="00A9424B"/>
    <w:rsid w:val="00A946FF"/>
    <w:rsid w:val="00A95216"/>
    <w:rsid w:val="00A95A95"/>
    <w:rsid w:val="00A97327"/>
    <w:rsid w:val="00A97A50"/>
    <w:rsid w:val="00A97F8A"/>
    <w:rsid w:val="00AA014D"/>
    <w:rsid w:val="00AA0988"/>
    <w:rsid w:val="00AA219C"/>
    <w:rsid w:val="00AA2B5B"/>
    <w:rsid w:val="00AA2D48"/>
    <w:rsid w:val="00AA2DF7"/>
    <w:rsid w:val="00AA3AF7"/>
    <w:rsid w:val="00AA3B84"/>
    <w:rsid w:val="00AA4B0C"/>
    <w:rsid w:val="00AA5F24"/>
    <w:rsid w:val="00AB10D6"/>
    <w:rsid w:val="00AB43ED"/>
    <w:rsid w:val="00AB4788"/>
    <w:rsid w:val="00AB72E8"/>
    <w:rsid w:val="00AC155C"/>
    <w:rsid w:val="00AC1908"/>
    <w:rsid w:val="00AC2184"/>
    <w:rsid w:val="00AC374B"/>
    <w:rsid w:val="00AC78D3"/>
    <w:rsid w:val="00AC7A16"/>
    <w:rsid w:val="00AD0F67"/>
    <w:rsid w:val="00AD14C4"/>
    <w:rsid w:val="00AD2286"/>
    <w:rsid w:val="00AD254B"/>
    <w:rsid w:val="00AD2CDC"/>
    <w:rsid w:val="00AD2F32"/>
    <w:rsid w:val="00AD32E9"/>
    <w:rsid w:val="00AD347D"/>
    <w:rsid w:val="00AD503D"/>
    <w:rsid w:val="00AD5349"/>
    <w:rsid w:val="00AD5B2F"/>
    <w:rsid w:val="00AD5D7C"/>
    <w:rsid w:val="00AD6952"/>
    <w:rsid w:val="00AD7CFC"/>
    <w:rsid w:val="00AE43AD"/>
    <w:rsid w:val="00AE4649"/>
    <w:rsid w:val="00AE49E1"/>
    <w:rsid w:val="00AE56A6"/>
    <w:rsid w:val="00AE574E"/>
    <w:rsid w:val="00AE607D"/>
    <w:rsid w:val="00AE6C85"/>
    <w:rsid w:val="00AE76A2"/>
    <w:rsid w:val="00AE7954"/>
    <w:rsid w:val="00AE7B19"/>
    <w:rsid w:val="00AF0198"/>
    <w:rsid w:val="00AF0253"/>
    <w:rsid w:val="00AF1BF4"/>
    <w:rsid w:val="00AF1FF2"/>
    <w:rsid w:val="00AF2360"/>
    <w:rsid w:val="00AF47BB"/>
    <w:rsid w:val="00AF5F2F"/>
    <w:rsid w:val="00AF69BF"/>
    <w:rsid w:val="00AF7C4E"/>
    <w:rsid w:val="00AF7D80"/>
    <w:rsid w:val="00B01602"/>
    <w:rsid w:val="00B01736"/>
    <w:rsid w:val="00B02506"/>
    <w:rsid w:val="00B026C7"/>
    <w:rsid w:val="00B02889"/>
    <w:rsid w:val="00B02F07"/>
    <w:rsid w:val="00B032B4"/>
    <w:rsid w:val="00B05818"/>
    <w:rsid w:val="00B05ADC"/>
    <w:rsid w:val="00B07279"/>
    <w:rsid w:val="00B10B09"/>
    <w:rsid w:val="00B113D5"/>
    <w:rsid w:val="00B11478"/>
    <w:rsid w:val="00B13BB4"/>
    <w:rsid w:val="00B15D50"/>
    <w:rsid w:val="00B16866"/>
    <w:rsid w:val="00B169CD"/>
    <w:rsid w:val="00B16CBF"/>
    <w:rsid w:val="00B20D27"/>
    <w:rsid w:val="00B219FC"/>
    <w:rsid w:val="00B226C5"/>
    <w:rsid w:val="00B2272E"/>
    <w:rsid w:val="00B228AA"/>
    <w:rsid w:val="00B23497"/>
    <w:rsid w:val="00B24240"/>
    <w:rsid w:val="00B24A1B"/>
    <w:rsid w:val="00B26230"/>
    <w:rsid w:val="00B27118"/>
    <w:rsid w:val="00B27AB8"/>
    <w:rsid w:val="00B27BC1"/>
    <w:rsid w:val="00B32CCA"/>
    <w:rsid w:val="00B3382D"/>
    <w:rsid w:val="00B34095"/>
    <w:rsid w:val="00B357EE"/>
    <w:rsid w:val="00B36941"/>
    <w:rsid w:val="00B3751B"/>
    <w:rsid w:val="00B40D9E"/>
    <w:rsid w:val="00B41A82"/>
    <w:rsid w:val="00B42696"/>
    <w:rsid w:val="00B42B7D"/>
    <w:rsid w:val="00B43250"/>
    <w:rsid w:val="00B4389D"/>
    <w:rsid w:val="00B44D0D"/>
    <w:rsid w:val="00B44FD4"/>
    <w:rsid w:val="00B56335"/>
    <w:rsid w:val="00B56718"/>
    <w:rsid w:val="00B613CC"/>
    <w:rsid w:val="00B6210A"/>
    <w:rsid w:val="00B6280E"/>
    <w:rsid w:val="00B632CF"/>
    <w:rsid w:val="00B64486"/>
    <w:rsid w:val="00B65611"/>
    <w:rsid w:val="00B66B53"/>
    <w:rsid w:val="00B7271B"/>
    <w:rsid w:val="00B76215"/>
    <w:rsid w:val="00B77B26"/>
    <w:rsid w:val="00B77F76"/>
    <w:rsid w:val="00B801CD"/>
    <w:rsid w:val="00B80C7D"/>
    <w:rsid w:val="00B82404"/>
    <w:rsid w:val="00B82579"/>
    <w:rsid w:val="00B82DBA"/>
    <w:rsid w:val="00B82FC9"/>
    <w:rsid w:val="00B83130"/>
    <w:rsid w:val="00B83F1D"/>
    <w:rsid w:val="00B84667"/>
    <w:rsid w:val="00B85F18"/>
    <w:rsid w:val="00B867A6"/>
    <w:rsid w:val="00B9208B"/>
    <w:rsid w:val="00B92F7B"/>
    <w:rsid w:val="00B951D8"/>
    <w:rsid w:val="00B9713F"/>
    <w:rsid w:val="00B971DD"/>
    <w:rsid w:val="00B97D66"/>
    <w:rsid w:val="00BA1B28"/>
    <w:rsid w:val="00BA2DBE"/>
    <w:rsid w:val="00BA35B7"/>
    <w:rsid w:val="00BA3E2E"/>
    <w:rsid w:val="00BA3ECD"/>
    <w:rsid w:val="00BA5824"/>
    <w:rsid w:val="00BA5BE3"/>
    <w:rsid w:val="00BA5EB1"/>
    <w:rsid w:val="00BA70DB"/>
    <w:rsid w:val="00BA70E7"/>
    <w:rsid w:val="00BA7A52"/>
    <w:rsid w:val="00BB0AB2"/>
    <w:rsid w:val="00BB2733"/>
    <w:rsid w:val="00BB2828"/>
    <w:rsid w:val="00BB2B35"/>
    <w:rsid w:val="00BB39FF"/>
    <w:rsid w:val="00BB3A5C"/>
    <w:rsid w:val="00BB48D2"/>
    <w:rsid w:val="00BB6DFE"/>
    <w:rsid w:val="00BB6E4A"/>
    <w:rsid w:val="00BB70EA"/>
    <w:rsid w:val="00BB7398"/>
    <w:rsid w:val="00BC09FA"/>
    <w:rsid w:val="00BC3A36"/>
    <w:rsid w:val="00BC5E8A"/>
    <w:rsid w:val="00BC603C"/>
    <w:rsid w:val="00BC76C6"/>
    <w:rsid w:val="00BC7CE7"/>
    <w:rsid w:val="00BD01EE"/>
    <w:rsid w:val="00BD0B6A"/>
    <w:rsid w:val="00BD1227"/>
    <w:rsid w:val="00BD37D7"/>
    <w:rsid w:val="00BD41A5"/>
    <w:rsid w:val="00BD47B6"/>
    <w:rsid w:val="00BE03E9"/>
    <w:rsid w:val="00BE1E32"/>
    <w:rsid w:val="00BE2E41"/>
    <w:rsid w:val="00BE305B"/>
    <w:rsid w:val="00BE3102"/>
    <w:rsid w:val="00BE519A"/>
    <w:rsid w:val="00BE5294"/>
    <w:rsid w:val="00BE6618"/>
    <w:rsid w:val="00BE6710"/>
    <w:rsid w:val="00BE7A7D"/>
    <w:rsid w:val="00BE7EFB"/>
    <w:rsid w:val="00BF0476"/>
    <w:rsid w:val="00BF2416"/>
    <w:rsid w:val="00BF4375"/>
    <w:rsid w:val="00BF691B"/>
    <w:rsid w:val="00BF6DFE"/>
    <w:rsid w:val="00BF7F75"/>
    <w:rsid w:val="00C01030"/>
    <w:rsid w:val="00C05C70"/>
    <w:rsid w:val="00C05DC8"/>
    <w:rsid w:val="00C05E4D"/>
    <w:rsid w:val="00C11072"/>
    <w:rsid w:val="00C12887"/>
    <w:rsid w:val="00C17E6C"/>
    <w:rsid w:val="00C21EF5"/>
    <w:rsid w:val="00C237CF"/>
    <w:rsid w:val="00C240E3"/>
    <w:rsid w:val="00C2427F"/>
    <w:rsid w:val="00C25E11"/>
    <w:rsid w:val="00C262FD"/>
    <w:rsid w:val="00C328FB"/>
    <w:rsid w:val="00C32A8E"/>
    <w:rsid w:val="00C32E2E"/>
    <w:rsid w:val="00C33D8C"/>
    <w:rsid w:val="00C343F6"/>
    <w:rsid w:val="00C34D65"/>
    <w:rsid w:val="00C37E11"/>
    <w:rsid w:val="00C40FB6"/>
    <w:rsid w:val="00C412A9"/>
    <w:rsid w:val="00C4153E"/>
    <w:rsid w:val="00C41AF1"/>
    <w:rsid w:val="00C41B5E"/>
    <w:rsid w:val="00C43209"/>
    <w:rsid w:val="00C43921"/>
    <w:rsid w:val="00C44009"/>
    <w:rsid w:val="00C44D70"/>
    <w:rsid w:val="00C479C4"/>
    <w:rsid w:val="00C502C3"/>
    <w:rsid w:val="00C52C5D"/>
    <w:rsid w:val="00C54061"/>
    <w:rsid w:val="00C545F8"/>
    <w:rsid w:val="00C54735"/>
    <w:rsid w:val="00C54E76"/>
    <w:rsid w:val="00C54F7C"/>
    <w:rsid w:val="00C55027"/>
    <w:rsid w:val="00C560A1"/>
    <w:rsid w:val="00C56140"/>
    <w:rsid w:val="00C57924"/>
    <w:rsid w:val="00C60C5E"/>
    <w:rsid w:val="00C61883"/>
    <w:rsid w:val="00C61D0E"/>
    <w:rsid w:val="00C625F3"/>
    <w:rsid w:val="00C63E1D"/>
    <w:rsid w:val="00C649DB"/>
    <w:rsid w:val="00C66B96"/>
    <w:rsid w:val="00C67080"/>
    <w:rsid w:val="00C713B2"/>
    <w:rsid w:val="00C72B79"/>
    <w:rsid w:val="00C74B97"/>
    <w:rsid w:val="00C76DD8"/>
    <w:rsid w:val="00C81EFB"/>
    <w:rsid w:val="00C85752"/>
    <w:rsid w:val="00C86C3C"/>
    <w:rsid w:val="00C87468"/>
    <w:rsid w:val="00C90E12"/>
    <w:rsid w:val="00C9167E"/>
    <w:rsid w:val="00C935BC"/>
    <w:rsid w:val="00C9382E"/>
    <w:rsid w:val="00C95087"/>
    <w:rsid w:val="00C97401"/>
    <w:rsid w:val="00CA0C71"/>
    <w:rsid w:val="00CA152E"/>
    <w:rsid w:val="00CA16C2"/>
    <w:rsid w:val="00CA2F4F"/>
    <w:rsid w:val="00CA357F"/>
    <w:rsid w:val="00CA4E21"/>
    <w:rsid w:val="00CB0E68"/>
    <w:rsid w:val="00CB1789"/>
    <w:rsid w:val="00CB2BA7"/>
    <w:rsid w:val="00CB360C"/>
    <w:rsid w:val="00CB3F3F"/>
    <w:rsid w:val="00CB47AF"/>
    <w:rsid w:val="00CB5279"/>
    <w:rsid w:val="00CB5390"/>
    <w:rsid w:val="00CB541D"/>
    <w:rsid w:val="00CB63FE"/>
    <w:rsid w:val="00CB7287"/>
    <w:rsid w:val="00CC27FE"/>
    <w:rsid w:val="00CC2DFB"/>
    <w:rsid w:val="00CC41B0"/>
    <w:rsid w:val="00CC50BC"/>
    <w:rsid w:val="00CC5CE9"/>
    <w:rsid w:val="00CC668B"/>
    <w:rsid w:val="00CC787D"/>
    <w:rsid w:val="00CC799C"/>
    <w:rsid w:val="00CD1127"/>
    <w:rsid w:val="00CD27CA"/>
    <w:rsid w:val="00CD284B"/>
    <w:rsid w:val="00CD32DF"/>
    <w:rsid w:val="00CD37AF"/>
    <w:rsid w:val="00CD47A4"/>
    <w:rsid w:val="00CD4ED1"/>
    <w:rsid w:val="00CD5227"/>
    <w:rsid w:val="00CD6EBB"/>
    <w:rsid w:val="00CE2E53"/>
    <w:rsid w:val="00CE3715"/>
    <w:rsid w:val="00CE37F8"/>
    <w:rsid w:val="00CE3CB1"/>
    <w:rsid w:val="00CE4165"/>
    <w:rsid w:val="00CE455C"/>
    <w:rsid w:val="00CE4578"/>
    <w:rsid w:val="00CE4A4A"/>
    <w:rsid w:val="00CE6B7D"/>
    <w:rsid w:val="00CE7A2D"/>
    <w:rsid w:val="00CF08A0"/>
    <w:rsid w:val="00CF3780"/>
    <w:rsid w:val="00CF62AA"/>
    <w:rsid w:val="00D03D73"/>
    <w:rsid w:val="00D041BB"/>
    <w:rsid w:val="00D04DFA"/>
    <w:rsid w:val="00D0652F"/>
    <w:rsid w:val="00D0730C"/>
    <w:rsid w:val="00D07FFB"/>
    <w:rsid w:val="00D10E98"/>
    <w:rsid w:val="00D11AAB"/>
    <w:rsid w:val="00D1275F"/>
    <w:rsid w:val="00D1345B"/>
    <w:rsid w:val="00D15323"/>
    <w:rsid w:val="00D160BC"/>
    <w:rsid w:val="00D176B8"/>
    <w:rsid w:val="00D202CF"/>
    <w:rsid w:val="00D212C2"/>
    <w:rsid w:val="00D21D6E"/>
    <w:rsid w:val="00D23C1B"/>
    <w:rsid w:val="00D24551"/>
    <w:rsid w:val="00D27488"/>
    <w:rsid w:val="00D27CFA"/>
    <w:rsid w:val="00D27DDC"/>
    <w:rsid w:val="00D30136"/>
    <w:rsid w:val="00D30C00"/>
    <w:rsid w:val="00D334B2"/>
    <w:rsid w:val="00D36099"/>
    <w:rsid w:val="00D41078"/>
    <w:rsid w:val="00D423E1"/>
    <w:rsid w:val="00D4398F"/>
    <w:rsid w:val="00D4427D"/>
    <w:rsid w:val="00D44728"/>
    <w:rsid w:val="00D44AEC"/>
    <w:rsid w:val="00D44D64"/>
    <w:rsid w:val="00D44FC4"/>
    <w:rsid w:val="00D451F1"/>
    <w:rsid w:val="00D457A2"/>
    <w:rsid w:val="00D47726"/>
    <w:rsid w:val="00D5072F"/>
    <w:rsid w:val="00D51487"/>
    <w:rsid w:val="00D51601"/>
    <w:rsid w:val="00D54AC7"/>
    <w:rsid w:val="00D61A6B"/>
    <w:rsid w:val="00D625F4"/>
    <w:rsid w:val="00D652AB"/>
    <w:rsid w:val="00D65811"/>
    <w:rsid w:val="00D6606B"/>
    <w:rsid w:val="00D6697D"/>
    <w:rsid w:val="00D672FA"/>
    <w:rsid w:val="00D74722"/>
    <w:rsid w:val="00D74E6F"/>
    <w:rsid w:val="00D75F11"/>
    <w:rsid w:val="00D77225"/>
    <w:rsid w:val="00D800D0"/>
    <w:rsid w:val="00D81D92"/>
    <w:rsid w:val="00D84C36"/>
    <w:rsid w:val="00D863A5"/>
    <w:rsid w:val="00D86736"/>
    <w:rsid w:val="00D8719A"/>
    <w:rsid w:val="00D87246"/>
    <w:rsid w:val="00D91EEA"/>
    <w:rsid w:val="00D92318"/>
    <w:rsid w:val="00D931BF"/>
    <w:rsid w:val="00D95004"/>
    <w:rsid w:val="00D9629D"/>
    <w:rsid w:val="00D97737"/>
    <w:rsid w:val="00D97969"/>
    <w:rsid w:val="00DA0CF3"/>
    <w:rsid w:val="00DA2A1A"/>
    <w:rsid w:val="00DA2F25"/>
    <w:rsid w:val="00DA3ED0"/>
    <w:rsid w:val="00DA5FEF"/>
    <w:rsid w:val="00DA6A32"/>
    <w:rsid w:val="00DB0E1A"/>
    <w:rsid w:val="00DB2372"/>
    <w:rsid w:val="00DB301F"/>
    <w:rsid w:val="00DB5876"/>
    <w:rsid w:val="00DB736B"/>
    <w:rsid w:val="00DB7A22"/>
    <w:rsid w:val="00DC671E"/>
    <w:rsid w:val="00DD0C1B"/>
    <w:rsid w:val="00DD17E8"/>
    <w:rsid w:val="00DD1C5D"/>
    <w:rsid w:val="00DD3A8A"/>
    <w:rsid w:val="00DD7312"/>
    <w:rsid w:val="00DE0C8A"/>
    <w:rsid w:val="00DE1133"/>
    <w:rsid w:val="00DE2029"/>
    <w:rsid w:val="00DE296C"/>
    <w:rsid w:val="00DE2CA5"/>
    <w:rsid w:val="00DE516D"/>
    <w:rsid w:val="00DE60FA"/>
    <w:rsid w:val="00DE6208"/>
    <w:rsid w:val="00DE64F7"/>
    <w:rsid w:val="00DE724B"/>
    <w:rsid w:val="00DE7659"/>
    <w:rsid w:val="00DF2559"/>
    <w:rsid w:val="00DF2686"/>
    <w:rsid w:val="00DF378D"/>
    <w:rsid w:val="00DF5AC5"/>
    <w:rsid w:val="00DF61C6"/>
    <w:rsid w:val="00DF7A84"/>
    <w:rsid w:val="00E001FA"/>
    <w:rsid w:val="00E00BD1"/>
    <w:rsid w:val="00E01CF7"/>
    <w:rsid w:val="00E01EDC"/>
    <w:rsid w:val="00E0217B"/>
    <w:rsid w:val="00E02A69"/>
    <w:rsid w:val="00E0367B"/>
    <w:rsid w:val="00E042BB"/>
    <w:rsid w:val="00E04488"/>
    <w:rsid w:val="00E05022"/>
    <w:rsid w:val="00E06199"/>
    <w:rsid w:val="00E105BD"/>
    <w:rsid w:val="00E10C0B"/>
    <w:rsid w:val="00E11A0A"/>
    <w:rsid w:val="00E13B13"/>
    <w:rsid w:val="00E1505B"/>
    <w:rsid w:val="00E150AB"/>
    <w:rsid w:val="00E17B4D"/>
    <w:rsid w:val="00E17D23"/>
    <w:rsid w:val="00E22858"/>
    <w:rsid w:val="00E22FDE"/>
    <w:rsid w:val="00E233A5"/>
    <w:rsid w:val="00E235BE"/>
    <w:rsid w:val="00E238CE"/>
    <w:rsid w:val="00E24985"/>
    <w:rsid w:val="00E27286"/>
    <w:rsid w:val="00E30382"/>
    <w:rsid w:val="00E32540"/>
    <w:rsid w:val="00E33614"/>
    <w:rsid w:val="00E37090"/>
    <w:rsid w:val="00E370F5"/>
    <w:rsid w:val="00E3756E"/>
    <w:rsid w:val="00E402E5"/>
    <w:rsid w:val="00E4096E"/>
    <w:rsid w:val="00E41225"/>
    <w:rsid w:val="00E42A71"/>
    <w:rsid w:val="00E43F9E"/>
    <w:rsid w:val="00E45083"/>
    <w:rsid w:val="00E469DB"/>
    <w:rsid w:val="00E5000B"/>
    <w:rsid w:val="00E51737"/>
    <w:rsid w:val="00E55C0D"/>
    <w:rsid w:val="00E561CF"/>
    <w:rsid w:val="00E56E11"/>
    <w:rsid w:val="00E56FFA"/>
    <w:rsid w:val="00E57B6A"/>
    <w:rsid w:val="00E66A04"/>
    <w:rsid w:val="00E718E9"/>
    <w:rsid w:val="00E726AE"/>
    <w:rsid w:val="00E72E26"/>
    <w:rsid w:val="00E740DA"/>
    <w:rsid w:val="00E74AFC"/>
    <w:rsid w:val="00E74E26"/>
    <w:rsid w:val="00E750EB"/>
    <w:rsid w:val="00E75E7B"/>
    <w:rsid w:val="00E76686"/>
    <w:rsid w:val="00E7677B"/>
    <w:rsid w:val="00E81433"/>
    <w:rsid w:val="00E87039"/>
    <w:rsid w:val="00E87041"/>
    <w:rsid w:val="00E91438"/>
    <w:rsid w:val="00E9338A"/>
    <w:rsid w:val="00E933DB"/>
    <w:rsid w:val="00E94564"/>
    <w:rsid w:val="00E9763C"/>
    <w:rsid w:val="00E97780"/>
    <w:rsid w:val="00EA04A3"/>
    <w:rsid w:val="00EA0D4F"/>
    <w:rsid w:val="00EA0DC3"/>
    <w:rsid w:val="00EA102E"/>
    <w:rsid w:val="00EA1061"/>
    <w:rsid w:val="00EA1C24"/>
    <w:rsid w:val="00EA2CC9"/>
    <w:rsid w:val="00EA3E55"/>
    <w:rsid w:val="00EA4E2A"/>
    <w:rsid w:val="00EA5BEF"/>
    <w:rsid w:val="00EA731D"/>
    <w:rsid w:val="00EA7992"/>
    <w:rsid w:val="00EA7E92"/>
    <w:rsid w:val="00EB01E7"/>
    <w:rsid w:val="00EB020E"/>
    <w:rsid w:val="00EB0C3E"/>
    <w:rsid w:val="00EB26C1"/>
    <w:rsid w:val="00EB2852"/>
    <w:rsid w:val="00EB2EA5"/>
    <w:rsid w:val="00EB415B"/>
    <w:rsid w:val="00EB6AB2"/>
    <w:rsid w:val="00EB7C10"/>
    <w:rsid w:val="00EC087B"/>
    <w:rsid w:val="00EC375F"/>
    <w:rsid w:val="00EC3844"/>
    <w:rsid w:val="00EC3DBA"/>
    <w:rsid w:val="00EC4DFD"/>
    <w:rsid w:val="00EC622C"/>
    <w:rsid w:val="00EC77D1"/>
    <w:rsid w:val="00ED0110"/>
    <w:rsid w:val="00ED1426"/>
    <w:rsid w:val="00ED3757"/>
    <w:rsid w:val="00ED53FD"/>
    <w:rsid w:val="00ED681E"/>
    <w:rsid w:val="00ED6B28"/>
    <w:rsid w:val="00ED74EF"/>
    <w:rsid w:val="00EE0557"/>
    <w:rsid w:val="00EE0E9A"/>
    <w:rsid w:val="00EE1603"/>
    <w:rsid w:val="00EE168B"/>
    <w:rsid w:val="00EE22AD"/>
    <w:rsid w:val="00EE272A"/>
    <w:rsid w:val="00EE3BE1"/>
    <w:rsid w:val="00EE44BA"/>
    <w:rsid w:val="00EE44D2"/>
    <w:rsid w:val="00EE4A07"/>
    <w:rsid w:val="00EE4B70"/>
    <w:rsid w:val="00EE50A7"/>
    <w:rsid w:val="00EE55B2"/>
    <w:rsid w:val="00EE79E1"/>
    <w:rsid w:val="00EF0E79"/>
    <w:rsid w:val="00EF18D6"/>
    <w:rsid w:val="00EF2757"/>
    <w:rsid w:val="00EF4905"/>
    <w:rsid w:val="00EF5059"/>
    <w:rsid w:val="00EF769B"/>
    <w:rsid w:val="00EF779D"/>
    <w:rsid w:val="00F03AAA"/>
    <w:rsid w:val="00F03ED4"/>
    <w:rsid w:val="00F0407D"/>
    <w:rsid w:val="00F05D26"/>
    <w:rsid w:val="00F0717F"/>
    <w:rsid w:val="00F0732D"/>
    <w:rsid w:val="00F0798B"/>
    <w:rsid w:val="00F11107"/>
    <w:rsid w:val="00F11206"/>
    <w:rsid w:val="00F112FB"/>
    <w:rsid w:val="00F1219A"/>
    <w:rsid w:val="00F14616"/>
    <w:rsid w:val="00F22E3F"/>
    <w:rsid w:val="00F22F2B"/>
    <w:rsid w:val="00F22FDE"/>
    <w:rsid w:val="00F23345"/>
    <w:rsid w:val="00F23440"/>
    <w:rsid w:val="00F23D5B"/>
    <w:rsid w:val="00F255CC"/>
    <w:rsid w:val="00F27A34"/>
    <w:rsid w:val="00F27D8E"/>
    <w:rsid w:val="00F30FF9"/>
    <w:rsid w:val="00F32621"/>
    <w:rsid w:val="00F32E04"/>
    <w:rsid w:val="00F32F63"/>
    <w:rsid w:val="00F332B9"/>
    <w:rsid w:val="00F335C0"/>
    <w:rsid w:val="00F338C2"/>
    <w:rsid w:val="00F366CA"/>
    <w:rsid w:val="00F369F6"/>
    <w:rsid w:val="00F374FB"/>
    <w:rsid w:val="00F37558"/>
    <w:rsid w:val="00F40B05"/>
    <w:rsid w:val="00F40F68"/>
    <w:rsid w:val="00F40FE7"/>
    <w:rsid w:val="00F410C7"/>
    <w:rsid w:val="00F41C0A"/>
    <w:rsid w:val="00F422EF"/>
    <w:rsid w:val="00F42977"/>
    <w:rsid w:val="00F42C22"/>
    <w:rsid w:val="00F43776"/>
    <w:rsid w:val="00F439C9"/>
    <w:rsid w:val="00F46ABF"/>
    <w:rsid w:val="00F51340"/>
    <w:rsid w:val="00F57F66"/>
    <w:rsid w:val="00F61A6A"/>
    <w:rsid w:val="00F61BA0"/>
    <w:rsid w:val="00F61C9C"/>
    <w:rsid w:val="00F61ED2"/>
    <w:rsid w:val="00F630C3"/>
    <w:rsid w:val="00F70B7E"/>
    <w:rsid w:val="00F729BF"/>
    <w:rsid w:val="00F73768"/>
    <w:rsid w:val="00F7378F"/>
    <w:rsid w:val="00F737DA"/>
    <w:rsid w:val="00F75023"/>
    <w:rsid w:val="00F77F23"/>
    <w:rsid w:val="00F81D01"/>
    <w:rsid w:val="00F83F08"/>
    <w:rsid w:val="00F8419C"/>
    <w:rsid w:val="00F84EC5"/>
    <w:rsid w:val="00F8795B"/>
    <w:rsid w:val="00F87F5A"/>
    <w:rsid w:val="00F87FC9"/>
    <w:rsid w:val="00F90CEC"/>
    <w:rsid w:val="00F92270"/>
    <w:rsid w:val="00F9495D"/>
    <w:rsid w:val="00F95AF7"/>
    <w:rsid w:val="00F96D5C"/>
    <w:rsid w:val="00F97BC7"/>
    <w:rsid w:val="00FA1D34"/>
    <w:rsid w:val="00FA2A24"/>
    <w:rsid w:val="00FA5236"/>
    <w:rsid w:val="00FA5F06"/>
    <w:rsid w:val="00FA5FF3"/>
    <w:rsid w:val="00FA6BB0"/>
    <w:rsid w:val="00FA7B77"/>
    <w:rsid w:val="00FB0A42"/>
    <w:rsid w:val="00FB12CD"/>
    <w:rsid w:val="00FB2EBD"/>
    <w:rsid w:val="00FB3B2F"/>
    <w:rsid w:val="00FB41D5"/>
    <w:rsid w:val="00FB5A2F"/>
    <w:rsid w:val="00FB6479"/>
    <w:rsid w:val="00FB7824"/>
    <w:rsid w:val="00FC01A6"/>
    <w:rsid w:val="00FC02C6"/>
    <w:rsid w:val="00FC05A4"/>
    <w:rsid w:val="00FC1BD5"/>
    <w:rsid w:val="00FC2B3F"/>
    <w:rsid w:val="00FC3336"/>
    <w:rsid w:val="00FC4106"/>
    <w:rsid w:val="00FC54E2"/>
    <w:rsid w:val="00FC6195"/>
    <w:rsid w:val="00FC7AF9"/>
    <w:rsid w:val="00FD0D97"/>
    <w:rsid w:val="00FD1019"/>
    <w:rsid w:val="00FD2127"/>
    <w:rsid w:val="00FD59A3"/>
    <w:rsid w:val="00FE107A"/>
    <w:rsid w:val="00FE165C"/>
    <w:rsid w:val="00FE1E50"/>
    <w:rsid w:val="00FE3CD6"/>
    <w:rsid w:val="00FE3E28"/>
    <w:rsid w:val="00FE5A06"/>
    <w:rsid w:val="00FE73C8"/>
    <w:rsid w:val="00FE7784"/>
    <w:rsid w:val="00FE78AE"/>
    <w:rsid w:val="00FE7B96"/>
    <w:rsid w:val="00FF0797"/>
    <w:rsid w:val="00FF29A6"/>
    <w:rsid w:val="00FF36DC"/>
    <w:rsid w:val="00FF4A02"/>
    <w:rsid w:val="00FF4FA5"/>
    <w:rsid w:val="00FF53FB"/>
    <w:rsid w:val="00FF587F"/>
    <w:rsid w:val="00FF7D36"/>
  </w:rsids>
  <m:mathPr>
    <m:mathFont m:val="Cambria Math"/>
    <m:brkBin m:val="before"/>
    <m:brkBinSub m:val="--"/>
    <m:smallFrac m:val="0"/>
    <m:dispDef/>
    <m:lMargin m:val="0"/>
    <m:rMargin m:val="0"/>
    <m:defJc m:val="centerGroup"/>
    <m:wrapIndent m:val="1440"/>
    <m:intLim m:val="subSup"/>
    <m:naryLim m:val="undOvr"/>
  </m:mathPr>
  <w:themeFontLang w:val="en-AU" w:eastAsia="zh-CN"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74E507D2"/>
  <w15:docId w15:val="{FE903647-A675-4A52-A0E0-A706D56F87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24" w:unhideWhenUsed="1"/>
    <w:lsdException w:name="annotation text" w:semiHidden="1" w:unhideWhenUsed="1"/>
    <w:lsdException w:name="header" w:semiHidden="1" w:uiPriority="49" w:unhideWhenUsed="1"/>
    <w:lsdException w:name="footer" w:semiHidden="1" w:uiPriority="4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24" w:unhideWhenUsed="1"/>
    <w:lsdException w:name="annotation reference" w:semiHidden="1" w:unhideWhenUsed="1"/>
    <w:lsdException w:name="line number" w:semiHidden="1" w:unhideWhenUsed="1"/>
    <w:lsdException w:name="page number" w:semiHidden="1" w:unhideWhenUsed="1"/>
    <w:lsdException w:name="endnote reference" w:uiPriority="24"/>
    <w:lsdException w:name="endnote text" w:uiPriority="24"/>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semiHidden="1"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semiHidden/>
    <w:rsid w:val="005556F3"/>
    <w:pPr>
      <w:spacing w:after="220" w:line="240" w:lineRule="atLeast"/>
    </w:pPr>
    <w:rPr>
      <w:rFonts w:ascii="Jacobs Chronos" w:hAnsi="Jacobs Chronos" w:cs="Jacobs Chronos"/>
      <w:sz w:val="20"/>
    </w:rPr>
  </w:style>
  <w:style w:type="paragraph" w:styleId="Heading1">
    <w:name w:val="heading 1"/>
    <w:basedOn w:val="Para0"/>
    <w:next w:val="Para0"/>
    <w:link w:val="Heading1Char"/>
    <w:qFormat/>
    <w:rsid w:val="00AF0253"/>
    <w:pPr>
      <w:keepNext/>
      <w:keepLines/>
      <w:pageBreakBefore/>
      <w:numPr>
        <w:numId w:val="7"/>
      </w:numPr>
      <w:spacing w:line="360" w:lineRule="exact"/>
      <w:ind w:left="851" w:hanging="851"/>
      <w:outlineLvl w:val="0"/>
    </w:pPr>
    <w:rPr>
      <w:rFonts w:eastAsiaTheme="majorEastAsia" w:cstheme="majorBidi"/>
      <w:b/>
      <w:bCs/>
      <w:sz w:val="32"/>
      <w:szCs w:val="32"/>
    </w:rPr>
  </w:style>
  <w:style w:type="paragraph" w:styleId="Heading2">
    <w:name w:val="heading 2"/>
    <w:basedOn w:val="Para0"/>
    <w:next w:val="Para0"/>
    <w:link w:val="Heading2Char"/>
    <w:qFormat/>
    <w:rsid w:val="00AD7CFC"/>
    <w:pPr>
      <w:keepNext/>
      <w:keepLines/>
      <w:numPr>
        <w:ilvl w:val="1"/>
        <w:numId w:val="7"/>
      </w:numPr>
      <w:outlineLvl w:val="1"/>
    </w:pPr>
    <w:rPr>
      <w:rFonts w:eastAsiaTheme="majorEastAsia" w:cstheme="majorBidi"/>
      <w:b/>
      <w:bCs/>
      <w:sz w:val="24"/>
      <w:szCs w:val="26"/>
    </w:rPr>
  </w:style>
  <w:style w:type="paragraph" w:styleId="Heading3">
    <w:name w:val="heading 3"/>
    <w:basedOn w:val="Para0"/>
    <w:next w:val="Para0"/>
    <w:link w:val="Heading3Char"/>
    <w:qFormat/>
    <w:rsid w:val="001F418B"/>
    <w:pPr>
      <w:keepNext/>
      <w:keepLines/>
      <w:numPr>
        <w:ilvl w:val="2"/>
        <w:numId w:val="7"/>
      </w:numPr>
      <w:outlineLvl w:val="2"/>
    </w:pPr>
    <w:rPr>
      <w:rFonts w:eastAsiaTheme="majorEastAsia" w:cstheme="majorBidi"/>
      <w:b/>
      <w:bCs/>
    </w:rPr>
  </w:style>
  <w:style w:type="paragraph" w:styleId="Heading4">
    <w:name w:val="heading 4"/>
    <w:basedOn w:val="Para0"/>
    <w:next w:val="Para0"/>
    <w:link w:val="Heading4Char"/>
    <w:rsid w:val="001F418B"/>
    <w:pPr>
      <w:keepNext/>
      <w:keepLines/>
      <w:numPr>
        <w:ilvl w:val="3"/>
        <w:numId w:val="7"/>
      </w:numPr>
      <w:outlineLvl w:val="3"/>
    </w:pPr>
    <w:rPr>
      <w:rFonts w:eastAsiaTheme="majorEastAsia" w:cstheme="majorBidi"/>
      <w:b/>
      <w:bCs/>
      <w:iCs/>
    </w:rPr>
  </w:style>
  <w:style w:type="paragraph" w:styleId="Heading5">
    <w:name w:val="heading 5"/>
    <w:basedOn w:val="Para0"/>
    <w:next w:val="Para0"/>
    <w:link w:val="Heading5Char"/>
    <w:rsid w:val="001F418B"/>
    <w:pPr>
      <w:keepNext/>
      <w:keepLines/>
      <w:numPr>
        <w:ilvl w:val="4"/>
        <w:numId w:val="7"/>
      </w:numPr>
      <w:outlineLvl w:val="4"/>
    </w:pPr>
    <w:rPr>
      <w:rFonts w:eastAsiaTheme="majorEastAsia" w:cstheme="majorBidi"/>
      <w:b/>
    </w:rPr>
  </w:style>
  <w:style w:type="paragraph" w:styleId="Heading6">
    <w:name w:val="heading 6"/>
    <w:basedOn w:val="Para0"/>
    <w:next w:val="Para0"/>
    <w:link w:val="Heading6Char"/>
    <w:rsid w:val="001F418B"/>
    <w:pPr>
      <w:keepNext/>
      <w:keepLines/>
      <w:numPr>
        <w:ilvl w:val="5"/>
        <w:numId w:val="7"/>
      </w:numPr>
      <w:outlineLvl w:val="5"/>
    </w:pPr>
    <w:rPr>
      <w:rFonts w:eastAsiaTheme="majorEastAsia" w:cstheme="majorBidi"/>
      <w:b/>
      <w:iCs/>
    </w:rPr>
  </w:style>
  <w:style w:type="paragraph" w:styleId="Heading7">
    <w:name w:val="heading 7"/>
    <w:basedOn w:val="Normal"/>
    <w:next w:val="Para0"/>
    <w:link w:val="Heading7Char"/>
    <w:rsid w:val="00AD7CFC"/>
    <w:pPr>
      <w:numPr>
        <w:ilvl w:val="6"/>
        <w:numId w:val="7"/>
      </w:numPr>
      <w:spacing w:before="240" w:after="120" w:line="360" w:lineRule="exact"/>
      <w:outlineLvl w:val="6"/>
    </w:pPr>
    <w:rPr>
      <w:b/>
    </w:rPr>
  </w:style>
  <w:style w:type="paragraph" w:styleId="Heading8">
    <w:name w:val="heading 8"/>
    <w:basedOn w:val="Heading2"/>
    <w:next w:val="Para0"/>
    <w:link w:val="Heading8Char"/>
    <w:qFormat/>
    <w:rsid w:val="00AD7CFC"/>
    <w:pPr>
      <w:numPr>
        <w:ilvl w:val="7"/>
      </w:numPr>
      <w:outlineLvl w:val="7"/>
    </w:pPr>
  </w:style>
  <w:style w:type="paragraph" w:styleId="Heading9">
    <w:name w:val="heading 9"/>
    <w:aliases w:val="Appendix"/>
    <w:basedOn w:val="Para0"/>
    <w:next w:val="Para0"/>
    <w:link w:val="Heading9Char"/>
    <w:qFormat/>
    <w:rsid w:val="00CB63FE"/>
    <w:pPr>
      <w:pageBreakBefore/>
      <w:numPr>
        <w:numId w:val="8"/>
      </w:numPr>
      <w:spacing w:line="360" w:lineRule="exact"/>
      <w:ind w:left="1956" w:hanging="1956"/>
      <w:outlineLvl w:val="8"/>
    </w:pPr>
    <w:rPr>
      <w:b/>
      <w:sz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0">
    <w:name w:val="Para 0"/>
    <w:aliases w:val="Auto,After:  3 pt"/>
    <w:basedOn w:val="Normal"/>
    <w:link w:val="Para0Char"/>
    <w:uiPriority w:val="4"/>
    <w:qFormat/>
    <w:rsid w:val="003531F5"/>
    <w:pPr>
      <w:spacing w:before="240" w:after="120"/>
    </w:pPr>
  </w:style>
  <w:style w:type="character" w:customStyle="1" w:styleId="Heading1Char">
    <w:name w:val="Heading 1 Char"/>
    <w:basedOn w:val="DefaultParagraphFont"/>
    <w:link w:val="Heading1"/>
    <w:rsid w:val="007B0DDD"/>
    <w:rPr>
      <w:rFonts w:ascii="Jacobs Chronos" w:eastAsiaTheme="majorEastAsia" w:hAnsi="Jacobs Chronos" w:cstheme="majorBidi"/>
      <w:b/>
      <w:bCs/>
      <w:sz w:val="32"/>
      <w:szCs w:val="32"/>
    </w:rPr>
  </w:style>
  <w:style w:type="character" w:customStyle="1" w:styleId="Heading2Char">
    <w:name w:val="Heading 2 Char"/>
    <w:basedOn w:val="DefaultParagraphFont"/>
    <w:link w:val="Heading2"/>
    <w:rsid w:val="007B0DDD"/>
    <w:rPr>
      <w:rFonts w:ascii="Jacobs Chronos" w:eastAsiaTheme="majorEastAsia" w:hAnsi="Jacobs Chronos" w:cstheme="majorBidi"/>
      <w:b/>
      <w:bCs/>
      <w:szCs w:val="26"/>
    </w:rPr>
  </w:style>
  <w:style w:type="character" w:customStyle="1" w:styleId="Heading3Char">
    <w:name w:val="Heading 3 Char"/>
    <w:basedOn w:val="DefaultParagraphFont"/>
    <w:link w:val="Heading3"/>
    <w:rsid w:val="001F418B"/>
    <w:rPr>
      <w:rFonts w:ascii="Jacobs Chronos" w:eastAsiaTheme="majorEastAsia" w:hAnsi="Jacobs Chronos" w:cstheme="majorBidi"/>
      <w:b/>
      <w:bCs/>
      <w:sz w:val="20"/>
    </w:rPr>
  </w:style>
  <w:style w:type="character" w:customStyle="1" w:styleId="Heading4Char">
    <w:name w:val="Heading 4 Char"/>
    <w:basedOn w:val="DefaultParagraphFont"/>
    <w:link w:val="Heading4"/>
    <w:rsid w:val="001F418B"/>
    <w:rPr>
      <w:rFonts w:ascii="Jacobs Chronos" w:eastAsiaTheme="majorEastAsia" w:hAnsi="Jacobs Chronos" w:cstheme="majorBidi"/>
      <w:b/>
      <w:bCs/>
      <w:iCs/>
      <w:sz w:val="20"/>
    </w:rPr>
  </w:style>
  <w:style w:type="character" w:customStyle="1" w:styleId="Heading5Char">
    <w:name w:val="Heading 5 Char"/>
    <w:basedOn w:val="DefaultParagraphFont"/>
    <w:link w:val="Heading5"/>
    <w:rsid w:val="001F418B"/>
    <w:rPr>
      <w:rFonts w:ascii="Jacobs Chronos" w:eastAsiaTheme="majorEastAsia" w:hAnsi="Jacobs Chronos" w:cstheme="majorBidi"/>
      <w:b/>
      <w:sz w:val="20"/>
    </w:rPr>
  </w:style>
  <w:style w:type="character" w:customStyle="1" w:styleId="Heading6Char">
    <w:name w:val="Heading 6 Char"/>
    <w:basedOn w:val="DefaultParagraphFont"/>
    <w:link w:val="Heading6"/>
    <w:rsid w:val="001F418B"/>
    <w:rPr>
      <w:rFonts w:ascii="Jacobs Chronos" w:eastAsiaTheme="majorEastAsia" w:hAnsi="Jacobs Chronos" w:cstheme="majorBidi"/>
      <w:b/>
      <w:iCs/>
      <w:sz w:val="20"/>
    </w:rPr>
  </w:style>
  <w:style w:type="character" w:customStyle="1" w:styleId="Heading7Char">
    <w:name w:val="Heading 7 Char"/>
    <w:basedOn w:val="DefaultParagraphFont"/>
    <w:link w:val="Heading7"/>
    <w:rsid w:val="008B6D44"/>
    <w:rPr>
      <w:rFonts w:ascii="Jacobs Chronos" w:hAnsi="Jacobs Chronos" w:cs="Jacobs Chronos"/>
      <w:b/>
      <w:sz w:val="20"/>
    </w:rPr>
  </w:style>
  <w:style w:type="character" w:customStyle="1" w:styleId="Heading8Char">
    <w:name w:val="Heading 8 Char"/>
    <w:basedOn w:val="DefaultParagraphFont"/>
    <w:link w:val="Heading8"/>
    <w:rsid w:val="008B6D44"/>
    <w:rPr>
      <w:rFonts w:ascii="Jacobs Chronos" w:eastAsiaTheme="majorEastAsia" w:hAnsi="Jacobs Chronos" w:cstheme="majorBidi"/>
      <w:b/>
      <w:bCs/>
      <w:szCs w:val="26"/>
    </w:rPr>
  </w:style>
  <w:style w:type="character" w:customStyle="1" w:styleId="Heading9Char">
    <w:name w:val="Heading 9 Char"/>
    <w:aliases w:val="Appendix Char"/>
    <w:basedOn w:val="DefaultParagraphFont"/>
    <w:link w:val="Heading9"/>
    <w:rsid w:val="00CB63FE"/>
    <w:rPr>
      <w:rFonts w:ascii="Jacobs Chronos" w:hAnsi="Jacobs Chronos" w:cs="Jacobs Chronos"/>
      <w:b/>
      <w:sz w:val="32"/>
    </w:rPr>
  </w:style>
  <w:style w:type="paragraph" w:customStyle="1" w:styleId="ContentBold">
    <w:name w:val="Content Bold"/>
    <w:basedOn w:val="Para0"/>
    <w:next w:val="Para0"/>
    <w:semiHidden/>
    <w:qFormat/>
    <w:rsid w:val="00AD7CFC"/>
    <w:rPr>
      <w:b/>
    </w:rPr>
  </w:style>
  <w:style w:type="paragraph" w:customStyle="1" w:styleId="CoverHeading">
    <w:name w:val="Cover Heading"/>
    <w:basedOn w:val="Normal"/>
    <w:next w:val="CoverSubheading"/>
    <w:rsid w:val="00AD7CFC"/>
    <w:pPr>
      <w:spacing w:after="200" w:line="360" w:lineRule="exact"/>
      <w:ind w:right="851"/>
      <w:jc w:val="right"/>
    </w:pPr>
    <w:rPr>
      <w:b/>
      <w:color w:val="E5E5E5" w:themeColor="background2"/>
      <w:sz w:val="32"/>
    </w:rPr>
  </w:style>
  <w:style w:type="paragraph" w:customStyle="1" w:styleId="CoverSubheading">
    <w:name w:val="Cover Subheading"/>
    <w:basedOn w:val="CoverHeading"/>
    <w:next w:val="CoverDate"/>
    <w:semiHidden/>
    <w:rsid w:val="00903EC7"/>
    <w:pPr>
      <w:spacing w:line="280" w:lineRule="exact"/>
    </w:pPr>
    <w:rPr>
      <w:sz w:val="22"/>
      <w:szCs w:val="22"/>
    </w:rPr>
  </w:style>
  <w:style w:type="paragraph" w:customStyle="1" w:styleId="CoverDate">
    <w:name w:val="Cover Date"/>
    <w:basedOn w:val="CoverHeading"/>
    <w:next w:val="Para0"/>
    <w:rsid w:val="00AD7CFC"/>
    <w:pPr>
      <w:spacing w:line="280" w:lineRule="exact"/>
    </w:pPr>
    <w:rPr>
      <w:sz w:val="22"/>
    </w:rPr>
  </w:style>
  <w:style w:type="paragraph" w:customStyle="1" w:styleId="PageTitle">
    <w:name w:val="Page Title"/>
    <w:basedOn w:val="Para0"/>
    <w:semiHidden/>
    <w:rsid w:val="00AD7CFC"/>
    <w:pPr>
      <w:spacing w:before="0" w:after="0" w:line="240" w:lineRule="auto"/>
      <w:ind w:left="3402"/>
    </w:pPr>
    <w:rPr>
      <w:b/>
      <w:color w:val="999999"/>
      <w:sz w:val="24"/>
    </w:rPr>
  </w:style>
  <w:style w:type="paragraph" w:customStyle="1" w:styleId="CopyrightInfo">
    <w:name w:val="Copyright Info"/>
    <w:basedOn w:val="CoverHeading"/>
    <w:next w:val="Para0"/>
    <w:semiHidden/>
    <w:rsid w:val="00AD7CFC"/>
    <w:pPr>
      <w:spacing w:before="200" w:after="30" w:line="180" w:lineRule="exact"/>
      <w:jc w:val="both"/>
    </w:pPr>
    <w:rPr>
      <w:color w:val="auto"/>
      <w:sz w:val="14"/>
    </w:rPr>
  </w:style>
  <w:style w:type="paragraph" w:customStyle="1" w:styleId="FooterText">
    <w:name w:val="Footer Text"/>
    <w:basedOn w:val="Para0"/>
    <w:semiHidden/>
    <w:qFormat/>
    <w:rsid w:val="00AD7CFC"/>
    <w:pPr>
      <w:spacing w:after="0" w:line="200" w:lineRule="exact"/>
      <w:ind w:left="567" w:right="284"/>
    </w:pPr>
    <w:rPr>
      <w:rFonts w:ascii="Jacobs Chronos Light" w:hAnsi="Jacobs Chronos Light" w:cs="Jacobs Chronos Light"/>
      <w:b/>
      <w:sz w:val="16"/>
    </w:rPr>
  </w:style>
  <w:style w:type="paragraph" w:customStyle="1" w:styleId="Tablebullet">
    <w:name w:val="Table bullet"/>
    <w:basedOn w:val="Tabletext"/>
    <w:uiPriority w:val="14"/>
    <w:qFormat/>
    <w:rsid w:val="00AD7CFC"/>
    <w:pPr>
      <w:numPr>
        <w:numId w:val="23"/>
      </w:numPr>
    </w:pPr>
  </w:style>
  <w:style w:type="paragraph" w:customStyle="1" w:styleId="Tableheading">
    <w:name w:val="Table heading"/>
    <w:basedOn w:val="Normal"/>
    <w:qFormat/>
    <w:rsid w:val="008661DB"/>
    <w:pPr>
      <w:keepNext/>
      <w:spacing w:before="100" w:after="100"/>
    </w:pPr>
    <w:rPr>
      <w:b/>
    </w:rPr>
  </w:style>
  <w:style w:type="paragraph" w:styleId="BalloonText">
    <w:name w:val="Balloon Text"/>
    <w:basedOn w:val="Normal"/>
    <w:link w:val="BalloonTextChar"/>
    <w:uiPriority w:val="99"/>
    <w:semiHidden/>
    <w:unhideWhenUsed/>
    <w:rsid w:val="00AD7CFC"/>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D7CFC"/>
    <w:rPr>
      <w:rFonts w:ascii="Lucida Grande" w:hAnsi="Lucida Grande" w:cs="Lucida Grande"/>
      <w:sz w:val="18"/>
      <w:szCs w:val="18"/>
      <w:lang w:val="en-AU"/>
    </w:rPr>
  </w:style>
  <w:style w:type="paragraph" w:customStyle="1" w:styleId="ContentBulletsLetter">
    <w:name w:val="Content Bullets Letter"/>
    <w:basedOn w:val="Para0"/>
    <w:semiHidden/>
    <w:qFormat/>
    <w:rsid w:val="00AD7CFC"/>
    <w:pPr>
      <w:numPr>
        <w:numId w:val="3"/>
      </w:numPr>
    </w:pPr>
  </w:style>
  <w:style w:type="paragraph" w:customStyle="1" w:styleId="ContentBulletsRound">
    <w:name w:val="Content Bullets Round"/>
    <w:basedOn w:val="Para0"/>
    <w:semiHidden/>
    <w:qFormat/>
    <w:rsid w:val="00AD7CFC"/>
    <w:pPr>
      <w:numPr>
        <w:numId w:val="6"/>
      </w:numPr>
    </w:pPr>
    <w:rPr>
      <w:color w:val="000000"/>
    </w:rPr>
  </w:style>
  <w:style w:type="paragraph" w:styleId="Caption">
    <w:name w:val="caption"/>
    <w:basedOn w:val="Tableheading"/>
    <w:next w:val="Para0"/>
    <w:uiPriority w:val="35"/>
    <w:qFormat/>
    <w:rsid w:val="00AD7CFC"/>
    <w:pPr>
      <w:spacing w:before="240"/>
    </w:pPr>
    <w:rPr>
      <w:rFonts w:ascii="Jacobs Chronos Light" w:hAnsi="Jacobs Chronos Light" w:cs="Jacobs Chronos Light"/>
      <w:b w:val="0"/>
    </w:rPr>
  </w:style>
  <w:style w:type="paragraph" w:customStyle="1" w:styleId="ContentBulletsArrow">
    <w:name w:val="Content Bullets Arrow"/>
    <w:basedOn w:val="Para0"/>
    <w:semiHidden/>
    <w:qFormat/>
    <w:rsid w:val="00AD7CFC"/>
    <w:pPr>
      <w:numPr>
        <w:numId w:val="1"/>
      </w:numPr>
    </w:pPr>
    <w:rPr>
      <w:color w:val="42145F"/>
    </w:rPr>
  </w:style>
  <w:style w:type="paragraph" w:customStyle="1" w:styleId="ContentBulletsNumber">
    <w:name w:val="Content Bullets Number"/>
    <w:basedOn w:val="Para0"/>
    <w:semiHidden/>
    <w:qFormat/>
    <w:rsid w:val="00AD7CFC"/>
    <w:pPr>
      <w:numPr>
        <w:numId w:val="4"/>
      </w:numPr>
    </w:pPr>
  </w:style>
  <w:style w:type="paragraph" w:styleId="FootnoteText">
    <w:name w:val="footnote text"/>
    <w:basedOn w:val="Normal"/>
    <w:link w:val="FootnoteTextChar"/>
    <w:uiPriority w:val="24"/>
    <w:rsid w:val="00AD7CFC"/>
    <w:pPr>
      <w:spacing w:after="240" w:line="240" w:lineRule="auto"/>
      <w:ind w:left="170" w:hanging="170"/>
      <w:contextualSpacing/>
    </w:pPr>
    <w:rPr>
      <w:color w:val="000000"/>
      <w:sz w:val="15"/>
    </w:rPr>
  </w:style>
  <w:style w:type="character" w:customStyle="1" w:styleId="FootnoteTextChar">
    <w:name w:val="Footnote Text Char"/>
    <w:basedOn w:val="DefaultParagraphFont"/>
    <w:link w:val="FootnoteText"/>
    <w:uiPriority w:val="24"/>
    <w:rsid w:val="008B6D44"/>
    <w:rPr>
      <w:rFonts w:ascii="Arial" w:hAnsi="Arial"/>
      <w:color w:val="000000"/>
      <w:sz w:val="15"/>
      <w:lang w:val="en-AU"/>
    </w:rPr>
  </w:style>
  <w:style w:type="paragraph" w:customStyle="1" w:styleId="Tabletext">
    <w:name w:val="Table text"/>
    <w:basedOn w:val="Normal"/>
    <w:uiPriority w:val="14"/>
    <w:qFormat/>
    <w:rsid w:val="00AD7CFC"/>
    <w:pPr>
      <w:spacing w:before="60" w:after="60"/>
    </w:pPr>
  </w:style>
  <w:style w:type="table" w:styleId="TableGrid">
    <w:name w:val="Table Grid"/>
    <w:basedOn w:val="TableNormal"/>
    <w:uiPriority w:val="59"/>
    <w:rsid w:val="00AD7C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AD7CFC"/>
  </w:style>
  <w:style w:type="paragraph" w:customStyle="1" w:styleId="ProjectName">
    <w:name w:val="Project Name"/>
    <w:basedOn w:val="CoverHeading"/>
    <w:next w:val="Para0"/>
    <w:rsid w:val="004300A0"/>
    <w:pPr>
      <w:spacing w:after="0" w:line="240" w:lineRule="auto"/>
      <w:ind w:right="0"/>
      <w:jc w:val="left"/>
    </w:pPr>
    <w:rPr>
      <w:b w:val="0"/>
      <w:color w:val="auto"/>
      <w:sz w:val="24"/>
    </w:rPr>
  </w:style>
  <w:style w:type="paragraph" w:customStyle="1" w:styleId="PageHeading">
    <w:name w:val="Page Heading"/>
    <w:basedOn w:val="PageTitle"/>
    <w:next w:val="Para0"/>
    <w:semiHidden/>
    <w:rsid w:val="00AD7CFC"/>
    <w:pPr>
      <w:spacing w:after="240"/>
    </w:pPr>
    <w:rPr>
      <w:b w:val="0"/>
      <w:sz w:val="22"/>
    </w:rPr>
  </w:style>
  <w:style w:type="paragraph" w:customStyle="1" w:styleId="Tableletter">
    <w:name w:val="Table letter"/>
    <w:basedOn w:val="Tablebullet"/>
    <w:uiPriority w:val="14"/>
    <w:qFormat/>
    <w:rsid w:val="00AD7CFC"/>
    <w:pPr>
      <w:numPr>
        <w:numId w:val="25"/>
      </w:numPr>
    </w:pPr>
  </w:style>
  <w:style w:type="paragraph" w:styleId="TOC1">
    <w:name w:val="toc 1"/>
    <w:basedOn w:val="Normal"/>
    <w:next w:val="Normal"/>
    <w:autoRedefine/>
    <w:uiPriority w:val="39"/>
    <w:unhideWhenUsed/>
    <w:qFormat/>
    <w:rsid w:val="007421F2"/>
    <w:pPr>
      <w:tabs>
        <w:tab w:val="right" w:leader="dot" w:pos="9921"/>
      </w:tabs>
      <w:spacing w:after="100" w:line="240" w:lineRule="auto"/>
      <w:ind w:left="675" w:right="454" w:hanging="675"/>
    </w:pPr>
    <w:rPr>
      <w:b/>
      <w:noProof/>
    </w:rPr>
  </w:style>
  <w:style w:type="paragraph" w:styleId="TOC2">
    <w:name w:val="toc 2"/>
    <w:basedOn w:val="Normal"/>
    <w:next w:val="Normal"/>
    <w:autoRedefine/>
    <w:uiPriority w:val="39"/>
    <w:unhideWhenUsed/>
    <w:rsid w:val="00997940"/>
    <w:pPr>
      <w:tabs>
        <w:tab w:val="right" w:leader="dot" w:pos="9921"/>
      </w:tabs>
      <w:spacing w:after="100" w:line="240" w:lineRule="auto"/>
      <w:ind w:left="675" w:right="454" w:hanging="675"/>
    </w:pPr>
    <w:rPr>
      <w:noProof/>
      <w:szCs w:val="20"/>
    </w:rPr>
  </w:style>
  <w:style w:type="character" w:styleId="FootnoteReference">
    <w:name w:val="footnote reference"/>
    <w:basedOn w:val="DefaultParagraphFont"/>
    <w:uiPriority w:val="24"/>
    <w:rsid w:val="00AD7CFC"/>
    <w:rPr>
      <w:rFonts w:ascii="Jacobs Chronos" w:hAnsi="Jacobs Chronos" w:cs="Jacobs Chronos"/>
      <w:sz w:val="15"/>
      <w:vertAlign w:val="superscript"/>
    </w:rPr>
  </w:style>
  <w:style w:type="paragraph" w:styleId="TOC3">
    <w:name w:val="toc 3"/>
    <w:basedOn w:val="Normal"/>
    <w:next w:val="Normal"/>
    <w:autoRedefine/>
    <w:uiPriority w:val="39"/>
    <w:unhideWhenUsed/>
    <w:rsid w:val="00997940"/>
    <w:pPr>
      <w:tabs>
        <w:tab w:val="right" w:leader="dot" w:pos="9923"/>
      </w:tabs>
      <w:spacing w:after="100"/>
      <w:ind w:left="675" w:right="454" w:hanging="675"/>
    </w:pPr>
    <w:rPr>
      <w:noProof/>
    </w:rPr>
  </w:style>
  <w:style w:type="paragraph" w:customStyle="1" w:styleId="FooterNumbering">
    <w:name w:val="Footer Numbering"/>
    <w:basedOn w:val="FooterText"/>
    <w:next w:val="Para0"/>
    <w:semiHidden/>
    <w:unhideWhenUsed/>
    <w:qFormat/>
    <w:rsid w:val="00AD7CFC"/>
    <w:pPr>
      <w:ind w:left="0"/>
      <w:jc w:val="right"/>
    </w:pPr>
  </w:style>
  <w:style w:type="paragraph" w:customStyle="1" w:styleId="ContentBulletsDash">
    <w:name w:val="Content Bullets Dash"/>
    <w:basedOn w:val="Para0"/>
    <w:semiHidden/>
    <w:qFormat/>
    <w:rsid w:val="00AD7CFC"/>
    <w:pPr>
      <w:numPr>
        <w:numId w:val="2"/>
      </w:numPr>
    </w:pPr>
  </w:style>
  <w:style w:type="paragraph" w:customStyle="1" w:styleId="ContentBulletsRomanNumeral">
    <w:name w:val="Content Bullets Roman Numeral"/>
    <w:basedOn w:val="Para0"/>
    <w:semiHidden/>
    <w:qFormat/>
    <w:rsid w:val="00AD7CFC"/>
    <w:pPr>
      <w:numPr>
        <w:numId w:val="5"/>
      </w:numPr>
    </w:pPr>
  </w:style>
  <w:style w:type="paragraph" w:customStyle="1" w:styleId="Tablenumber">
    <w:name w:val="Table number"/>
    <w:basedOn w:val="Tablebullet"/>
    <w:uiPriority w:val="14"/>
    <w:qFormat/>
    <w:rsid w:val="00AD7CFC"/>
    <w:pPr>
      <w:numPr>
        <w:numId w:val="24"/>
      </w:numPr>
    </w:pPr>
  </w:style>
  <w:style w:type="paragraph" w:customStyle="1" w:styleId="Tablesmalltext">
    <w:name w:val="Table small text"/>
    <w:basedOn w:val="Normal"/>
    <w:qFormat/>
    <w:rsid w:val="00AD7CFC"/>
    <w:pPr>
      <w:spacing w:before="40" w:after="40"/>
    </w:pPr>
    <w:rPr>
      <w:sz w:val="16"/>
    </w:rPr>
  </w:style>
  <w:style w:type="paragraph" w:customStyle="1" w:styleId="Tablesmallbullet">
    <w:name w:val="Table small bullet"/>
    <w:basedOn w:val="Tablesmalltext"/>
    <w:uiPriority w:val="15"/>
    <w:qFormat/>
    <w:rsid w:val="00AD7CFC"/>
    <w:pPr>
      <w:numPr>
        <w:numId w:val="19"/>
      </w:numPr>
    </w:pPr>
  </w:style>
  <w:style w:type="paragraph" w:customStyle="1" w:styleId="Tablesmallheading">
    <w:name w:val="Table small heading"/>
    <w:basedOn w:val="Tableheading"/>
    <w:uiPriority w:val="15"/>
    <w:qFormat/>
    <w:rsid w:val="006218E7"/>
    <w:pPr>
      <w:spacing w:before="60" w:after="60"/>
    </w:pPr>
  </w:style>
  <w:style w:type="paragraph" w:customStyle="1" w:styleId="Tablesmallletter">
    <w:name w:val="Table small letter"/>
    <w:basedOn w:val="Tablesmallbullet"/>
    <w:uiPriority w:val="15"/>
    <w:qFormat/>
    <w:rsid w:val="00AD7CFC"/>
    <w:pPr>
      <w:numPr>
        <w:numId w:val="21"/>
      </w:numPr>
    </w:pPr>
  </w:style>
  <w:style w:type="paragraph" w:customStyle="1" w:styleId="Tablesmallnumber">
    <w:name w:val="Table small number"/>
    <w:basedOn w:val="Tablesmallbullet"/>
    <w:uiPriority w:val="15"/>
    <w:qFormat/>
    <w:rsid w:val="00AD7CFC"/>
    <w:pPr>
      <w:numPr>
        <w:numId w:val="0"/>
      </w:numPr>
    </w:pPr>
  </w:style>
  <w:style w:type="paragraph" w:customStyle="1" w:styleId="Sectionheading">
    <w:name w:val="Section heading"/>
    <w:basedOn w:val="Summary"/>
    <w:next w:val="Para0"/>
    <w:uiPriority w:val="1"/>
    <w:qFormat/>
    <w:rsid w:val="00162083"/>
    <w:pPr>
      <w:spacing w:line="360" w:lineRule="exact"/>
    </w:pPr>
  </w:style>
  <w:style w:type="paragraph" w:styleId="Header">
    <w:name w:val="header"/>
    <w:basedOn w:val="PageTitle"/>
    <w:link w:val="HeaderChar"/>
    <w:uiPriority w:val="49"/>
    <w:rsid w:val="00B65611"/>
    <w:pPr>
      <w:ind w:left="0"/>
    </w:pPr>
    <w:rPr>
      <w:b w:val="0"/>
      <w:color w:val="333333" w:themeColor="text2"/>
      <w:sz w:val="22"/>
    </w:rPr>
  </w:style>
  <w:style w:type="character" w:customStyle="1" w:styleId="HeaderChar">
    <w:name w:val="Header Char"/>
    <w:basedOn w:val="DefaultParagraphFont"/>
    <w:link w:val="Header"/>
    <w:uiPriority w:val="49"/>
    <w:rsid w:val="00B65611"/>
    <w:rPr>
      <w:rFonts w:ascii="Jacobs Chronos" w:hAnsi="Jacobs Chronos" w:cs="Jacobs Chronos"/>
      <w:color w:val="333333" w:themeColor="text2"/>
      <w:sz w:val="22"/>
    </w:rPr>
  </w:style>
  <w:style w:type="paragraph" w:styleId="Footer">
    <w:name w:val="footer"/>
    <w:basedOn w:val="Normal"/>
    <w:link w:val="FooterChar"/>
    <w:uiPriority w:val="49"/>
    <w:rsid w:val="009F5221"/>
    <w:pPr>
      <w:tabs>
        <w:tab w:val="right" w:pos="9921"/>
        <w:tab w:val="right" w:pos="13748"/>
        <w:tab w:val="right" w:pos="21827"/>
      </w:tabs>
      <w:spacing w:after="0"/>
      <w:ind w:left="11"/>
    </w:pPr>
    <w:rPr>
      <w:rFonts w:eastAsia="Times" w:cs="Times New Roman"/>
      <w:color w:val="999999"/>
      <w:sz w:val="16"/>
      <w:szCs w:val="20"/>
    </w:rPr>
  </w:style>
  <w:style w:type="character" w:customStyle="1" w:styleId="FooterChar">
    <w:name w:val="Footer Char"/>
    <w:basedOn w:val="DefaultParagraphFont"/>
    <w:link w:val="Footer"/>
    <w:uiPriority w:val="49"/>
    <w:rsid w:val="009F5221"/>
    <w:rPr>
      <w:rFonts w:ascii="Jacobs Chronos" w:eastAsia="Times" w:hAnsi="Jacobs Chronos" w:cs="Times New Roman"/>
      <w:color w:val="999999"/>
      <w:sz w:val="16"/>
      <w:szCs w:val="20"/>
    </w:rPr>
  </w:style>
  <w:style w:type="paragraph" w:styleId="TOCHeading">
    <w:name w:val="TOC Heading"/>
    <w:basedOn w:val="Heading1"/>
    <w:next w:val="Normal"/>
    <w:uiPriority w:val="39"/>
    <w:semiHidden/>
    <w:qFormat/>
    <w:rsid w:val="00AD7CFC"/>
    <w:pPr>
      <w:pageBreakBefore w:val="0"/>
      <w:numPr>
        <w:numId w:val="0"/>
      </w:numPr>
      <w:spacing w:before="480" w:after="0" w:line="276" w:lineRule="auto"/>
      <w:outlineLvl w:val="9"/>
    </w:pPr>
    <w:rPr>
      <w:rFonts w:asciiTheme="majorHAnsi" w:hAnsiTheme="majorHAnsi"/>
      <w:color w:val="1A0FA4" w:themeColor="accent1" w:themeShade="BF"/>
      <w:sz w:val="28"/>
      <w:szCs w:val="28"/>
    </w:rPr>
  </w:style>
  <w:style w:type="character" w:styleId="Hyperlink">
    <w:name w:val="Hyperlink"/>
    <w:basedOn w:val="DefaultParagraphFont"/>
    <w:uiPriority w:val="99"/>
    <w:rsid w:val="00AD7CFC"/>
    <w:rPr>
      <w:color w:val="2314DC" w:themeColor="hyperlink"/>
      <w:u w:val="single"/>
    </w:rPr>
  </w:style>
  <w:style w:type="paragraph" w:customStyle="1" w:styleId="ContactDetails">
    <w:name w:val="Contact Details"/>
    <w:basedOn w:val="Normal"/>
    <w:semiHidden/>
    <w:rsid w:val="00AD7CFC"/>
    <w:pPr>
      <w:tabs>
        <w:tab w:val="left" w:pos="170"/>
      </w:tabs>
      <w:autoSpaceDE w:val="0"/>
      <w:autoSpaceDN w:val="0"/>
      <w:adjustRightInd w:val="0"/>
      <w:spacing w:before="60" w:after="28" w:line="220" w:lineRule="atLeast"/>
      <w:jc w:val="center"/>
      <w:textAlignment w:val="baseline"/>
    </w:pPr>
    <w:rPr>
      <w:rFonts w:ascii="Verdana" w:eastAsia="Times" w:hAnsi="Verdana" w:cs="Frutiger 45 Light"/>
      <w:color w:val="333F7F"/>
      <w:szCs w:val="22"/>
      <w:lang w:eastAsia="en-AU"/>
    </w:rPr>
  </w:style>
  <w:style w:type="paragraph" w:customStyle="1" w:styleId="Collateralheading">
    <w:name w:val="Collateral heading"/>
    <w:basedOn w:val="Normal"/>
    <w:next w:val="Normal"/>
    <w:semiHidden/>
    <w:unhideWhenUsed/>
    <w:rsid w:val="00AD7CFC"/>
    <w:pPr>
      <w:keepNext/>
      <w:spacing w:before="80" w:after="120"/>
    </w:pPr>
    <w:rPr>
      <w:b/>
      <w:sz w:val="18"/>
    </w:rPr>
  </w:style>
  <w:style w:type="paragraph" w:customStyle="1" w:styleId="Collateralsubheading">
    <w:name w:val="Collateral sub heading"/>
    <w:basedOn w:val="Collateralheading"/>
    <w:next w:val="Normal"/>
    <w:semiHidden/>
    <w:unhideWhenUsed/>
    <w:rsid w:val="00AD7CFC"/>
    <w:pPr>
      <w:widowControl w:val="0"/>
      <w:spacing w:after="160"/>
    </w:pPr>
    <w:rPr>
      <w:b w:val="0"/>
      <w:sz w:val="19"/>
    </w:rPr>
  </w:style>
  <w:style w:type="paragraph" w:customStyle="1" w:styleId="Name1">
    <w:name w:val="Name 1"/>
    <w:basedOn w:val="Normal"/>
    <w:semiHidden/>
    <w:rsid w:val="00CD27CA"/>
    <w:pPr>
      <w:spacing w:after="160" w:line="320" w:lineRule="exact"/>
      <w:jc w:val="right"/>
    </w:pPr>
    <w:rPr>
      <w:b/>
      <w:sz w:val="36"/>
    </w:rPr>
  </w:style>
  <w:style w:type="paragraph" w:styleId="ListBullet">
    <w:name w:val="List Bullet"/>
    <w:basedOn w:val="Normal"/>
    <w:uiPriority w:val="99"/>
    <w:semiHidden/>
    <w:unhideWhenUsed/>
    <w:rsid w:val="00AD7CFC"/>
    <w:pPr>
      <w:tabs>
        <w:tab w:val="num" w:pos="370"/>
      </w:tabs>
      <w:ind w:left="370" w:hanging="360"/>
      <w:contextualSpacing/>
    </w:pPr>
  </w:style>
  <w:style w:type="paragraph" w:customStyle="1" w:styleId="Name2">
    <w:name w:val="Name 2"/>
    <w:basedOn w:val="Name1"/>
    <w:semiHidden/>
    <w:rsid w:val="00CD27CA"/>
    <w:pPr>
      <w:spacing w:after="0"/>
      <w:jc w:val="left"/>
    </w:pPr>
    <w:rPr>
      <w:sz w:val="20"/>
    </w:rPr>
  </w:style>
  <w:style w:type="paragraph" w:customStyle="1" w:styleId="Projectrole1">
    <w:name w:val="Project role 1"/>
    <w:basedOn w:val="Normal"/>
    <w:semiHidden/>
    <w:rsid w:val="00CD27CA"/>
    <w:pPr>
      <w:spacing w:after="160"/>
      <w:jc w:val="right"/>
    </w:pPr>
    <w:rPr>
      <w:caps/>
    </w:rPr>
  </w:style>
  <w:style w:type="paragraph" w:customStyle="1" w:styleId="Projectrole2">
    <w:name w:val="Project role 2"/>
    <w:basedOn w:val="Projectrole1"/>
    <w:semiHidden/>
    <w:rsid w:val="00CD27CA"/>
    <w:pPr>
      <w:jc w:val="left"/>
    </w:pPr>
    <w:rPr>
      <w:sz w:val="14"/>
      <w:szCs w:val="16"/>
    </w:rPr>
  </w:style>
  <w:style w:type="paragraph" w:customStyle="1" w:styleId="Disclaimer1">
    <w:name w:val="Disclaimer 1"/>
    <w:basedOn w:val="Normal"/>
    <w:semiHidden/>
    <w:unhideWhenUsed/>
    <w:rsid w:val="00AD7CFC"/>
    <w:pPr>
      <w:framePr w:hSpace="181" w:wrap="around" w:vAnchor="page" w:hAnchor="margin" w:y="12811"/>
      <w:spacing w:after="200" w:line="200" w:lineRule="exact"/>
    </w:pPr>
    <w:rPr>
      <w:b/>
      <w:color w:val="999999"/>
      <w:sz w:val="17"/>
    </w:rPr>
  </w:style>
  <w:style w:type="paragraph" w:customStyle="1" w:styleId="Disclaimer2">
    <w:name w:val="Disclaimer 2"/>
    <w:basedOn w:val="Disclaimer1"/>
    <w:semiHidden/>
    <w:unhideWhenUsed/>
    <w:rsid w:val="00AD7CFC"/>
    <w:pPr>
      <w:framePr w:wrap="around"/>
      <w:spacing w:before="80" w:after="40" w:line="180" w:lineRule="atLeast"/>
    </w:pPr>
    <w:rPr>
      <w:sz w:val="14"/>
    </w:rPr>
  </w:style>
  <w:style w:type="paragraph" w:customStyle="1" w:styleId="Para0narrow">
    <w:name w:val="Para 0 narrow"/>
    <w:basedOn w:val="Para0"/>
    <w:next w:val="Para0"/>
    <w:semiHidden/>
    <w:qFormat/>
    <w:rsid w:val="00264230"/>
  </w:style>
  <w:style w:type="paragraph" w:customStyle="1" w:styleId="Para0narrowbullet">
    <w:name w:val="Para 0 narrow bullet"/>
    <w:basedOn w:val="Para0bullet"/>
    <w:next w:val="Para0bullet"/>
    <w:semiHidden/>
    <w:qFormat/>
    <w:rsid w:val="00101052"/>
  </w:style>
  <w:style w:type="paragraph" w:customStyle="1" w:styleId="SummaryHeading">
    <w:name w:val="SummaryHeading"/>
    <w:basedOn w:val="Sectionheading"/>
    <w:semiHidden/>
    <w:qFormat/>
    <w:rsid w:val="00AD7CFC"/>
  </w:style>
  <w:style w:type="paragraph" w:customStyle="1" w:styleId="Para0bold">
    <w:name w:val="Para 0 bold"/>
    <w:basedOn w:val="Para0"/>
    <w:uiPriority w:val="4"/>
    <w:qFormat/>
    <w:rsid w:val="00264230"/>
    <w:rPr>
      <w:b/>
    </w:rPr>
  </w:style>
  <w:style w:type="paragraph" w:customStyle="1" w:styleId="Para0number">
    <w:name w:val="Para 0 number"/>
    <w:basedOn w:val="Para0"/>
    <w:uiPriority w:val="4"/>
    <w:qFormat/>
    <w:rsid w:val="00E02A69"/>
    <w:pPr>
      <w:numPr>
        <w:numId w:val="16"/>
      </w:numPr>
      <w:tabs>
        <w:tab w:val="left" w:pos="851"/>
      </w:tabs>
      <w:spacing w:before="0"/>
    </w:pPr>
  </w:style>
  <w:style w:type="paragraph" w:customStyle="1" w:styleId="Para0arrow">
    <w:name w:val="Para 0 arrow"/>
    <w:basedOn w:val="Para0"/>
    <w:uiPriority w:val="4"/>
    <w:qFormat/>
    <w:rsid w:val="00264230"/>
    <w:pPr>
      <w:numPr>
        <w:numId w:val="14"/>
      </w:numPr>
      <w:tabs>
        <w:tab w:val="left" w:pos="851"/>
      </w:tabs>
      <w:spacing w:before="0"/>
    </w:pPr>
  </w:style>
  <w:style w:type="paragraph" w:customStyle="1" w:styleId="Para0dash">
    <w:name w:val="Para 0 dash"/>
    <w:basedOn w:val="Para0"/>
    <w:uiPriority w:val="4"/>
    <w:qFormat/>
    <w:rsid w:val="00264230"/>
    <w:pPr>
      <w:numPr>
        <w:numId w:val="13"/>
      </w:numPr>
      <w:tabs>
        <w:tab w:val="left" w:pos="851"/>
      </w:tabs>
      <w:spacing w:before="0"/>
    </w:pPr>
  </w:style>
  <w:style w:type="paragraph" w:customStyle="1" w:styleId="Para0roman">
    <w:name w:val="Para 0 roman"/>
    <w:basedOn w:val="Para0"/>
    <w:uiPriority w:val="4"/>
    <w:qFormat/>
    <w:rsid w:val="00264230"/>
    <w:pPr>
      <w:numPr>
        <w:numId w:val="18"/>
      </w:numPr>
      <w:tabs>
        <w:tab w:val="left" w:pos="851"/>
      </w:tabs>
      <w:spacing w:before="0"/>
    </w:pPr>
  </w:style>
  <w:style w:type="paragraph" w:customStyle="1" w:styleId="Para0letter">
    <w:name w:val="Para 0 letter"/>
    <w:basedOn w:val="Para0"/>
    <w:uiPriority w:val="4"/>
    <w:qFormat/>
    <w:rsid w:val="00264230"/>
    <w:pPr>
      <w:numPr>
        <w:numId w:val="17"/>
      </w:numPr>
      <w:tabs>
        <w:tab w:val="left" w:pos="851"/>
      </w:tabs>
      <w:spacing w:before="0"/>
    </w:pPr>
  </w:style>
  <w:style w:type="paragraph" w:customStyle="1" w:styleId="Para0bullet">
    <w:name w:val="Para 0 bullet"/>
    <w:basedOn w:val="Para0"/>
    <w:link w:val="Para0bulletChar"/>
    <w:qFormat/>
    <w:rsid w:val="00264230"/>
    <w:pPr>
      <w:numPr>
        <w:numId w:val="12"/>
      </w:numPr>
      <w:tabs>
        <w:tab w:val="left" w:pos="851"/>
      </w:tabs>
      <w:spacing w:before="0"/>
    </w:pPr>
  </w:style>
  <w:style w:type="paragraph" w:styleId="TOC9">
    <w:name w:val="toc 9"/>
    <w:basedOn w:val="Normal"/>
    <w:next w:val="Normal"/>
    <w:autoRedefine/>
    <w:uiPriority w:val="39"/>
    <w:unhideWhenUsed/>
    <w:rsid w:val="00997940"/>
    <w:pPr>
      <w:tabs>
        <w:tab w:val="right" w:leader="dot" w:pos="9923"/>
      </w:tabs>
      <w:spacing w:after="100"/>
    </w:pPr>
    <w:rPr>
      <w:b/>
      <w:noProof/>
    </w:rPr>
  </w:style>
  <w:style w:type="paragraph" w:customStyle="1" w:styleId="Content">
    <w:name w:val="Content"/>
    <w:basedOn w:val="Normal"/>
    <w:semiHidden/>
    <w:unhideWhenUsed/>
    <w:qFormat/>
    <w:rsid w:val="00AD7CFC"/>
    <w:pPr>
      <w:spacing w:line="280" w:lineRule="exact"/>
    </w:pPr>
  </w:style>
  <w:style w:type="paragraph" w:styleId="TOC4">
    <w:name w:val="toc 4"/>
    <w:basedOn w:val="Normal"/>
    <w:next w:val="Normal"/>
    <w:autoRedefine/>
    <w:uiPriority w:val="39"/>
    <w:semiHidden/>
    <w:unhideWhenUsed/>
    <w:rsid w:val="00997940"/>
    <w:pPr>
      <w:tabs>
        <w:tab w:val="right" w:leader="dot" w:pos="9906"/>
      </w:tabs>
      <w:spacing w:after="100"/>
      <w:ind w:left="1315" w:hanging="1315"/>
    </w:pPr>
  </w:style>
  <w:style w:type="paragraph" w:styleId="TOC5">
    <w:name w:val="toc 5"/>
    <w:basedOn w:val="Normal"/>
    <w:next w:val="Normal"/>
    <w:autoRedefine/>
    <w:uiPriority w:val="39"/>
    <w:semiHidden/>
    <w:unhideWhenUsed/>
    <w:rsid w:val="00997940"/>
    <w:pPr>
      <w:tabs>
        <w:tab w:val="right" w:leader="dot" w:pos="9923"/>
      </w:tabs>
      <w:spacing w:after="100"/>
      <w:ind w:left="1315" w:hanging="1315"/>
    </w:pPr>
  </w:style>
  <w:style w:type="paragraph" w:styleId="TOC6">
    <w:name w:val="toc 6"/>
    <w:basedOn w:val="Normal"/>
    <w:next w:val="Normal"/>
    <w:autoRedefine/>
    <w:uiPriority w:val="39"/>
    <w:semiHidden/>
    <w:unhideWhenUsed/>
    <w:rsid w:val="00997940"/>
    <w:pPr>
      <w:tabs>
        <w:tab w:val="left" w:pos="1315"/>
        <w:tab w:val="right" w:leader="dot" w:pos="9923"/>
      </w:tabs>
      <w:spacing w:after="100"/>
      <w:ind w:left="675" w:hanging="675"/>
    </w:pPr>
  </w:style>
  <w:style w:type="paragraph" w:styleId="TOC7">
    <w:name w:val="toc 7"/>
    <w:basedOn w:val="Normal"/>
    <w:next w:val="Normal"/>
    <w:autoRedefine/>
    <w:uiPriority w:val="39"/>
    <w:semiHidden/>
    <w:unhideWhenUsed/>
    <w:rsid w:val="00997940"/>
    <w:pPr>
      <w:tabs>
        <w:tab w:val="left" w:pos="1315"/>
        <w:tab w:val="right" w:leader="dot" w:pos="9923"/>
      </w:tabs>
      <w:spacing w:after="100"/>
      <w:ind w:left="675" w:hanging="675"/>
    </w:pPr>
  </w:style>
  <w:style w:type="paragraph" w:styleId="TOC8">
    <w:name w:val="toc 8"/>
    <w:basedOn w:val="Normal"/>
    <w:next w:val="Normal"/>
    <w:autoRedefine/>
    <w:uiPriority w:val="39"/>
    <w:semiHidden/>
    <w:unhideWhenUsed/>
    <w:rsid w:val="00997940"/>
    <w:pPr>
      <w:tabs>
        <w:tab w:val="left" w:pos="1315"/>
        <w:tab w:val="right" w:leader="dot" w:pos="9923"/>
      </w:tabs>
      <w:spacing w:after="100"/>
      <w:ind w:left="675" w:hanging="675"/>
    </w:pPr>
  </w:style>
  <w:style w:type="paragraph" w:customStyle="1" w:styleId="Para1narrowarrow">
    <w:name w:val="Para 1 narrow arrow"/>
    <w:basedOn w:val="Para0narrowbullet"/>
    <w:unhideWhenUsed/>
    <w:rsid w:val="00264230"/>
    <w:pPr>
      <w:numPr>
        <w:ilvl w:val="1"/>
      </w:numPr>
    </w:pPr>
  </w:style>
  <w:style w:type="paragraph" w:customStyle="1" w:styleId="PHHeading1">
    <w:name w:val="PHHeading 1"/>
    <w:basedOn w:val="Normal"/>
    <w:semiHidden/>
    <w:rsid w:val="004D574E"/>
  </w:style>
  <w:style w:type="paragraph" w:customStyle="1" w:styleId="PHHeading2">
    <w:name w:val="PHHeading 2"/>
    <w:basedOn w:val="Collateralsubheading"/>
    <w:semiHidden/>
    <w:rsid w:val="00AD7CFC"/>
  </w:style>
  <w:style w:type="paragraph" w:customStyle="1" w:styleId="PHHeading3">
    <w:name w:val="PHHeading 3"/>
    <w:basedOn w:val="PHHeading2"/>
    <w:semiHidden/>
    <w:rsid w:val="00AD7CFC"/>
  </w:style>
  <w:style w:type="paragraph" w:customStyle="1" w:styleId="Para1">
    <w:name w:val="Para 1"/>
    <w:basedOn w:val="Para0"/>
    <w:uiPriority w:val="5"/>
    <w:rsid w:val="00E33614"/>
    <w:pPr>
      <w:ind w:left="425"/>
    </w:pPr>
  </w:style>
  <w:style w:type="paragraph" w:customStyle="1" w:styleId="Para1bullet">
    <w:name w:val="Para 1 bullet"/>
    <w:basedOn w:val="Para0bullet"/>
    <w:uiPriority w:val="5"/>
    <w:rsid w:val="00101052"/>
    <w:pPr>
      <w:ind w:left="850"/>
    </w:pPr>
  </w:style>
  <w:style w:type="paragraph" w:customStyle="1" w:styleId="Para1dash">
    <w:name w:val="Para 1 dash"/>
    <w:basedOn w:val="Para0dash"/>
    <w:uiPriority w:val="5"/>
    <w:rsid w:val="00101052"/>
    <w:pPr>
      <w:ind w:left="850"/>
    </w:pPr>
  </w:style>
  <w:style w:type="paragraph" w:customStyle="1" w:styleId="Para1letter">
    <w:name w:val="Para 1 letter"/>
    <w:basedOn w:val="Para0letter"/>
    <w:uiPriority w:val="5"/>
    <w:rsid w:val="008C0C17"/>
    <w:pPr>
      <w:numPr>
        <w:numId w:val="36"/>
      </w:numPr>
    </w:pPr>
  </w:style>
  <w:style w:type="paragraph" w:customStyle="1" w:styleId="Para1number">
    <w:name w:val="Para 1 number"/>
    <w:basedOn w:val="Para1bullet"/>
    <w:uiPriority w:val="5"/>
    <w:rsid w:val="00E02A69"/>
    <w:pPr>
      <w:numPr>
        <w:numId w:val="27"/>
      </w:numPr>
    </w:pPr>
  </w:style>
  <w:style w:type="paragraph" w:customStyle="1" w:styleId="Summary">
    <w:name w:val="Summary"/>
    <w:basedOn w:val="Normal"/>
    <w:next w:val="Para0"/>
    <w:uiPriority w:val="1"/>
    <w:qFormat/>
    <w:rsid w:val="00AD7CFC"/>
    <w:pPr>
      <w:pageBreakBefore/>
      <w:spacing w:after="120" w:line="320" w:lineRule="exact"/>
    </w:pPr>
    <w:rPr>
      <w:b/>
      <w:sz w:val="32"/>
    </w:rPr>
  </w:style>
  <w:style w:type="paragraph" w:customStyle="1" w:styleId="SectionSubheading1">
    <w:name w:val="Section Sub heading 1"/>
    <w:basedOn w:val="Heading2"/>
    <w:next w:val="Para0"/>
    <w:uiPriority w:val="1"/>
    <w:qFormat/>
    <w:rsid w:val="00AD7CFC"/>
    <w:pPr>
      <w:numPr>
        <w:ilvl w:val="0"/>
        <w:numId w:val="0"/>
      </w:numPr>
    </w:pPr>
  </w:style>
  <w:style w:type="paragraph" w:customStyle="1" w:styleId="SectionSubheading2">
    <w:name w:val="Section Sub heading 2"/>
    <w:basedOn w:val="Heading3"/>
    <w:next w:val="Para0"/>
    <w:uiPriority w:val="1"/>
    <w:qFormat/>
    <w:rsid w:val="00AD7CFC"/>
    <w:pPr>
      <w:numPr>
        <w:ilvl w:val="0"/>
        <w:numId w:val="0"/>
      </w:numPr>
    </w:pPr>
  </w:style>
  <w:style w:type="paragraph" w:customStyle="1" w:styleId="DocumentTitle">
    <w:name w:val="Document Title"/>
    <w:basedOn w:val="Normal"/>
    <w:uiPriority w:val="19"/>
    <w:rsid w:val="00267DD3"/>
    <w:pPr>
      <w:spacing w:after="60"/>
    </w:pPr>
  </w:style>
  <w:style w:type="paragraph" w:customStyle="1" w:styleId="Para2">
    <w:name w:val="Para 2"/>
    <w:basedOn w:val="Para1"/>
    <w:uiPriority w:val="6"/>
    <w:rsid w:val="00264230"/>
    <w:pPr>
      <w:ind w:left="851"/>
    </w:pPr>
  </w:style>
  <w:style w:type="paragraph" w:customStyle="1" w:styleId="Para2bullet">
    <w:name w:val="Para 2 bullet"/>
    <w:basedOn w:val="Para1bullet"/>
    <w:uiPriority w:val="6"/>
    <w:rsid w:val="00534198"/>
    <w:pPr>
      <w:ind w:left="1276"/>
    </w:pPr>
  </w:style>
  <w:style w:type="paragraph" w:customStyle="1" w:styleId="Para2dash">
    <w:name w:val="Para 2 dash"/>
    <w:basedOn w:val="Para1dash"/>
    <w:uiPriority w:val="6"/>
    <w:rsid w:val="00534198"/>
    <w:pPr>
      <w:ind w:left="1276"/>
    </w:pPr>
  </w:style>
  <w:style w:type="paragraph" w:customStyle="1" w:styleId="Para2letter">
    <w:name w:val="Para 2 letter"/>
    <w:basedOn w:val="Para1letter"/>
    <w:uiPriority w:val="6"/>
    <w:rsid w:val="008C0C17"/>
    <w:pPr>
      <w:numPr>
        <w:numId w:val="31"/>
      </w:numPr>
    </w:pPr>
  </w:style>
  <w:style w:type="paragraph" w:customStyle="1" w:styleId="Contents">
    <w:name w:val="Contents"/>
    <w:basedOn w:val="PageHeading"/>
    <w:next w:val="Para0"/>
    <w:uiPriority w:val="24"/>
    <w:rsid w:val="004300A0"/>
    <w:pPr>
      <w:pageBreakBefore/>
      <w:spacing w:after="100"/>
      <w:ind w:left="0"/>
    </w:pPr>
    <w:rPr>
      <w:b/>
      <w:color w:val="auto"/>
      <w:sz w:val="24"/>
    </w:rPr>
  </w:style>
  <w:style w:type="paragraph" w:customStyle="1" w:styleId="Tablecaption">
    <w:name w:val="Table caption"/>
    <w:basedOn w:val="Caption"/>
    <w:next w:val="Para0"/>
    <w:rsid w:val="0083301B"/>
    <w:rPr>
      <w:rFonts w:ascii="Jacobs Chronos" w:hAnsi="Jacobs Chronos"/>
    </w:rPr>
  </w:style>
  <w:style w:type="paragraph" w:customStyle="1" w:styleId="Figurecaption">
    <w:name w:val="Figure caption"/>
    <w:basedOn w:val="Caption"/>
    <w:next w:val="Para0"/>
    <w:semiHidden/>
    <w:rsid w:val="00AD7CFC"/>
  </w:style>
  <w:style w:type="paragraph" w:customStyle="1" w:styleId="Appendixsubheading1">
    <w:name w:val="Appendix subheading 1"/>
    <w:basedOn w:val="Normal"/>
    <w:next w:val="Para0"/>
    <w:uiPriority w:val="2"/>
    <w:qFormat/>
    <w:rsid w:val="005E3F0E"/>
    <w:pPr>
      <w:numPr>
        <w:ilvl w:val="1"/>
        <w:numId w:val="8"/>
      </w:numPr>
      <w:spacing w:before="240" w:after="120" w:line="280" w:lineRule="exact"/>
    </w:pPr>
    <w:rPr>
      <w:b/>
      <w:sz w:val="24"/>
    </w:rPr>
  </w:style>
  <w:style w:type="paragraph" w:customStyle="1" w:styleId="Appendixsubheading2">
    <w:name w:val="Appendix subheading 2"/>
    <w:basedOn w:val="Normal"/>
    <w:next w:val="Para0"/>
    <w:uiPriority w:val="2"/>
    <w:qFormat/>
    <w:rsid w:val="005E3F0E"/>
    <w:pPr>
      <w:numPr>
        <w:ilvl w:val="2"/>
        <w:numId w:val="8"/>
      </w:numPr>
      <w:spacing w:before="240" w:after="120"/>
    </w:pPr>
    <w:rPr>
      <w:b/>
    </w:rPr>
  </w:style>
  <w:style w:type="paragraph" w:customStyle="1" w:styleId="Image">
    <w:name w:val="Image"/>
    <w:basedOn w:val="Normal"/>
    <w:semiHidden/>
    <w:rsid w:val="00AD7CFC"/>
    <w:pPr>
      <w:spacing w:after="0" w:line="240" w:lineRule="auto"/>
    </w:pPr>
  </w:style>
  <w:style w:type="paragraph" w:customStyle="1" w:styleId="Para1bold">
    <w:name w:val="Para 1 bold"/>
    <w:basedOn w:val="Para1"/>
    <w:uiPriority w:val="5"/>
    <w:rsid w:val="003531F5"/>
    <w:rPr>
      <w:b/>
    </w:rPr>
  </w:style>
  <w:style w:type="paragraph" w:customStyle="1" w:styleId="Para1roman">
    <w:name w:val="Para 1 roman"/>
    <w:basedOn w:val="Para0roman"/>
    <w:uiPriority w:val="5"/>
    <w:rsid w:val="002D7A95"/>
    <w:pPr>
      <w:numPr>
        <w:numId w:val="37"/>
      </w:numPr>
    </w:pPr>
  </w:style>
  <w:style w:type="paragraph" w:customStyle="1" w:styleId="Para2bold">
    <w:name w:val="Para 2 bold"/>
    <w:basedOn w:val="Para2"/>
    <w:uiPriority w:val="6"/>
    <w:rsid w:val="00264230"/>
    <w:rPr>
      <w:b/>
    </w:rPr>
  </w:style>
  <w:style w:type="paragraph" w:customStyle="1" w:styleId="Para2number">
    <w:name w:val="Para 2 number"/>
    <w:basedOn w:val="Para2bullet"/>
    <w:uiPriority w:val="6"/>
    <w:rsid w:val="00E02A69"/>
    <w:pPr>
      <w:numPr>
        <w:numId w:val="38"/>
      </w:numPr>
    </w:pPr>
  </w:style>
  <w:style w:type="paragraph" w:customStyle="1" w:styleId="Para2roman">
    <w:name w:val="Para 2 roman"/>
    <w:basedOn w:val="Para2number"/>
    <w:uiPriority w:val="6"/>
    <w:rsid w:val="002D7A95"/>
    <w:pPr>
      <w:numPr>
        <w:numId w:val="34"/>
      </w:numPr>
    </w:pPr>
  </w:style>
  <w:style w:type="paragraph" w:customStyle="1" w:styleId="TableContent">
    <w:name w:val="Table Content"/>
    <w:basedOn w:val="Normal"/>
    <w:semiHidden/>
    <w:qFormat/>
    <w:rsid w:val="00AD7CFC"/>
    <w:pPr>
      <w:spacing w:before="60" w:after="60" w:line="240" w:lineRule="exact"/>
    </w:pPr>
  </w:style>
  <w:style w:type="numbering" w:customStyle="1" w:styleId="JacobsNumberedList1">
    <w:name w:val="Jacobs Numbered List 1"/>
    <w:uiPriority w:val="99"/>
    <w:rsid w:val="00E02A69"/>
    <w:pPr>
      <w:numPr>
        <w:numId w:val="16"/>
      </w:numPr>
    </w:pPr>
  </w:style>
  <w:style w:type="numbering" w:customStyle="1" w:styleId="JacobsNumberedList2">
    <w:name w:val="Jacobs Numbered List 2"/>
    <w:uiPriority w:val="99"/>
    <w:rsid w:val="007A33C5"/>
    <w:pPr>
      <w:numPr>
        <w:numId w:val="17"/>
      </w:numPr>
    </w:pPr>
  </w:style>
  <w:style w:type="numbering" w:customStyle="1" w:styleId="JacobsNumberedList3">
    <w:name w:val="Jacobs Numbered List 3"/>
    <w:uiPriority w:val="99"/>
    <w:rsid w:val="007A33C5"/>
    <w:pPr>
      <w:numPr>
        <w:numId w:val="18"/>
      </w:numPr>
    </w:pPr>
  </w:style>
  <w:style w:type="numbering" w:customStyle="1" w:styleId="JacobsBulletList1">
    <w:name w:val="Jacobs Bullet List 1"/>
    <w:uiPriority w:val="99"/>
    <w:rsid w:val="007A33C5"/>
    <w:pPr>
      <w:numPr>
        <w:numId w:val="12"/>
      </w:numPr>
    </w:pPr>
  </w:style>
  <w:style w:type="numbering" w:customStyle="1" w:styleId="JacobsBulletList2">
    <w:name w:val="Jacobs Bullet List 2"/>
    <w:uiPriority w:val="99"/>
    <w:rsid w:val="007A33C5"/>
    <w:pPr>
      <w:numPr>
        <w:numId w:val="13"/>
      </w:numPr>
    </w:pPr>
  </w:style>
  <w:style w:type="paragraph" w:customStyle="1" w:styleId="PurpleHeading">
    <w:name w:val="Purple Heading"/>
    <w:basedOn w:val="Normal"/>
    <w:semiHidden/>
    <w:rsid w:val="00AD7CFC"/>
    <w:pPr>
      <w:framePr w:hSpace="181" w:wrap="around" w:vAnchor="text" w:hAnchor="margin" w:x="142" w:y="456"/>
      <w:spacing w:before="80" w:after="0" w:line="320" w:lineRule="atLeast"/>
      <w:suppressOverlap/>
    </w:pPr>
    <w:rPr>
      <w:b/>
      <w:sz w:val="24"/>
    </w:rPr>
  </w:style>
  <w:style w:type="paragraph" w:customStyle="1" w:styleId="Purplenarrow">
    <w:name w:val="Purple narrow"/>
    <w:basedOn w:val="PurpleHeading"/>
    <w:semiHidden/>
    <w:rsid w:val="00AD7CFC"/>
    <w:pPr>
      <w:framePr w:wrap="around"/>
      <w:spacing w:before="0"/>
    </w:pPr>
    <w:rPr>
      <w:b w:val="0"/>
      <w:caps/>
      <w:sz w:val="18"/>
    </w:rPr>
  </w:style>
  <w:style w:type="table" w:styleId="MediumList2">
    <w:name w:val="Medium List 2"/>
    <w:basedOn w:val="TableNormal"/>
    <w:uiPriority w:val="66"/>
    <w:rsid w:val="00AD7CFC"/>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Accent1">
    <w:name w:val="Medium Grid 1 Accent 1"/>
    <w:basedOn w:val="TableNormal"/>
    <w:uiPriority w:val="67"/>
    <w:rsid w:val="00AD7CFC"/>
    <w:tblPr>
      <w:tblStyleRowBandSize w:val="1"/>
      <w:tblStyleColBandSize w:val="1"/>
      <w:tbl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single" w:sz="8" w:space="0" w:color="5245EE" w:themeColor="accent1" w:themeTint="BF"/>
        <w:insideV w:val="single" w:sz="8" w:space="0" w:color="5245EE" w:themeColor="accent1" w:themeTint="BF"/>
      </w:tblBorders>
    </w:tblPr>
    <w:tcPr>
      <w:shd w:val="clear" w:color="auto" w:fill="C5C1F9" w:themeFill="accent1" w:themeFillTint="3F"/>
    </w:tcPr>
    <w:tblStylePr w:type="firstRow">
      <w:rPr>
        <w:b/>
        <w:bCs/>
      </w:rPr>
    </w:tblStylePr>
    <w:tblStylePr w:type="lastRow">
      <w:rPr>
        <w:b/>
        <w:bCs/>
      </w:rPr>
      <w:tblPr/>
      <w:tcPr>
        <w:tcBorders>
          <w:top w:val="single" w:sz="18" w:space="0" w:color="5245EE" w:themeColor="accent1" w:themeTint="BF"/>
        </w:tcBorders>
      </w:tcPr>
    </w:tblStylePr>
    <w:tblStylePr w:type="firstCol">
      <w:rPr>
        <w:b/>
        <w:bCs/>
      </w:rPr>
    </w:tblStylePr>
    <w:tblStylePr w:type="lastCol">
      <w:rPr>
        <w:b/>
        <w:bCs/>
      </w:rPr>
    </w:tblStylePr>
    <w:tblStylePr w:type="band1Vert">
      <w:tblPr/>
      <w:tcPr>
        <w:shd w:val="clear" w:color="auto" w:fill="8B83F3" w:themeFill="accent1" w:themeFillTint="7F"/>
      </w:tcPr>
    </w:tblStylePr>
    <w:tblStylePr w:type="band1Horz">
      <w:tblPr/>
      <w:tcPr>
        <w:shd w:val="clear" w:color="auto" w:fill="8B83F3" w:themeFill="accent1" w:themeFillTint="7F"/>
      </w:tcPr>
    </w:tblStylePr>
  </w:style>
  <w:style w:type="table" w:customStyle="1" w:styleId="Table1">
    <w:name w:val="Table1"/>
    <w:basedOn w:val="TableNormal"/>
    <w:uiPriority w:val="99"/>
    <w:rsid w:val="00AD7CFC"/>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tblStylePr w:type="firstCol">
      <w:tblPr/>
      <w:tcPr>
        <w:shd w:val="clear" w:color="auto" w:fill="E6E5E3"/>
      </w:tcPr>
    </w:tblStylePr>
  </w:style>
  <w:style w:type="table" w:customStyle="1" w:styleId="Table2">
    <w:name w:val="Table2"/>
    <w:basedOn w:val="TableNormal"/>
    <w:uiPriority w:val="99"/>
    <w:rsid w:val="00AD7CFC"/>
    <w:rPr>
      <w:rFonts w:ascii="Jacobs Chronos" w:hAnsi="Jacobs Chronos" w:cs="Jacobs Chronos"/>
      <w:sz w:val="20"/>
    </w:rPr>
    <w:tblPr>
      <w:tblInd w:w="113"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rPr>
        <w:rFonts w:ascii="Arial Black" w:hAnsi="Arial Black"/>
        <w:b/>
        <w:color w:val="000000"/>
        <w:sz w:val="50"/>
      </w:rPr>
      <w:tblPr/>
      <w:tcPr>
        <w:shd w:val="clear" w:color="auto" w:fill="CFCAC7"/>
      </w:tcPr>
    </w:tblStylePr>
  </w:style>
  <w:style w:type="paragraph" w:customStyle="1" w:styleId="PenPicBodyheading">
    <w:name w:val="Pen Pic Body heading"/>
    <w:basedOn w:val="Normal"/>
    <w:semiHidden/>
    <w:rsid w:val="004D574E"/>
    <w:pPr>
      <w:ind w:left="284"/>
    </w:pPr>
  </w:style>
  <w:style w:type="paragraph" w:customStyle="1" w:styleId="PenPicSidebartext">
    <w:name w:val="Pen Pic Sidebar text"/>
    <w:basedOn w:val="Normal"/>
    <w:semiHidden/>
    <w:rsid w:val="00AD7CFC"/>
    <w:pPr>
      <w:suppressAutoHyphens/>
      <w:autoSpaceDE w:val="0"/>
      <w:autoSpaceDN w:val="0"/>
      <w:adjustRightInd w:val="0"/>
      <w:spacing w:before="60" w:after="60"/>
      <w:ind w:left="284"/>
      <w:textAlignment w:val="center"/>
    </w:pPr>
    <w:rPr>
      <w:rFonts w:cs="Arial Narrow"/>
      <w:color w:val="000000"/>
      <w:sz w:val="19"/>
      <w:szCs w:val="19"/>
    </w:rPr>
  </w:style>
  <w:style w:type="paragraph" w:customStyle="1" w:styleId="PenPicSidebarbullet">
    <w:name w:val="Pen Pic Sidebar bullet"/>
    <w:basedOn w:val="Normal"/>
    <w:rsid w:val="00957619"/>
    <w:pPr>
      <w:numPr>
        <w:numId w:val="9"/>
      </w:numPr>
    </w:pPr>
    <w:rPr>
      <w:color w:val="000000"/>
      <w:sz w:val="19"/>
    </w:rPr>
  </w:style>
  <w:style w:type="numbering" w:customStyle="1" w:styleId="JacobsBulletList3">
    <w:name w:val="Jacobs Bullet List 3"/>
    <w:uiPriority w:val="99"/>
    <w:rsid w:val="007A33C5"/>
    <w:pPr>
      <w:numPr>
        <w:numId w:val="14"/>
      </w:numPr>
    </w:pPr>
  </w:style>
  <w:style w:type="numbering" w:customStyle="1" w:styleId="JacobsTableList1">
    <w:name w:val="Jacobs Table List 1"/>
    <w:uiPriority w:val="99"/>
    <w:rsid w:val="007A33C5"/>
    <w:pPr>
      <w:numPr>
        <w:numId w:val="23"/>
      </w:numPr>
    </w:pPr>
  </w:style>
  <w:style w:type="numbering" w:customStyle="1" w:styleId="JacobsTableNumberedList1">
    <w:name w:val="Jacobs Table Numbered List 1"/>
    <w:uiPriority w:val="99"/>
    <w:rsid w:val="007A33C5"/>
    <w:pPr>
      <w:numPr>
        <w:numId w:val="24"/>
      </w:numPr>
    </w:pPr>
  </w:style>
  <w:style w:type="numbering" w:customStyle="1" w:styleId="JacobsTableNumberedList2">
    <w:name w:val="Jacobs Table Numbered List 2"/>
    <w:uiPriority w:val="99"/>
    <w:rsid w:val="007A33C5"/>
    <w:pPr>
      <w:numPr>
        <w:numId w:val="25"/>
      </w:numPr>
    </w:pPr>
  </w:style>
  <w:style w:type="numbering" w:customStyle="1" w:styleId="JacobsSmallTableList1">
    <w:name w:val="Jacobs Small Table List 1"/>
    <w:uiPriority w:val="99"/>
    <w:rsid w:val="007A33C5"/>
    <w:pPr>
      <w:numPr>
        <w:numId w:val="19"/>
      </w:numPr>
    </w:pPr>
  </w:style>
  <w:style w:type="numbering" w:customStyle="1" w:styleId="JacobsSmallTableNumberedList1">
    <w:name w:val="Jacobs Small Table Numbered List 1"/>
    <w:uiPriority w:val="99"/>
    <w:rsid w:val="007A33C5"/>
    <w:pPr>
      <w:numPr>
        <w:numId w:val="20"/>
      </w:numPr>
    </w:pPr>
  </w:style>
  <w:style w:type="numbering" w:customStyle="1" w:styleId="JacobsSmallTableNumberedList2">
    <w:name w:val="Jacobs Small Table Numbered List 2"/>
    <w:uiPriority w:val="99"/>
    <w:rsid w:val="007A33C5"/>
    <w:pPr>
      <w:numPr>
        <w:numId w:val="21"/>
      </w:numPr>
    </w:pPr>
  </w:style>
  <w:style w:type="numbering" w:customStyle="1" w:styleId="JacobsBodyList">
    <w:name w:val="Jacobs Body List"/>
    <w:uiPriority w:val="99"/>
    <w:rsid w:val="007A33C5"/>
    <w:pPr>
      <w:numPr>
        <w:numId w:val="11"/>
      </w:numPr>
    </w:pPr>
  </w:style>
  <w:style w:type="numbering" w:customStyle="1" w:styleId="JacobsNarrowList">
    <w:name w:val="Jacobs Narrow List"/>
    <w:uiPriority w:val="99"/>
    <w:rsid w:val="007A33C5"/>
    <w:pPr>
      <w:numPr>
        <w:numId w:val="15"/>
      </w:numPr>
    </w:pPr>
  </w:style>
  <w:style w:type="paragraph" w:customStyle="1" w:styleId="Reference">
    <w:name w:val="Reference"/>
    <w:basedOn w:val="Para0"/>
    <w:uiPriority w:val="24"/>
    <w:rsid w:val="00AD7CFC"/>
    <w:pPr>
      <w:spacing w:before="0"/>
      <w:contextualSpacing/>
    </w:pPr>
    <w:rPr>
      <w:i/>
      <w:sz w:val="14"/>
    </w:rPr>
  </w:style>
  <w:style w:type="paragraph" w:styleId="EndnoteText">
    <w:name w:val="endnote text"/>
    <w:basedOn w:val="Normal"/>
    <w:link w:val="EndnoteTextChar"/>
    <w:uiPriority w:val="24"/>
    <w:rsid w:val="00AD7CFC"/>
    <w:pPr>
      <w:spacing w:after="240" w:line="240" w:lineRule="auto"/>
      <w:ind w:left="170" w:hanging="170"/>
      <w:contextualSpacing/>
    </w:pPr>
    <w:rPr>
      <w:sz w:val="15"/>
      <w:szCs w:val="20"/>
    </w:rPr>
  </w:style>
  <w:style w:type="character" w:customStyle="1" w:styleId="EndnoteTextChar">
    <w:name w:val="Endnote Text Char"/>
    <w:basedOn w:val="DefaultParagraphFont"/>
    <w:link w:val="EndnoteText"/>
    <w:uiPriority w:val="24"/>
    <w:rsid w:val="008B6D44"/>
    <w:rPr>
      <w:rFonts w:ascii="Arial" w:hAnsi="Arial"/>
      <w:sz w:val="15"/>
      <w:szCs w:val="20"/>
      <w:lang w:val="en-AU"/>
    </w:rPr>
  </w:style>
  <w:style w:type="character" w:styleId="EndnoteReference">
    <w:name w:val="endnote reference"/>
    <w:basedOn w:val="DefaultParagraphFont"/>
    <w:uiPriority w:val="24"/>
    <w:rsid w:val="00AD7CFC"/>
    <w:rPr>
      <w:rFonts w:ascii="Jacobs Chronos" w:hAnsi="Jacobs Chronos" w:cs="Jacobs Chronos"/>
      <w:sz w:val="15"/>
      <w:vertAlign w:val="superscript"/>
    </w:rPr>
  </w:style>
  <w:style w:type="paragraph" w:customStyle="1" w:styleId="CoverTitle">
    <w:name w:val="Cover Title"/>
    <w:basedOn w:val="CoverHeading2"/>
    <w:link w:val="CoverTitleChar"/>
    <w:rsid w:val="00AD7CFC"/>
    <w:rPr>
      <w:sz w:val="24"/>
    </w:rPr>
  </w:style>
  <w:style w:type="paragraph" w:customStyle="1" w:styleId="CoverHeading2">
    <w:name w:val="Cover Heading 2"/>
    <w:basedOn w:val="CoverHeading"/>
    <w:rsid w:val="00AD7CFC"/>
    <w:rPr>
      <w:color w:val="auto"/>
    </w:rPr>
  </w:style>
  <w:style w:type="paragraph" w:customStyle="1" w:styleId="CoverSubheading2">
    <w:name w:val="Cover Subheading 2"/>
    <w:basedOn w:val="CoverHeading2"/>
    <w:rsid w:val="00903EC7"/>
    <w:pPr>
      <w:spacing w:line="280" w:lineRule="exact"/>
    </w:pPr>
    <w:rPr>
      <w:color w:val="6C6F70"/>
      <w:sz w:val="24"/>
    </w:rPr>
  </w:style>
  <w:style w:type="paragraph" w:customStyle="1" w:styleId="CoverDate2">
    <w:name w:val="Cover Date 2"/>
    <w:basedOn w:val="CoverDate"/>
    <w:rsid w:val="00AD7CFC"/>
    <w:rPr>
      <w:color w:val="6C6F70"/>
      <w:sz w:val="24"/>
    </w:rPr>
  </w:style>
  <w:style w:type="paragraph" w:customStyle="1" w:styleId="Tableitem">
    <w:name w:val="Table item"/>
    <w:basedOn w:val="Tabletext"/>
    <w:uiPriority w:val="14"/>
    <w:rsid w:val="00821835"/>
    <w:pPr>
      <w:numPr>
        <w:numId w:val="22"/>
      </w:numPr>
    </w:pPr>
  </w:style>
  <w:style w:type="paragraph" w:customStyle="1" w:styleId="Tablesmallitem">
    <w:name w:val="Table small item"/>
    <w:basedOn w:val="Tablesmalltext"/>
    <w:rsid w:val="00A2456A"/>
    <w:pPr>
      <w:numPr>
        <w:numId w:val="26"/>
      </w:numPr>
    </w:pPr>
  </w:style>
  <w:style w:type="numbering" w:customStyle="1" w:styleId="JacobsTableItem">
    <w:name w:val="Jacobs Table Item"/>
    <w:uiPriority w:val="99"/>
    <w:rsid w:val="007A33C5"/>
    <w:pPr>
      <w:numPr>
        <w:numId w:val="22"/>
      </w:numPr>
    </w:pPr>
  </w:style>
  <w:style w:type="numbering" w:customStyle="1" w:styleId="JacobsTablesmallitem">
    <w:name w:val="Jacobs Table small item"/>
    <w:uiPriority w:val="99"/>
    <w:rsid w:val="007A33C5"/>
    <w:pPr>
      <w:numPr>
        <w:numId w:val="26"/>
      </w:numPr>
    </w:pPr>
  </w:style>
  <w:style w:type="paragraph" w:customStyle="1" w:styleId="Appendixsubheading3">
    <w:name w:val="Appendix subheading 3"/>
    <w:basedOn w:val="Appendixsubheading2"/>
    <w:next w:val="Para0"/>
    <w:uiPriority w:val="2"/>
    <w:rsid w:val="001F418B"/>
    <w:pPr>
      <w:numPr>
        <w:ilvl w:val="3"/>
      </w:numPr>
    </w:pPr>
  </w:style>
  <w:style w:type="paragraph" w:customStyle="1" w:styleId="Para3">
    <w:name w:val="Para 3"/>
    <w:basedOn w:val="Para2"/>
    <w:uiPriority w:val="7"/>
    <w:rsid w:val="003531F5"/>
    <w:pPr>
      <w:ind w:left="1276"/>
    </w:pPr>
  </w:style>
  <w:style w:type="paragraph" w:customStyle="1" w:styleId="Para3bold">
    <w:name w:val="Para 3 bold"/>
    <w:basedOn w:val="Para2bold"/>
    <w:uiPriority w:val="7"/>
    <w:rsid w:val="00AD7CFC"/>
    <w:pPr>
      <w:ind w:left="1276"/>
    </w:pPr>
  </w:style>
  <w:style w:type="paragraph" w:customStyle="1" w:styleId="Para3bullet">
    <w:name w:val="Para 3 bullet"/>
    <w:basedOn w:val="Para2bullet"/>
    <w:uiPriority w:val="7"/>
    <w:rsid w:val="001D7B37"/>
    <w:pPr>
      <w:ind w:left="1701"/>
    </w:pPr>
  </w:style>
  <w:style w:type="paragraph" w:customStyle="1" w:styleId="Para3dash">
    <w:name w:val="Para 3 dash"/>
    <w:basedOn w:val="Para2dash"/>
    <w:uiPriority w:val="7"/>
    <w:rsid w:val="001D7B37"/>
    <w:pPr>
      <w:ind w:left="1701"/>
    </w:pPr>
  </w:style>
  <w:style w:type="paragraph" w:customStyle="1" w:styleId="Para3number">
    <w:name w:val="Para 3 number"/>
    <w:basedOn w:val="Para2number"/>
    <w:uiPriority w:val="7"/>
    <w:rsid w:val="00E02A69"/>
    <w:pPr>
      <w:numPr>
        <w:numId w:val="29"/>
      </w:numPr>
    </w:pPr>
  </w:style>
  <w:style w:type="paragraph" w:customStyle="1" w:styleId="Para3letter">
    <w:name w:val="Para 3 letter"/>
    <w:basedOn w:val="Para2letter"/>
    <w:uiPriority w:val="7"/>
    <w:rsid w:val="008C0C17"/>
    <w:pPr>
      <w:numPr>
        <w:numId w:val="32"/>
      </w:numPr>
    </w:pPr>
  </w:style>
  <w:style w:type="paragraph" w:customStyle="1" w:styleId="Para3roman">
    <w:name w:val="Para 3 roman"/>
    <w:basedOn w:val="Para2roman"/>
    <w:uiPriority w:val="7"/>
    <w:rsid w:val="002D7A95"/>
    <w:pPr>
      <w:numPr>
        <w:numId w:val="39"/>
      </w:numPr>
      <w:tabs>
        <w:tab w:val="clear" w:pos="851"/>
      </w:tabs>
    </w:pPr>
  </w:style>
  <w:style w:type="paragraph" w:customStyle="1" w:styleId="Para4">
    <w:name w:val="Para 4"/>
    <w:basedOn w:val="Para3"/>
    <w:uiPriority w:val="8"/>
    <w:rsid w:val="00AD7CFC"/>
    <w:pPr>
      <w:ind w:left="1701"/>
    </w:pPr>
  </w:style>
  <w:style w:type="paragraph" w:customStyle="1" w:styleId="Para4bold">
    <w:name w:val="Para 4 bold"/>
    <w:basedOn w:val="Para3bold"/>
    <w:uiPriority w:val="8"/>
    <w:rsid w:val="00AD7CFC"/>
    <w:pPr>
      <w:ind w:left="1701"/>
    </w:pPr>
  </w:style>
  <w:style w:type="paragraph" w:customStyle="1" w:styleId="Para4bullet">
    <w:name w:val="Para 4 bullet"/>
    <w:basedOn w:val="Para3bullet"/>
    <w:uiPriority w:val="8"/>
    <w:rsid w:val="0066339A"/>
    <w:pPr>
      <w:ind w:left="2126"/>
    </w:pPr>
  </w:style>
  <w:style w:type="paragraph" w:customStyle="1" w:styleId="Para4dash">
    <w:name w:val="Para 4 dash"/>
    <w:basedOn w:val="Para3dash"/>
    <w:uiPriority w:val="8"/>
    <w:rsid w:val="0066339A"/>
    <w:pPr>
      <w:ind w:left="2126"/>
    </w:pPr>
  </w:style>
  <w:style w:type="paragraph" w:customStyle="1" w:styleId="Para4number">
    <w:name w:val="Para 4 number"/>
    <w:basedOn w:val="Para3number"/>
    <w:uiPriority w:val="8"/>
    <w:rsid w:val="00E02A69"/>
    <w:pPr>
      <w:numPr>
        <w:numId w:val="42"/>
      </w:numPr>
    </w:pPr>
    <w:rPr>
      <w:lang w:val="en-GB"/>
    </w:rPr>
  </w:style>
  <w:style w:type="paragraph" w:customStyle="1" w:styleId="Para4letter">
    <w:name w:val="Para 4 letter"/>
    <w:basedOn w:val="Para3letter"/>
    <w:uiPriority w:val="8"/>
    <w:rsid w:val="008C0C17"/>
    <w:pPr>
      <w:numPr>
        <w:numId w:val="44"/>
      </w:numPr>
    </w:pPr>
  </w:style>
  <w:style w:type="paragraph" w:customStyle="1" w:styleId="Para4roman">
    <w:name w:val="Para 4 roman"/>
    <w:basedOn w:val="Para3roman"/>
    <w:uiPriority w:val="8"/>
    <w:rsid w:val="002D7A95"/>
    <w:pPr>
      <w:numPr>
        <w:numId w:val="41"/>
      </w:numPr>
    </w:pPr>
    <w:rPr>
      <w:lang w:val="en-GB"/>
    </w:rPr>
  </w:style>
  <w:style w:type="paragraph" w:customStyle="1" w:styleId="ClientName">
    <w:name w:val="Client Name"/>
    <w:basedOn w:val="Tabletext"/>
    <w:uiPriority w:val="19"/>
    <w:qFormat/>
    <w:rsid w:val="003C2143"/>
    <w:pPr>
      <w:spacing w:before="0" w:after="200"/>
      <w:ind w:right="851"/>
    </w:pPr>
  </w:style>
  <w:style w:type="character" w:customStyle="1" w:styleId="Para0Char">
    <w:name w:val="Para 0 Char"/>
    <w:aliases w:val="Auto Char,After:  3 pt Char Char"/>
    <w:basedOn w:val="DefaultParagraphFont"/>
    <w:link w:val="Para0"/>
    <w:uiPriority w:val="4"/>
    <w:rsid w:val="003531F5"/>
    <w:rPr>
      <w:rFonts w:ascii="Jacobs Chronos" w:hAnsi="Jacobs Chronos" w:cs="Jacobs Chronos"/>
      <w:sz w:val="20"/>
    </w:rPr>
  </w:style>
  <w:style w:type="paragraph" w:styleId="IntenseQuote">
    <w:name w:val="Intense Quote"/>
    <w:basedOn w:val="Normal"/>
    <w:next w:val="Normal"/>
    <w:link w:val="IntenseQuoteChar"/>
    <w:uiPriority w:val="30"/>
    <w:semiHidden/>
    <w:rsid w:val="00AD7CFC"/>
    <w:pPr>
      <w:pBdr>
        <w:bottom w:val="single" w:sz="4" w:space="4" w:color="2314DC" w:themeColor="accent1"/>
      </w:pBdr>
      <w:spacing w:before="200" w:after="280"/>
      <w:ind w:left="936" w:right="936"/>
    </w:pPr>
    <w:rPr>
      <w:b/>
      <w:bCs/>
      <w:i/>
      <w:iCs/>
      <w:color w:val="2314DC" w:themeColor="accent1"/>
    </w:rPr>
  </w:style>
  <w:style w:type="character" w:customStyle="1" w:styleId="IntenseQuoteChar">
    <w:name w:val="Intense Quote Char"/>
    <w:basedOn w:val="DefaultParagraphFont"/>
    <w:link w:val="IntenseQuote"/>
    <w:uiPriority w:val="30"/>
    <w:semiHidden/>
    <w:rsid w:val="00AD7CFC"/>
    <w:rPr>
      <w:rFonts w:ascii="Arial" w:hAnsi="Arial"/>
      <w:b/>
      <w:bCs/>
      <w:i/>
      <w:iCs/>
      <w:color w:val="2314DC" w:themeColor="accent1"/>
      <w:sz w:val="20"/>
      <w:lang w:val="en-AU"/>
    </w:rPr>
  </w:style>
  <w:style w:type="paragraph" w:customStyle="1" w:styleId="ProjectNo">
    <w:name w:val="Project No"/>
    <w:basedOn w:val="Tabletext"/>
    <w:rsid w:val="00AD7CFC"/>
    <w:pPr>
      <w:spacing w:before="0"/>
    </w:pPr>
  </w:style>
  <w:style w:type="paragraph" w:styleId="Quote">
    <w:name w:val="Quote"/>
    <w:basedOn w:val="Normal"/>
    <w:next w:val="Normal"/>
    <w:link w:val="QuoteChar"/>
    <w:uiPriority w:val="29"/>
    <w:semiHidden/>
    <w:rsid w:val="00AD7CFC"/>
    <w:rPr>
      <w:i/>
      <w:iCs/>
    </w:rPr>
  </w:style>
  <w:style w:type="character" w:customStyle="1" w:styleId="QuoteChar">
    <w:name w:val="Quote Char"/>
    <w:basedOn w:val="DefaultParagraphFont"/>
    <w:link w:val="Quote"/>
    <w:uiPriority w:val="29"/>
    <w:semiHidden/>
    <w:rsid w:val="00AD7CFC"/>
    <w:rPr>
      <w:rFonts w:ascii="Jacobs Chronos" w:hAnsi="Jacobs Chronos" w:cs="Jacobs Chronos"/>
      <w:i/>
      <w:iCs/>
      <w:sz w:val="20"/>
    </w:rPr>
  </w:style>
  <w:style w:type="paragraph" w:styleId="Subtitle">
    <w:name w:val="Subtitle"/>
    <w:basedOn w:val="Normal"/>
    <w:next w:val="Normal"/>
    <w:link w:val="SubtitleChar"/>
    <w:uiPriority w:val="11"/>
    <w:semiHidden/>
    <w:rsid w:val="00AD7CFC"/>
    <w:pPr>
      <w:numPr>
        <w:ilvl w:val="1"/>
      </w:numPr>
    </w:pPr>
    <w:rPr>
      <w:rFonts w:asciiTheme="majorHAnsi" w:eastAsiaTheme="majorEastAsia" w:hAnsiTheme="majorHAnsi" w:cstheme="majorBidi"/>
      <w:i/>
      <w:iCs/>
      <w:color w:val="2314DC" w:themeColor="accent1"/>
      <w:spacing w:val="15"/>
      <w:sz w:val="24"/>
    </w:rPr>
  </w:style>
  <w:style w:type="character" w:customStyle="1" w:styleId="SubtitleChar">
    <w:name w:val="Subtitle Char"/>
    <w:basedOn w:val="DefaultParagraphFont"/>
    <w:link w:val="Subtitle"/>
    <w:uiPriority w:val="11"/>
    <w:semiHidden/>
    <w:rsid w:val="00AD7CFC"/>
    <w:rPr>
      <w:rFonts w:asciiTheme="majorHAnsi" w:eastAsiaTheme="majorEastAsia" w:hAnsiTheme="majorHAnsi" w:cstheme="majorBidi"/>
      <w:i/>
      <w:iCs/>
      <w:color w:val="2314DC" w:themeColor="accent1"/>
      <w:spacing w:val="15"/>
      <w:lang w:val="en-AU"/>
    </w:rPr>
  </w:style>
  <w:style w:type="paragraph" w:customStyle="1" w:styleId="EmptyHeader">
    <w:name w:val="Empty Header"/>
    <w:basedOn w:val="Header"/>
    <w:rsid w:val="0085252A"/>
    <w:pPr>
      <w:spacing w:line="20" w:lineRule="exact"/>
    </w:pPr>
    <w:rPr>
      <w:sz w:val="2"/>
    </w:rPr>
  </w:style>
  <w:style w:type="paragraph" w:customStyle="1" w:styleId="HeaderSpacer">
    <w:name w:val="Header Spacer"/>
    <w:basedOn w:val="Header"/>
    <w:rsid w:val="00014CF3"/>
    <w:pPr>
      <w:spacing w:line="480" w:lineRule="exact"/>
    </w:pPr>
  </w:style>
  <w:style w:type="table" w:customStyle="1" w:styleId="JacobsBlue">
    <w:name w:val="Jacobs Blue"/>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tcBorders>
          <w:top w:val="single" w:sz="4" w:space="0" w:color="808080"/>
          <w:left w:val="single" w:sz="4" w:space="0" w:color="808080"/>
          <w:bottom w:val="single" w:sz="4" w:space="0" w:color="808080"/>
          <w:right w:val="single" w:sz="4" w:space="0" w:color="808080"/>
          <w:insideH w:val="nil"/>
          <w:insideV w:val="single" w:sz="4" w:space="0" w:color="FFFFFF" w:themeColor="background1"/>
          <w:tl2br w:val="nil"/>
          <w:tr2bl w:val="nil"/>
        </w:tcBorders>
        <w:shd w:val="clear" w:color="auto" w:fill="00338D"/>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table" w:customStyle="1" w:styleId="JacobsGrey">
    <w:name w:val="Jacobs Grey"/>
    <w:basedOn w:val="TableGrid"/>
    <w:uiPriority w:val="99"/>
    <w:rsid w:val="00254801"/>
    <w:tblPr>
      <w:tblStyleRowBandSize w:val="1"/>
      <w:tblStyleColBandSize w:val="1"/>
      <w:tblInd w:w="85" w:type="dxa"/>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Pr>
    <w:tblStylePr w:type="firstRow">
      <w:tblPr/>
      <w:tcPr>
        <w:shd w:val="clear" w:color="auto" w:fill="CFCAC7"/>
      </w:tcPr>
    </w:tblStylePr>
    <w:tblStylePr w:type="lastRow">
      <w:rPr>
        <w:b/>
      </w:rPr>
      <w:tblPr/>
      <w:tcPr>
        <w:tcBorders>
          <w:top w:val="single" w:sz="12" w:space="0" w:color="808080"/>
          <w:left w:val="single" w:sz="4" w:space="0" w:color="808080"/>
          <w:bottom w:val="single" w:sz="4" w:space="0" w:color="808080"/>
          <w:right w:val="single" w:sz="4" w:space="0" w:color="808080"/>
          <w:insideH w:val="nil"/>
          <w:insideV w:val="single" w:sz="4" w:space="0" w:color="808080"/>
          <w:tl2br w:val="nil"/>
          <w:tr2bl w:val="nil"/>
        </w:tcBorders>
        <w:shd w:val="clear" w:color="auto" w:fill="CFCAC7"/>
      </w:tcPr>
    </w:tblStylePr>
    <w:tblStylePr w:type="firstCol">
      <w:tblPr/>
      <w:tcPr>
        <w:shd w:val="clear" w:color="auto" w:fill="E6E5E3"/>
      </w:tcPr>
    </w:tblStylePr>
    <w:tblStylePr w:type="lastCol">
      <w:rPr>
        <w:b/>
      </w:rPr>
      <w:tblPr/>
      <w:tcPr>
        <w:tcBorders>
          <w:top w:val="single" w:sz="4" w:space="0" w:color="808080"/>
          <w:left w:val="single" w:sz="12" w:space="0" w:color="808080"/>
          <w:bottom w:val="single" w:sz="4" w:space="0" w:color="808080"/>
          <w:right w:val="single" w:sz="4" w:space="0" w:color="808080"/>
          <w:insideH w:val="nil"/>
          <w:insideV w:val="nil"/>
          <w:tl2br w:val="nil"/>
          <w:tr2bl w:val="nil"/>
        </w:tcBorders>
        <w:shd w:val="clear" w:color="auto" w:fill="CFCAC7"/>
      </w:tcPr>
    </w:tblStylePr>
    <w:tblStylePr w:type="band2Vert">
      <w:tblPr/>
      <w:tcPr>
        <w:shd w:val="clear" w:color="auto" w:fill="E6E5E3"/>
      </w:tcPr>
    </w:tblStylePr>
    <w:tblStylePr w:type="band2Horz">
      <w:tblPr/>
      <w:tcPr>
        <w:shd w:val="clear" w:color="auto" w:fill="E6E5E3"/>
      </w:tcPr>
    </w:tblStylePr>
    <w:tblStylePr w:type="neCell">
      <w:rPr>
        <w:b/>
      </w:rPr>
    </w:tblStylePr>
    <w:tblStylePr w:type="seCell">
      <w:tblPr/>
      <w:tcPr>
        <w:tcBorders>
          <w:top w:val="single" w:sz="12" w:space="0" w:color="808080"/>
          <w:left w:val="single" w:sz="12" w:space="0" w:color="808080"/>
          <w:bottom w:val="single" w:sz="4" w:space="0" w:color="808080"/>
          <w:right w:val="single" w:sz="4" w:space="0" w:color="808080"/>
          <w:insideH w:val="nil"/>
          <w:insideV w:val="nil"/>
          <w:tl2br w:val="nil"/>
          <w:tr2bl w:val="nil"/>
        </w:tcBorders>
      </w:tcPr>
    </w:tblStylePr>
    <w:tblStylePr w:type="swCell">
      <w:rPr>
        <w:b/>
      </w:rPr>
    </w:tblStylePr>
  </w:style>
  <w:style w:type="paragraph" w:customStyle="1" w:styleId="Name3">
    <w:name w:val="Name 3"/>
    <w:basedOn w:val="Name1"/>
    <w:semiHidden/>
    <w:rsid w:val="00CD27CA"/>
    <w:pPr>
      <w:ind w:left="3402"/>
      <w:jc w:val="left"/>
    </w:pPr>
    <w:rPr>
      <w:lang w:val="en-GB"/>
    </w:rPr>
  </w:style>
  <w:style w:type="paragraph" w:customStyle="1" w:styleId="SummaryBoxBullet">
    <w:name w:val="Summary Box Bullet"/>
    <w:basedOn w:val="Normal"/>
    <w:unhideWhenUsed/>
    <w:rsid w:val="00C01030"/>
    <w:pPr>
      <w:numPr>
        <w:numId w:val="10"/>
      </w:numPr>
    </w:pPr>
    <w:rPr>
      <w:rFonts w:cs="Arial"/>
      <w:color w:val="666666"/>
      <w:szCs w:val="18"/>
      <w:lang w:val="en-GB"/>
    </w:rPr>
  </w:style>
  <w:style w:type="paragraph" w:customStyle="1" w:styleId="SummaryBoxHeading">
    <w:name w:val="Summary Box Heading"/>
    <w:basedOn w:val="Normal"/>
    <w:next w:val="Normal"/>
    <w:unhideWhenUsed/>
    <w:rsid w:val="00C01030"/>
    <w:pPr>
      <w:autoSpaceDE w:val="0"/>
      <w:autoSpaceDN w:val="0"/>
      <w:adjustRightInd w:val="0"/>
      <w:spacing w:after="0" w:line="240" w:lineRule="auto"/>
    </w:pPr>
    <w:rPr>
      <w:rFonts w:cs="Arial"/>
      <w:b/>
      <w:bCs/>
      <w:color w:val="000000"/>
      <w:sz w:val="22"/>
      <w:szCs w:val="22"/>
      <w:lang w:val="en-AU"/>
    </w:rPr>
  </w:style>
  <w:style w:type="paragraph" w:customStyle="1" w:styleId="SummaryBoxText">
    <w:name w:val="Summary Box Text"/>
    <w:basedOn w:val="Normal"/>
    <w:unhideWhenUsed/>
    <w:rsid w:val="00C01030"/>
    <w:pPr>
      <w:autoSpaceDE w:val="0"/>
      <w:autoSpaceDN w:val="0"/>
      <w:adjustRightInd w:val="0"/>
      <w:spacing w:after="60" w:line="240" w:lineRule="auto"/>
    </w:pPr>
    <w:rPr>
      <w:rFonts w:cs="Arial"/>
      <w:bCs/>
      <w:color w:val="666666"/>
      <w:sz w:val="18"/>
      <w:szCs w:val="18"/>
      <w:lang w:val="en-AU"/>
    </w:rPr>
  </w:style>
  <w:style w:type="paragraph" w:customStyle="1" w:styleId="QuoteBoxSubtext">
    <w:name w:val="Quote Box Subtext"/>
    <w:basedOn w:val="Normal"/>
    <w:unhideWhenUsed/>
    <w:rsid w:val="00C01030"/>
    <w:pPr>
      <w:spacing w:after="60" w:line="240" w:lineRule="auto"/>
    </w:pPr>
    <w:rPr>
      <w:rFonts w:cs="Arial"/>
      <w:b/>
      <w:szCs w:val="20"/>
      <w:lang w:val="en-AU"/>
    </w:rPr>
  </w:style>
  <w:style w:type="paragraph" w:customStyle="1" w:styleId="QuoteBoxSubtextItalics">
    <w:name w:val="Quote Box Subtext Italics"/>
    <w:basedOn w:val="QuoteBoxSubtext"/>
    <w:unhideWhenUsed/>
    <w:rsid w:val="00C01030"/>
    <w:rPr>
      <w:b w:val="0"/>
      <w:i/>
    </w:rPr>
  </w:style>
  <w:style w:type="paragraph" w:customStyle="1" w:styleId="QuoteBoxText">
    <w:name w:val="Quote Box Text"/>
    <w:basedOn w:val="Normal"/>
    <w:unhideWhenUsed/>
    <w:rsid w:val="00C01030"/>
    <w:rPr>
      <w:rFonts w:cs="Arial"/>
      <w:b/>
      <w:sz w:val="24"/>
      <w:lang w:val="en-GB"/>
    </w:rPr>
  </w:style>
  <w:style w:type="paragraph" w:customStyle="1" w:styleId="ImageCaptionHeading">
    <w:name w:val="Image Caption Heading"/>
    <w:basedOn w:val="Normal"/>
    <w:next w:val="Normal"/>
    <w:unhideWhenUsed/>
    <w:rsid w:val="00C01030"/>
    <w:pPr>
      <w:spacing w:after="0" w:line="200" w:lineRule="exact"/>
    </w:pPr>
    <w:rPr>
      <w:rFonts w:cs="Arial"/>
      <w:b/>
      <w:color w:val="999999"/>
      <w:sz w:val="16"/>
      <w:szCs w:val="16"/>
      <w:lang w:val="en-AU"/>
    </w:rPr>
  </w:style>
  <w:style w:type="paragraph" w:customStyle="1" w:styleId="ImageCaptionSubtext">
    <w:name w:val="Image Caption Subtext"/>
    <w:basedOn w:val="ImageCaptionHeading"/>
    <w:unhideWhenUsed/>
    <w:rsid w:val="00C01030"/>
    <w:rPr>
      <w:b w:val="0"/>
    </w:rPr>
  </w:style>
  <w:style w:type="numbering" w:customStyle="1" w:styleId="JacobsNumberedList11">
    <w:name w:val="Jacobs Numbered List 1.1"/>
    <w:uiPriority w:val="99"/>
    <w:rsid w:val="00E02A69"/>
    <w:pPr>
      <w:numPr>
        <w:numId w:val="27"/>
      </w:numPr>
    </w:pPr>
  </w:style>
  <w:style w:type="numbering" w:customStyle="1" w:styleId="JacobsNumberedList12">
    <w:name w:val="Jacobs Numbered List 1.2"/>
    <w:uiPriority w:val="99"/>
    <w:rsid w:val="007C4C2F"/>
    <w:pPr>
      <w:numPr>
        <w:numId w:val="28"/>
      </w:numPr>
    </w:pPr>
  </w:style>
  <w:style w:type="numbering" w:customStyle="1" w:styleId="JacobsNumberedList13">
    <w:name w:val="Jacobs Numbered List 1.3"/>
    <w:uiPriority w:val="99"/>
    <w:rsid w:val="00E02A69"/>
    <w:pPr>
      <w:numPr>
        <w:numId w:val="29"/>
      </w:numPr>
    </w:pPr>
  </w:style>
  <w:style w:type="numbering" w:customStyle="1" w:styleId="JacobsNumberedList21">
    <w:name w:val="Jacobs Numbered List 2.1"/>
    <w:uiPriority w:val="99"/>
    <w:rsid w:val="007C4C2F"/>
    <w:pPr>
      <w:numPr>
        <w:numId w:val="30"/>
      </w:numPr>
    </w:pPr>
  </w:style>
  <w:style w:type="numbering" w:customStyle="1" w:styleId="JacobsNumberedList22">
    <w:name w:val="Jacobs Numbered List 2.2"/>
    <w:uiPriority w:val="99"/>
    <w:rsid w:val="008C0C17"/>
    <w:pPr>
      <w:numPr>
        <w:numId w:val="31"/>
      </w:numPr>
    </w:pPr>
  </w:style>
  <w:style w:type="numbering" w:customStyle="1" w:styleId="JacobsNumberedList23">
    <w:name w:val="Jacobs Numbered List 2.3"/>
    <w:uiPriority w:val="99"/>
    <w:rsid w:val="008C0C17"/>
    <w:pPr>
      <w:numPr>
        <w:numId w:val="32"/>
      </w:numPr>
    </w:pPr>
  </w:style>
  <w:style w:type="numbering" w:customStyle="1" w:styleId="JacobsNumberedList31">
    <w:name w:val="Jacobs Numbered List 3.1"/>
    <w:uiPriority w:val="99"/>
    <w:rsid w:val="007C4C2F"/>
    <w:pPr>
      <w:numPr>
        <w:numId w:val="33"/>
      </w:numPr>
    </w:pPr>
  </w:style>
  <w:style w:type="numbering" w:customStyle="1" w:styleId="JacobsNumberedList32">
    <w:name w:val="Jacobs Numbered List 3.2"/>
    <w:uiPriority w:val="99"/>
    <w:rsid w:val="002D7A95"/>
    <w:pPr>
      <w:numPr>
        <w:numId w:val="34"/>
      </w:numPr>
    </w:pPr>
  </w:style>
  <w:style w:type="numbering" w:customStyle="1" w:styleId="JacobsNumberedList33">
    <w:name w:val="Jacobs Numbered List 3.3"/>
    <w:uiPriority w:val="99"/>
    <w:rsid w:val="007C4C2F"/>
    <w:pPr>
      <w:numPr>
        <w:numId w:val="35"/>
      </w:numPr>
    </w:pPr>
  </w:style>
  <w:style w:type="numbering" w:customStyle="1" w:styleId="JacobsNumberedList34">
    <w:name w:val="Jacobs Numbered List 3.4"/>
    <w:uiPriority w:val="99"/>
    <w:rsid w:val="008A127C"/>
    <w:pPr>
      <w:numPr>
        <w:numId w:val="40"/>
      </w:numPr>
    </w:pPr>
  </w:style>
  <w:style w:type="numbering" w:customStyle="1" w:styleId="JacobsNumberedList14">
    <w:name w:val="Jacobs Numbered List 1.4"/>
    <w:uiPriority w:val="99"/>
    <w:rsid w:val="00E02A69"/>
    <w:pPr>
      <w:numPr>
        <w:numId w:val="42"/>
      </w:numPr>
    </w:pPr>
  </w:style>
  <w:style w:type="numbering" w:customStyle="1" w:styleId="JacobsNumberedList24">
    <w:name w:val="Jacobs Numbered List 2.4"/>
    <w:uiPriority w:val="99"/>
    <w:rsid w:val="000E3677"/>
    <w:pPr>
      <w:numPr>
        <w:numId w:val="43"/>
      </w:numPr>
    </w:pPr>
  </w:style>
  <w:style w:type="paragraph" w:customStyle="1" w:styleId="Table2bullet">
    <w:name w:val="Table 2 bullet"/>
    <w:basedOn w:val="Normal"/>
    <w:uiPriority w:val="15"/>
    <w:rsid w:val="009E5D83"/>
    <w:pPr>
      <w:numPr>
        <w:numId w:val="46"/>
      </w:numPr>
      <w:spacing w:before="60" w:after="60"/>
      <w:ind w:left="568" w:hanging="284"/>
    </w:pPr>
  </w:style>
  <w:style w:type="paragraph" w:customStyle="1" w:styleId="Table2number">
    <w:name w:val="Table 2 number"/>
    <w:basedOn w:val="Normal"/>
    <w:uiPriority w:val="15"/>
    <w:rsid w:val="00AA014D"/>
    <w:pPr>
      <w:numPr>
        <w:numId w:val="54"/>
      </w:numPr>
      <w:spacing w:before="60" w:after="60"/>
    </w:pPr>
  </w:style>
  <w:style w:type="paragraph" w:customStyle="1" w:styleId="Table2letter">
    <w:name w:val="Table 2 letter"/>
    <w:basedOn w:val="Normal"/>
    <w:uiPriority w:val="15"/>
    <w:rsid w:val="00AA014D"/>
    <w:pPr>
      <w:numPr>
        <w:numId w:val="55"/>
      </w:numPr>
      <w:spacing w:before="60" w:after="60"/>
    </w:pPr>
  </w:style>
  <w:style w:type="paragraph" w:customStyle="1" w:styleId="Table2item">
    <w:name w:val="Table 2 item"/>
    <w:basedOn w:val="Normal"/>
    <w:uiPriority w:val="15"/>
    <w:rsid w:val="00AA014D"/>
    <w:pPr>
      <w:numPr>
        <w:numId w:val="56"/>
      </w:numPr>
      <w:spacing w:before="60" w:after="60"/>
    </w:pPr>
  </w:style>
  <w:style w:type="paragraph" w:customStyle="1" w:styleId="Table2smallbullet">
    <w:name w:val="Table 2 small bullet"/>
    <w:basedOn w:val="Normal"/>
    <w:uiPriority w:val="16"/>
    <w:rsid w:val="009E5D83"/>
    <w:pPr>
      <w:numPr>
        <w:numId w:val="50"/>
      </w:numPr>
      <w:spacing w:before="40" w:after="40"/>
    </w:pPr>
    <w:rPr>
      <w:sz w:val="16"/>
    </w:rPr>
  </w:style>
  <w:style w:type="paragraph" w:customStyle="1" w:styleId="Table2smallnumber">
    <w:name w:val="Table 2 small number"/>
    <w:basedOn w:val="Normal"/>
    <w:uiPriority w:val="16"/>
    <w:rsid w:val="009E5D83"/>
    <w:pPr>
      <w:numPr>
        <w:numId w:val="51"/>
      </w:numPr>
      <w:spacing w:before="40" w:after="40"/>
    </w:pPr>
    <w:rPr>
      <w:sz w:val="16"/>
    </w:rPr>
  </w:style>
  <w:style w:type="paragraph" w:customStyle="1" w:styleId="Table2smallletter">
    <w:name w:val="Table 2 small letter"/>
    <w:basedOn w:val="Normal"/>
    <w:uiPriority w:val="16"/>
    <w:rsid w:val="009E5D83"/>
    <w:pPr>
      <w:numPr>
        <w:numId w:val="52"/>
      </w:numPr>
      <w:spacing w:before="40" w:after="40"/>
    </w:pPr>
    <w:rPr>
      <w:sz w:val="16"/>
    </w:rPr>
  </w:style>
  <w:style w:type="paragraph" w:customStyle="1" w:styleId="Table2smallitem">
    <w:name w:val="Table 2 small item"/>
    <w:basedOn w:val="Normal"/>
    <w:uiPriority w:val="16"/>
    <w:rsid w:val="009E5D83"/>
    <w:pPr>
      <w:numPr>
        <w:numId w:val="53"/>
      </w:numPr>
      <w:spacing w:before="40" w:after="40"/>
    </w:pPr>
    <w:rPr>
      <w:sz w:val="16"/>
    </w:rPr>
  </w:style>
  <w:style w:type="numbering" w:customStyle="1" w:styleId="JacobsTable2List1">
    <w:name w:val="Jacobs Table 2 List 1"/>
    <w:uiPriority w:val="99"/>
    <w:rsid w:val="003C5544"/>
    <w:pPr>
      <w:numPr>
        <w:numId w:val="45"/>
      </w:numPr>
    </w:pPr>
  </w:style>
  <w:style w:type="numbering" w:customStyle="1" w:styleId="JacobsTable2NumberedList1">
    <w:name w:val="Jacobs Table 2 Numbered List 1"/>
    <w:uiPriority w:val="99"/>
    <w:rsid w:val="00AA014D"/>
    <w:pPr>
      <w:numPr>
        <w:numId w:val="47"/>
      </w:numPr>
    </w:pPr>
  </w:style>
  <w:style w:type="numbering" w:customStyle="1" w:styleId="JacobsTable2NumberdList2">
    <w:name w:val="Jacobs Table 2 Numberd List 2"/>
    <w:uiPriority w:val="99"/>
    <w:rsid w:val="00AA014D"/>
    <w:pPr>
      <w:numPr>
        <w:numId w:val="48"/>
      </w:numPr>
    </w:pPr>
  </w:style>
  <w:style w:type="numbering" w:customStyle="1" w:styleId="JacobsTable2Item">
    <w:name w:val="Jacobs Table 2 Item"/>
    <w:uiPriority w:val="99"/>
    <w:rsid w:val="00AA014D"/>
    <w:pPr>
      <w:numPr>
        <w:numId w:val="49"/>
      </w:numPr>
    </w:pPr>
  </w:style>
  <w:style w:type="numbering" w:customStyle="1" w:styleId="JacobsTable2SmallList1">
    <w:name w:val="Jacobs Table 2 Small List 1"/>
    <w:uiPriority w:val="99"/>
    <w:rsid w:val="00F42C22"/>
    <w:pPr>
      <w:numPr>
        <w:numId w:val="50"/>
      </w:numPr>
    </w:pPr>
  </w:style>
  <w:style w:type="numbering" w:customStyle="1" w:styleId="JacobsTable2SmallNumberedList1">
    <w:name w:val="Jacobs Table 2 Small Numbered List 1"/>
    <w:uiPriority w:val="99"/>
    <w:rsid w:val="00F42C22"/>
    <w:pPr>
      <w:numPr>
        <w:numId w:val="51"/>
      </w:numPr>
    </w:pPr>
  </w:style>
  <w:style w:type="numbering" w:customStyle="1" w:styleId="JacobsTable2SmallNumberedList2">
    <w:name w:val="Jacobs Table 2 Small Numbered List 2"/>
    <w:uiPriority w:val="99"/>
    <w:rsid w:val="00F42C22"/>
    <w:pPr>
      <w:numPr>
        <w:numId w:val="52"/>
      </w:numPr>
    </w:pPr>
  </w:style>
  <w:style w:type="numbering" w:customStyle="1" w:styleId="JacobsTable2SmallItem">
    <w:name w:val="Jacobs Table 2 Small Item"/>
    <w:uiPriority w:val="99"/>
    <w:rsid w:val="00F42C22"/>
    <w:pPr>
      <w:numPr>
        <w:numId w:val="53"/>
      </w:numPr>
    </w:pPr>
  </w:style>
  <w:style w:type="paragraph" w:customStyle="1" w:styleId="SingleSequential">
    <w:name w:val="Single Sequential"/>
    <w:basedOn w:val="Normal"/>
    <w:rsid w:val="006F0FBC"/>
    <w:pPr>
      <w:numPr>
        <w:numId w:val="58"/>
      </w:numPr>
    </w:pPr>
  </w:style>
  <w:style w:type="paragraph" w:customStyle="1" w:styleId="Sequential1">
    <w:name w:val="Sequential 1"/>
    <w:basedOn w:val="SingleSequential"/>
    <w:rsid w:val="00457C9C"/>
    <w:pPr>
      <w:numPr>
        <w:numId w:val="0"/>
      </w:numPr>
    </w:pPr>
  </w:style>
  <w:style w:type="numbering" w:customStyle="1" w:styleId="JacobsSingleSequentialList">
    <w:name w:val="Jacobs Single Sequential List"/>
    <w:uiPriority w:val="99"/>
    <w:rsid w:val="004646A4"/>
    <w:pPr>
      <w:numPr>
        <w:numId w:val="57"/>
      </w:numPr>
    </w:pPr>
  </w:style>
  <w:style w:type="paragraph" w:customStyle="1" w:styleId="Table2heading">
    <w:name w:val="Table 2 heading"/>
    <w:basedOn w:val="Tableheading"/>
    <w:rsid w:val="0008100C"/>
    <w:pPr>
      <w:ind w:left="284"/>
    </w:pPr>
    <w:rPr>
      <w:b w:val="0"/>
      <w:lang w:val="en-AU"/>
    </w:rPr>
  </w:style>
  <w:style w:type="paragraph" w:customStyle="1" w:styleId="Table2smallheading">
    <w:name w:val="Table 2 small heading"/>
    <w:basedOn w:val="Tablesmallheading"/>
    <w:rsid w:val="0008100C"/>
    <w:pPr>
      <w:ind w:left="284"/>
    </w:pPr>
    <w:rPr>
      <w:lang w:val="en-AU"/>
    </w:rPr>
  </w:style>
  <w:style w:type="paragraph" w:customStyle="1" w:styleId="Table2smalltext">
    <w:name w:val="Table 2 small text"/>
    <w:basedOn w:val="Tablesmalltext"/>
    <w:rsid w:val="0008100C"/>
    <w:pPr>
      <w:ind w:left="284"/>
    </w:pPr>
    <w:rPr>
      <w:lang w:val="en-AU"/>
    </w:rPr>
  </w:style>
  <w:style w:type="paragraph" w:customStyle="1" w:styleId="Table2text">
    <w:name w:val="Table 2 text"/>
    <w:basedOn w:val="Tabletext"/>
    <w:rsid w:val="0008100C"/>
    <w:pPr>
      <w:ind w:left="284"/>
    </w:pPr>
    <w:rPr>
      <w:lang w:val="en-AU"/>
    </w:rPr>
  </w:style>
  <w:style w:type="numbering" w:styleId="111111">
    <w:name w:val="Outline List 2"/>
    <w:basedOn w:val="NoList"/>
    <w:uiPriority w:val="99"/>
    <w:semiHidden/>
    <w:unhideWhenUsed/>
    <w:rsid w:val="00B632CF"/>
    <w:pPr>
      <w:numPr>
        <w:numId w:val="59"/>
      </w:numPr>
    </w:pPr>
  </w:style>
  <w:style w:type="numbering" w:styleId="1ai">
    <w:name w:val="Outline List 1"/>
    <w:basedOn w:val="NoList"/>
    <w:uiPriority w:val="99"/>
    <w:semiHidden/>
    <w:unhideWhenUsed/>
    <w:rsid w:val="00B632CF"/>
    <w:pPr>
      <w:numPr>
        <w:numId w:val="60"/>
      </w:numPr>
    </w:pPr>
  </w:style>
  <w:style w:type="numbering" w:styleId="ArticleSection">
    <w:name w:val="Outline List 3"/>
    <w:basedOn w:val="NoList"/>
    <w:uiPriority w:val="99"/>
    <w:semiHidden/>
    <w:unhideWhenUsed/>
    <w:rsid w:val="00B632CF"/>
    <w:pPr>
      <w:numPr>
        <w:numId w:val="61"/>
      </w:numPr>
    </w:pPr>
  </w:style>
  <w:style w:type="paragraph" w:styleId="Bibliography">
    <w:name w:val="Bibliography"/>
    <w:basedOn w:val="Normal"/>
    <w:next w:val="Normal"/>
    <w:uiPriority w:val="37"/>
    <w:semiHidden/>
    <w:unhideWhenUsed/>
    <w:rsid w:val="00B632CF"/>
  </w:style>
  <w:style w:type="paragraph" w:styleId="BlockText">
    <w:name w:val="Block Text"/>
    <w:basedOn w:val="Normal"/>
    <w:uiPriority w:val="99"/>
    <w:semiHidden/>
    <w:unhideWhenUsed/>
    <w:rsid w:val="00B632CF"/>
    <w:pPr>
      <w:pBdr>
        <w:top w:val="single" w:sz="2" w:space="10" w:color="2314DC" w:themeColor="accent1"/>
        <w:left w:val="single" w:sz="2" w:space="10" w:color="2314DC" w:themeColor="accent1"/>
        <w:bottom w:val="single" w:sz="2" w:space="10" w:color="2314DC" w:themeColor="accent1"/>
        <w:right w:val="single" w:sz="2" w:space="10" w:color="2314DC" w:themeColor="accent1"/>
      </w:pBdr>
      <w:ind w:left="1152" w:right="1152"/>
    </w:pPr>
    <w:rPr>
      <w:rFonts w:asciiTheme="minorHAnsi" w:hAnsiTheme="minorHAnsi" w:cstheme="minorBidi"/>
      <w:i/>
      <w:iCs/>
      <w:color w:val="2314DC" w:themeColor="accent1"/>
    </w:rPr>
  </w:style>
  <w:style w:type="paragraph" w:styleId="BodyText">
    <w:name w:val="Body Text"/>
    <w:basedOn w:val="Normal"/>
    <w:link w:val="BodyTextChar"/>
    <w:uiPriority w:val="99"/>
    <w:semiHidden/>
    <w:unhideWhenUsed/>
    <w:rsid w:val="00B632CF"/>
    <w:pPr>
      <w:spacing w:after="120"/>
    </w:pPr>
  </w:style>
  <w:style w:type="character" w:customStyle="1" w:styleId="BodyTextChar">
    <w:name w:val="Body Text Char"/>
    <w:basedOn w:val="DefaultParagraphFont"/>
    <w:link w:val="BodyText"/>
    <w:uiPriority w:val="99"/>
    <w:semiHidden/>
    <w:rsid w:val="00B632CF"/>
    <w:rPr>
      <w:rFonts w:ascii="Jacobs Chronos" w:hAnsi="Jacobs Chronos" w:cs="Jacobs Chronos"/>
      <w:sz w:val="20"/>
    </w:rPr>
  </w:style>
  <w:style w:type="paragraph" w:styleId="BodyText2">
    <w:name w:val="Body Text 2"/>
    <w:basedOn w:val="Normal"/>
    <w:link w:val="BodyText2Char"/>
    <w:uiPriority w:val="99"/>
    <w:semiHidden/>
    <w:unhideWhenUsed/>
    <w:rsid w:val="00B632CF"/>
    <w:pPr>
      <w:spacing w:after="120" w:line="480" w:lineRule="auto"/>
    </w:pPr>
  </w:style>
  <w:style w:type="character" w:customStyle="1" w:styleId="BodyText2Char">
    <w:name w:val="Body Text 2 Char"/>
    <w:basedOn w:val="DefaultParagraphFont"/>
    <w:link w:val="BodyText2"/>
    <w:uiPriority w:val="99"/>
    <w:semiHidden/>
    <w:rsid w:val="00B632CF"/>
    <w:rPr>
      <w:rFonts w:ascii="Jacobs Chronos" w:hAnsi="Jacobs Chronos" w:cs="Jacobs Chronos"/>
      <w:sz w:val="20"/>
    </w:rPr>
  </w:style>
  <w:style w:type="paragraph" w:styleId="BodyText3">
    <w:name w:val="Body Text 3"/>
    <w:basedOn w:val="Normal"/>
    <w:link w:val="BodyText3Char"/>
    <w:uiPriority w:val="99"/>
    <w:semiHidden/>
    <w:unhideWhenUsed/>
    <w:rsid w:val="00B632CF"/>
    <w:pPr>
      <w:spacing w:after="120"/>
    </w:pPr>
    <w:rPr>
      <w:sz w:val="16"/>
      <w:szCs w:val="16"/>
    </w:rPr>
  </w:style>
  <w:style w:type="character" w:customStyle="1" w:styleId="BodyText3Char">
    <w:name w:val="Body Text 3 Char"/>
    <w:basedOn w:val="DefaultParagraphFont"/>
    <w:link w:val="BodyText3"/>
    <w:uiPriority w:val="99"/>
    <w:semiHidden/>
    <w:rsid w:val="00B632CF"/>
    <w:rPr>
      <w:rFonts w:ascii="Jacobs Chronos" w:hAnsi="Jacobs Chronos" w:cs="Jacobs Chronos"/>
      <w:sz w:val="16"/>
      <w:szCs w:val="16"/>
    </w:rPr>
  </w:style>
  <w:style w:type="paragraph" w:styleId="BodyTextFirstIndent">
    <w:name w:val="Body Text First Indent"/>
    <w:basedOn w:val="BodyText"/>
    <w:link w:val="BodyTextFirstIndentChar"/>
    <w:uiPriority w:val="99"/>
    <w:semiHidden/>
    <w:unhideWhenUsed/>
    <w:rsid w:val="00B632CF"/>
    <w:pPr>
      <w:spacing w:after="220"/>
      <w:ind w:firstLine="360"/>
    </w:pPr>
  </w:style>
  <w:style w:type="character" w:customStyle="1" w:styleId="BodyTextFirstIndentChar">
    <w:name w:val="Body Text First Indent Char"/>
    <w:basedOn w:val="BodyTextChar"/>
    <w:link w:val="BodyTextFirstIndent"/>
    <w:uiPriority w:val="99"/>
    <w:semiHidden/>
    <w:rsid w:val="00B632CF"/>
    <w:rPr>
      <w:rFonts w:ascii="Jacobs Chronos" w:hAnsi="Jacobs Chronos" w:cs="Jacobs Chronos"/>
      <w:sz w:val="20"/>
    </w:rPr>
  </w:style>
  <w:style w:type="paragraph" w:styleId="BodyTextIndent">
    <w:name w:val="Body Text Indent"/>
    <w:basedOn w:val="Normal"/>
    <w:link w:val="BodyTextIndentChar"/>
    <w:uiPriority w:val="99"/>
    <w:semiHidden/>
    <w:unhideWhenUsed/>
    <w:rsid w:val="00B632CF"/>
    <w:pPr>
      <w:spacing w:after="120"/>
      <w:ind w:left="283"/>
    </w:pPr>
  </w:style>
  <w:style w:type="character" w:customStyle="1" w:styleId="BodyTextIndentChar">
    <w:name w:val="Body Text Indent Char"/>
    <w:basedOn w:val="DefaultParagraphFont"/>
    <w:link w:val="BodyTextIndent"/>
    <w:uiPriority w:val="99"/>
    <w:semiHidden/>
    <w:rsid w:val="00B632CF"/>
    <w:rPr>
      <w:rFonts w:ascii="Jacobs Chronos" w:hAnsi="Jacobs Chronos" w:cs="Jacobs Chronos"/>
      <w:sz w:val="20"/>
    </w:rPr>
  </w:style>
  <w:style w:type="paragraph" w:styleId="BodyTextFirstIndent2">
    <w:name w:val="Body Text First Indent 2"/>
    <w:basedOn w:val="BodyTextIndent"/>
    <w:link w:val="BodyTextFirstIndent2Char"/>
    <w:uiPriority w:val="99"/>
    <w:semiHidden/>
    <w:unhideWhenUsed/>
    <w:rsid w:val="00B632CF"/>
    <w:pPr>
      <w:spacing w:after="220"/>
      <w:ind w:left="360" w:firstLine="360"/>
    </w:pPr>
  </w:style>
  <w:style w:type="character" w:customStyle="1" w:styleId="BodyTextFirstIndent2Char">
    <w:name w:val="Body Text First Indent 2 Char"/>
    <w:basedOn w:val="BodyTextIndentChar"/>
    <w:link w:val="BodyTextFirstIndent2"/>
    <w:uiPriority w:val="99"/>
    <w:semiHidden/>
    <w:rsid w:val="00B632CF"/>
    <w:rPr>
      <w:rFonts w:ascii="Jacobs Chronos" w:hAnsi="Jacobs Chronos" w:cs="Jacobs Chronos"/>
      <w:sz w:val="20"/>
    </w:rPr>
  </w:style>
  <w:style w:type="paragraph" w:styleId="BodyTextIndent2">
    <w:name w:val="Body Text Indent 2"/>
    <w:basedOn w:val="Normal"/>
    <w:link w:val="BodyTextIndent2Char"/>
    <w:uiPriority w:val="99"/>
    <w:semiHidden/>
    <w:unhideWhenUsed/>
    <w:rsid w:val="00B632CF"/>
    <w:pPr>
      <w:spacing w:after="120" w:line="480" w:lineRule="auto"/>
      <w:ind w:left="283"/>
    </w:pPr>
  </w:style>
  <w:style w:type="character" w:customStyle="1" w:styleId="BodyTextIndent2Char">
    <w:name w:val="Body Text Indent 2 Char"/>
    <w:basedOn w:val="DefaultParagraphFont"/>
    <w:link w:val="BodyTextIndent2"/>
    <w:uiPriority w:val="99"/>
    <w:semiHidden/>
    <w:rsid w:val="00B632CF"/>
    <w:rPr>
      <w:rFonts w:ascii="Jacobs Chronos" w:hAnsi="Jacobs Chronos" w:cs="Jacobs Chronos"/>
      <w:sz w:val="20"/>
    </w:rPr>
  </w:style>
  <w:style w:type="paragraph" w:styleId="BodyTextIndent3">
    <w:name w:val="Body Text Indent 3"/>
    <w:basedOn w:val="Normal"/>
    <w:link w:val="BodyTextIndent3Char"/>
    <w:uiPriority w:val="99"/>
    <w:semiHidden/>
    <w:unhideWhenUsed/>
    <w:rsid w:val="00B632C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632CF"/>
    <w:rPr>
      <w:rFonts w:ascii="Jacobs Chronos" w:hAnsi="Jacobs Chronos" w:cs="Jacobs Chronos"/>
      <w:sz w:val="16"/>
      <w:szCs w:val="16"/>
    </w:rPr>
  </w:style>
  <w:style w:type="character" w:styleId="BookTitle">
    <w:name w:val="Book Title"/>
    <w:basedOn w:val="DefaultParagraphFont"/>
    <w:uiPriority w:val="33"/>
    <w:semiHidden/>
    <w:rsid w:val="00B632CF"/>
    <w:rPr>
      <w:b/>
      <w:bCs/>
      <w:i/>
      <w:iCs/>
      <w:spacing w:val="5"/>
    </w:rPr>
  </w:style>
  <w:style w:type="paragraph" w:styleId="Closing">
    <w:name w:val="Closing"/>
    <w:basedOn w:val="Normal"/>
    <w:link w:val="ClosingChar"/>
    <w:uiPriority w:val="99"/>
    <w:semiHidden/>
    <w:unhideWhenUsed/>
    <w:rsid w:val="00B632CF"/>
    <w:pPr>
      <w:spacing w:after="0" w:line="240" w:lineRule="auto"/>
      <w:ind w:left="4252"/>
    </w:pPr>
  </w:style>
  <w:style w:type="character" w:customStyle="1" w:styleId="ClosingChar">
    <w:name w:val="Closing Char"/>
    <w:basedOn w:val="DefaultParagraphFont"/>
    <w:link w:val="Closing"/>
    <w:uiPriority w:val="99"/>
    <w:semiHidden/>
    <w:rsid w:val="00B632CF"/>
    <w:rPr>
      <w:rFonts w:ascii="Jacobs Chronos" w:hAnsi="Jacobs Chronos" w:cs="Jacobs Chronos"/>
      <w:sz w:val="20"/>
    </w:rPr>
  </w:style>
  <w:style w:type="table" w:styleId="ColorfulGrid">
    <w:name w:val="Colorful Grid"/>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D0CDFA" w:themeFill="accent1" w:themeFillTint="33"/>
    </w:tcPr>
    <w:tblStylePr w:type="firstRow">
      <w:rPr>
        <w:b/>
        <w:bCs/>
      </w:rPr>
      <w:tblPr/>
      <w:tcPr>
        <w:shd w:val="clear" w:color="auto" w:fill="A29CF6" w:themeFill="accent1" w:themeFillTint="66"/>
      </w:tcPr>
    </w:tblStylePr>
    <w:tblStylePr w:type="lastRow">
      <w:rPr>
        <w:b/>
        <w:bCs/>
        <w:color w:val="000000" w:themeColor="text1"/>
      </w:rPr>
      <w:tblPr/>
      <w:tcPr>
        <w:shd w:val="clear" w:color="auto" w:fill="A29CF6" w:themeFill="accent1" w:themeFillTint="66"/>
      </w:tcPr>
    </w:tblStylePr>
    <w:tblStylePr w:type="firstCol">
      <w:rPr>
        <w:color w:val="FFFFFF" w:themeColor="background1"/>
      </w:rPr>
      <w:tblPr/>
      <w:tcPr>
        <w:shd w:val="clear" w:color="auto" w:fill="1A0FA4" w:themeFill="accent1" w:themeFillShade="BF"/>
      </w:tcPr>
    </w:tblStylePr>
    <w:tblStylePr w:type="lastCol">
      <w:rPr>
        <w:color w:val="FFFFFF" w:themeColor="background1"/>
      </w:rPr>
      <w:tblPr/>
      <w:tcPr>
        <w:shd w:val="clear" w:color="auto" w:fill="1A0FA4" w:themeFill="accent1" w:themeFillShade="BF"/>
      </w:tcPr>
    </w:tblStylePr>
    <w:tblStylePr w:type="band1Vert">
      <w:tblPr/>
      <w:tcPr>
        <w:shd w:val="clear" w:color="auto" w:fill="8B83F3" w:themeFill="accent1" w:themeFillTint="7F"/>
      </w:tcPr>
    </w:tblStylePr>
    <w:tblStylePr w:type="band1Horz">
      <w:tblPr/>
      <w:tcPr>
        <w:shd w:val="clear" w:color="auto" w:fill="8B83F3" w:themeFill="accent1" w:themeFillTint="7F"/>
      </w:tcPr>
    </w:tblStylePr>
  </w:style>
  <w:style w:type="table" w:styleId="ColorfulGrid-Accent2">
    <w:name w:val="Colorful Grid Accent 2"/>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FAFFE" w:themeFill="accent2" w:themeFillTint="33"/>
    </w:tcPr>
    <w:tblStylePr w:type="firstRow">
      <w:rPr>
        <w:b/>
        <w:bCs/>
      </w:rPr>
      <w:tblPr/>
      <w:tcPr>
        <w:shd w:val="clear" w:color="auto" w:fill="FF5FFD" w:themeFill="accent2" w:themeFillTint="66"/>
      </w:tcPr>
    </w:tblStylePr>
    <w:tblStylePr w:type="lastRow">
      <w:rPr>
        <w:b/>
        <w:bCs/>
        <w:color w:val="000000" w:themeColor="text1"/>
      </w:rPr>
      <w:tblPr/>
      <w:tcPr>
        <w:shd w:val="clear" w:color="auto" w:fill="FF5FFD" w:themeFill="accent2" w:themeFillTint="66"/>
      </w:tcPr>
    </w:tblStylePr>
    <w:tblStylePr w:type="firstCol">
      <w:rPr>
        <w:color w:val="FFFFFF" w:themeColor="background1"/>
      </w:rPr>
      <w:tblPr/>
      <w:tcPr>
        <w:shd w:val="clear" w:color="auto" w:fill="530052" w:themeFill="accent2" w:themeFillShade="BF"/>
      </w:tcPr>
    </w:tblStylePr>
    <w:tblStylePr w:type="lastCol">
      <w:rPr>
        <w:color w:val="FFFFFF" w:themeColor="background1"/>
      </w:rPr>
      <w:tblPr/>
      <w:tcPr>
        <w:shd w:val="clear" w:color="auto" w:fill="530052" w:themeFill="accent2" w:themeFillShade="BF"/>
      </w:tc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ColorfulGrid-Accent3">
    <w:name w:val="Colorful Grid Accent 3"/>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7D4DB" w:themeFill="accent3" w:themeFillTint="33"/>
    </w:tcPr>
    <w:tblStylePr w:type="firstRow">
      <w:rPr>
        <w:b/>
        <w:bCs/>
      </w:rPr>
      <w:tblPr/>
      <w:tcPr>
        <w:shd w:val="clear" w:color="auto" w:fill="EFA9B8" w:themeFill="accent3" w:themeFillTint="66"/>
      </w:tcPr>
    </w:tblStylePr>
    <w:tblStylePr w:type="lastRow">
      <w:rPr>
        <w:b/>
        <w:bCs/>
        <w:color w:val="000000" w:themeColor="text1"/>
      </w:rPr>
      <w:tblPr/>
      <w:tcPr>
        <w:shd w:val="clear" w:color="auto" w:fill="EFA9B8" w:themeFill="accent3" w:themeFillTint="66"/>
      </w:tcPr>
    </w:tblStylePr>
    <w:tblStylePr w:type="firstCol">
      <w:rPr>
        <w:color w:val="FFFFFF" w:themeColor="background1"/>
      </w:rPr>
      <w:tblPr/>
      <w:tcPr>
        <w:shd w:val="clear" w:color="auto" w:fill="A11E3B" w:themeFill="accent3" w:themeFillShade="BF"/>
      </w:tcPr>
    </w:tblStylePr>
    <w:tblStylePr w:type="lastCol">
      <w:rPr>
        <w:color w:val="FFFFFF" w:themeColor="background1"/>
      </w:rPr>
      <w:tblPr/>
      <w:tcPr>
        <w:shd w:val="clear" w:color="auto" w:fill="A11E3B" w:themeFill="accent3" w:themeFillShade="BF"/>
      </w:tc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ColorfulGrid-Accent4">
    <w:name w:val="Colorful Grid Accent 4"/>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FEBD0" w:themeFill="accent4" w:themeFillTint="33"/>
    </w:tcPr>
    <w:tblStylePr w:type="firstRow">
      <w:rPr>
        <w:b/>
        <w:bCs/>
      </w:rPr>
      <w:tblPr/>
      <w:tcPr>
        <w:shd w:val="clear" w:color="auto" w:fill="FFD8A1" w:themeFill="accent4" w:themeFillTint="66"/>
      </w:tcPr>
    </w:tblStylePr>
    <w:tblStylePr w:type="lastRow">
      <w:rPr>
        <w:b/>
        <w:bCs/>
        <w:color w:val="000000" w:themeColor="text1"/>
      </w:rPr>
      <w:tblPr/>
      <w:tcPr>
        <w:shd w:val="clear" w:color="auto" w:fill="FFD8A1" w:themeFill="accent4" w:themeFillTint="66"/>
      </w:tcPr>
    </w:tblStylePr>
    <w:tblStylePr w:type="firstCol">
      <w:rPr>
        <w:color w:val="FFFFFF" w:themeColor="background1"/>
      </w:rPr>
      <w:tblPr/>
      <w:tcPr>
        <w:shd w:val="clear" w:color="auto" w:fill="CD7900" w:themeFill="accent4" w:themeFillShade="BF"/>
      </w:tcPr>
    </w:tblStylePr>
    <w:tblStylePr w:type="lastCol">
      <w:rPr>
        <w:color w:val="FFFFFF" w:themeColor="background1"/>
      </w:rPr>
      <w:tblPr/>
      <w:tcPr>
        <w:shd w:val="clear" w:color="auto" w:fill="CD7900" w:themeFill="accent4" w:themeFillShade="BF"/>
      </w:tc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ColorfulGrid-Accent5">
    <w:name w:val="Colorful Grid Accent 5"/>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B2FFE6" w:themeFill="accent5" w:themeFillTint="33"/>
    </w:tcPr>
    <w:tblStylePr w:type="firstRow">
      <w:rPr>
        <w:b/>
        <w:bCs/>
      </w:rPr>
      <w:tblPr/>
      <w:tcPr>
        <w:shd w:val="clear" w:color="auto" w:fill="65FFCD" w:themeFill="accent5" w:themeFillTint="66"/>
      </w:tcPr>
    </w:tblStylePr>
    <w:tblStylePr w:type="lastRow">
      <w:rPr>
        <w:b/>
        <w:bCs/>
        <w:color w:val="000000" w:themeColor="text1"/>
      </w:rPr>
      <w:tblPr/>
      <w:tcPr>
        <w:shd w:val="clear" w:color="auto" w:fill="65FFCD" w:themeFill="accent5" w:themeFillTint="66"/>
      </w:tcPr>
    </w:tblStylePr>
    <w:tblStylePr w:type="firstCol">
      <w:rPr>
        <w:color w:val="FFFFFF" w:themeColor="background1"/>
      </w:rPr>
      <w:tblPr/>
      <w:tcPr>
        <w:shd w:val="clear" w:color="auto" w:fill="005D3F" w:themeFill="accent5" w:themeFillShade="BF"/>
      </w:tcPr>
    </w:tblStylePr>
    <w:tblStylePr w:type="lastCol">
      <w:rPr>
        <w:color w:val="FFFFFF" w:themeColor="background1"/>
      </w:rPr>
      <w:tblPr/>
      <w:tcPr>
        <w:shd w:val="clear" w:color="auto" w:fill="005D3F" w:themeFill="accent5" w:themeFillShade="BF"/>
      </w:tc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ColorfulGrid-Accent6">
    <w:name w:val="Colorful Grid Accent 6"/>
    <w:basedOn w:val="TableNormal"/>
    <w:uiPriority w:val="73"/>
    <w:semiHidden/>
    <w:unhideWhenUsed/>
    <w:rsid w:val="00B632CF"/>
    <w:rPr>
      <w:color w:val="000000" w:themeColor="text1"/>
    </w:rPr>
    <w:tblPr>
      <w:tblStyleRowBandSize w:val="1"/>
      <w:tblStyleColBandSize w:val="1"/>
      <w:tblBorders>
        <w:insideH w:val="single" w:sz="4" w:space="0" w:color="FFFFFF" w:themeColor="background1"/>
      </w:tblBorders>
    </w:tblPr>
    <w:tcPr>
      <w:shd w:val="clear" w:color="auto" w:fill="F4F4F4" w:themeFill="accent6" w:themeFillTint="33"/>
    </w:tcPr>
    <w:tblStylePr w:type="firstRow">
      <w:rPr>
        <w:b/>
        <w:bCs/>
      </w:rPr>
      <w:tblPr/>
      <w:tcPr>
        <w:shd w:val="clear" w:color="auto" w:fill="E9E9E9" w:themeFill="accent6" w:themeFillTint="66"/>
      </w:tcPr>
    </w:tblStylePr>
    <w:tblStylePr w:type="lastRow">
      <w:rPr>
        <w:b/>
        <w:bCs/>
        <w:color w:val="000000" w:themeColor="text1"/>
      </w:rPr>
      <w:tblPr/>
      <w:tcPr>
        <w:shd w:val="clear" w:color="auto" w:fill="E9E9E9" w:themeFill="accent6" w:themeFillTint="66"/>
      </w:tcPr>
    </w:tblStylePr>
    <w:tblStylePr w:type="firstCol">
      <w:rPr>
        <w:color w:val="FFFFFF" w:themeColor="background1"/>
      </w:rPr>
      <w:tblPr/>
      <w:tcPr>
        <w:shd w:val="clear" w:color="auto" w:fill="959595" w:themeFill="accent6" w:themeFillShade="BF"/>
      </w:tcPr>
    </w:tblStylePr>
    <w:tblStylePr w:type="lastCol">
      <w:rPr>
        <w:color w:val="FFFFFF" w:themeColor="background1"/>
      </w:rPr>
      <w:tblPr/>
      <w:tcPr>
        <w:shd w:val="clear" w:color="auto" w:fill="959595" w:themeFill="accent6" w:themeFillShade="BF"/>
      </w:tcPr>
    </w:tblStylePr>
    <w:tblStylePr w:type="band1Vert">
      <w:tblPr/>
      <w:tcPr>
        <w:shd w:val="clear" w:color="auto" w:fill="E3E3E3" w:themeFill="accent6" w:themeFillTint="7F"/>
      </w:tcPr>
    </w:tblStylePr>
    <w:tblStylePr w:type="band1Horz">
      <w:tblPr/>
      <w:tcPr>
        <w:shd w:val="clear" w:color="auto" w:fill="E3E3E3" w:themeFill="accent6" w:themeFillTint="7F"/>
      </w:tcPr>
    </w:tblStylePr>
  </w:style>
  <w:style w:type="table" w:styleId="ColorfulList">
    <w:name w:val="Colorful List"/>
    <w:basedOn w:val="TableNormal"/>
    <w:uiPriority w:val="72"/>
    <w:semiHidden/>
    <w:unhideWhenUsed/>
    <w:rsid w:val="00B632CF"/>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B632CF"/>
    <w:rPr>
      <w:color w:val="000000" w:themeColor="text1"/>
    </w:rPr>
    <w:tblPr>
      <w:tblStyleRowBandSize w:val="1"/>
      <w:tblStyleColBandSize w:val="1"/>
    </w:tblPr>
    <w:tcPr>
      <w:shd w:val="clear" w:color="auto" w:fill="E8E6FC" w:themeFill="accent1"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5C1F9" w:themeFill="accent1" w:themeFillTint="3F"/>
      </w:tcPr>
    </w:tblStylePr>
    <w:tblStylePr w:type="band1Horz">
      <w:tblPr/>
      <w:tcPr>
        <w:shd w:val="clear" w:color="auto" w:fill="D0CDFA" w:themeFill="accent1" w:themeFillTint="33"/>
      </w:tcPr>
    </w:tblStylePr>
  </w:style>
  <w:style w:type="table" w:styleId="ColorfulList-Accent2">
    <w:name w:val="Colorful List Accent 2"/>
    <w:basedOn w:val="TableNormal"/>
    <w:uiPriority w:val="72"/>
    <w:semiHidden/>
    <w:unhideWhenUsed/>
    <w:rsid w:val="00B632CF"/>
    <w:rPr>
      <w:color w:val="000000" w:themeColor="text1"/>
    </w:rPr>
    <w:tblPr>
      <w:tblStyleRowBandSize w:val="1"/>
      <w:tblStyleColBandSize w:val="1"/>
    </w:tblPr>
    <w:tcPr>
      <w:shd w:val="clear" w:color="auto" w:fill="FFD7FE" w:themeFill="accent2" w:themeFillTint="19"/>
    </w:tcPr>
    <w:tblStylePr w:type="firstRow">
      <w:rPr>
        <w:b/>
        <w:bCs/>
        <w:color w:val="FFFFFF" w:themeColor="background1"/>
      </w:rPr>
      <w:tblPr/>
      <w:tcPr>
        <w:tcBorders>
          <w:bottom w:val="single" w:sz="12" w:space="0" w:color="FFFFFF" w:themeColor="background1"/>
        </w:tcBorders>
        <w:shd w:val="clear" w:color="auto" w:fill="580057" w:themeFill="accent2" w:themeFillShade="CC"/>
      </w:tcPr>
    </w:tblStylePr>
    <w:tblStylePr w:type="lastRow">
      <w:rPr>
        <w:b/>
        <w:bCs/>
        <w:color w:val="580057"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9CFD" w:themeFill="accent2" w:themeFillTint="3F"/>
      </w:tcPr>
    </w:tblStylePr>
    <w:tblStylePr w:type="band1Horz">
      <w:tblPr/>
      <w:tcPr>
        <w:shd w:val="clear" w:color="auto" w:fill="FFAFFE" w:themeFill="accent2" w:themeFillTint="33"/>
      </w:tcPr>
    </w:tblStylePr>
  </w:style>
  <w:style w:type="table" w:styleId="ColorfulList-Accent3">
    <w:name w:val="Colorful List Accent 3"/>
    <w:basedOn w:val="TableNormal"/>
    <w:uiPriority w:val="72"/>
    <w:semiHidden/>
    <w:unhideWhenUsed/>
    <w:rsid w:val="00B632CF"/>
    <w:rPr>
      <w:color w:val="000000" w:themeColor="text1"/>
    </w:rPr>
    <w:tblPr>
      <w:tblStyleRowBandSize w:val="1"/>
      <w:tblStyleColBandSize w:val="1"/>
    </w:tblPr>
    <w:tcPr>
      <w:shd w:val="clear" w:color="auto" w:fill="FBE9ED" w:themeFill="accent3" w:themeFillTint="19"/>
    </w:tcPr>
    <w:tblStylePr w:type="firstRow">
      <w:rPr>
        <w:b/>
        <w:bCs/>
        <w:color w:val="FFFFFF" w:themeColor="background1"/>
      </w:rPr>
      <w:tblPr/>
      <w:tcPr>
        <w:tcBorders>
          <w:bottom w:val="single" w:sz="12" w:space="0" w:color="FFFFFF" w:themeColor="background1"/>
        </w:tcBorders>
        <w:shd w:val="clear" w:color="auto" w:fill="DC8200" w:themeFill="accent4" w:themeFillShade="CC"/>
      </w:tcPr>
    </w:tblStylePr>
    <w:tblStylePr w:type="lastRow">
      <w:rPr>
        <w:b/>
        <w:bCs/>
        <w:color w:val="DC82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5C9D3" w:themeFill="accent3" w:themeFillTint="3F"/>
      </w:tcPr>
    </w:tblStylePr>
    <w:tblStylePr w:type="band1Horz">
      <w:tblPr/>
      <w:tcPr>
        <w:shd w:val="clear" w:color="auto" w:fill="F7D4DB" w:themeFill="accent3" w:themeFillTint="33"/>
      </w:tcPr>
    </w:tblStylePr>
  </w:style>
  <w:style w:type="table" w:styleId="ColorfulList-Accent4">
    <w:name w:val="Colorful List Accent 4"/>
    <w:basedOn w:val="TableNormal"/>
    <w:uiPriority w:val="72"/>
    <w:semiHidden/>
    <w:unhideWhenUsed/>
    <w:rsid w:val="00B632CF"/>
    <w:rPr>
      <w:color w:val="000000" w:themeColor="text1"/>
    </w:rPr>
    <w:tblPr>
      <w:tblStyleRowBandSize w:val="1"/>
      <w:tblStyleColBandSize w:val="1"/>
    </w:tblPr>
    <w:tcPr>
      <w:shd w:val="clear" w:color="auto" w:fill="FFF5E7" w:themeFill="accent4" w:themeFillTint="19"/>
    </w:tcPr>
    <w:tblStylePr w:type="firstRow">
      <w:rPr>
        <w:b/>
        <w:bCs/>
        <w:color w:val="FFFFFF" w:themeColor="background1"/>
      </w:rPr>
      <w:tblPr/>
      <w:tcPr>
        <w:tcBorders>
          <w:bottom w:val="single" w:sz="12" w:space="0" w:color="FFFFFF" w:themeColor="background1"/>
        </w:tcBorders>
        <w:shd w:val="clear" w:color="auto" w:fill="AC203F" w:themeFill="accent3" w:themeFillShade="CC"/>
      </w:tcPr>
    </w:tblStylePr>
    <w:tblStylePr w:type="lastRow">
      <w:rPr>
        <w:b/>
        <w:bCs/>
        <w:color w:val="AC203F"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7C4" w:themeFill="accent4" w:themeFillTint="3F"/>
      </w:tcPr>
    </w:tblStylePr>
    <w:tblStylePr w:type="band1Horz">
      <w:tblPr/>
      <w:tcPr>
        <w:shd w:val="clear" w:color="auto" w:fill="FFEBD0" w:themeFill="accent4" w:themeFillTint="33"/>
      </w:tcPr>
    </w:tblStylePr>
  </w:style>
  <w:style w:type="table" w:styleId="ColorfulList-Accent5">
    <w:name w:val="Colorful List Accent 5"/>
    <w:basedOn w:val="TableNormal"/>
    <w:uiPriority w:val="72"/>
    <w:semiHidden/>
    <w:unhideWhenUsed/>
    <w:rsid w:val="00B632CF"/>
    <w:rPr>
      <w:color w:val="000000" w:themeColor="text1"/>
    </w:rPr>
    <w:tblPr>
      <w:tblStyleRowBandSize w:val="1"/>
      <w:tblStyleColBandSize w:val="1"/>
    </w:tblPr>
    <w:tcPr>
      <w:shd w:val="clear" w:color="auto" w:fill="D9FFF2" w:themeFill="accent5" w:themeFillTint="19"/>
    </w:tcPr>
    <w:tblStylePr w:type="firstRow">
      <w:rPr>
        <w:b/>
        <w:bCs/>
        <w:color w:val="FFFFFF" w:themeColor="background1"/>
      </w:rPr>
      <w:tblPr/>
      <w:tcPr>
        <w:tcBorders>
          <w:bottom w:val="single" w:sz="12" w:space="0" w:color="FFFFFF" w:themeColor="background1"/>
        </w:tcBorders>
        <w:shd w:val="clear" w:color="auto" w:fill="A0A0A0" w:themeFill="accent6" w:themeFillShade="CC"/>
      </w:tcPr>
    </w:tblStylePr>
    <w:tblStylePr w:type="lastRow">
      <w:rPr>
        <w:b/>
        <w:bCs/>
        <w:color w:val="A0A0A0"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9FFFE0" w:themeFill="accent5" w:themeFillTint="3F"/>
      </w:tcPr>
    </w:tblStylePr>
    <w:tblStylePr w:type="band1Horz">
      <w:tblPr/>
      <w:tcPr>
        <w:shd w:val="clear" w:color="auto" w:fill="B2FFE6" w:themeFill="accent5" w:themeFillTint="33"/>
      </w:tcPr>
    </w:tblStylePr>
  </w:style>
  <w:style w:type="table" w:styleId="ColorfulList-Accent6">
    <w:name w:val="Colorful List Accent 6"/>
    <w:basedOn w:val="TableNormal"/>
    <w:uiPriority w:val="72"/>
    <w:semiHidden/>
    <w:unhideWhenUsed/>
    <w:rsid w:val="00B632CF"/>
    <w:rPr>
      <w:color w:val="000000" w:themeColor="text1"/>
    </w:rPr>
    <w:tblPr>
      <w:tblStyleRowBandSize w:val="1"/>
      <w:tblStyleColBandSize w:val="1"/>
    </w:tblPr>
    <w:tcPr>
      <w:shd w:val="clear" w:color="auto" w:fill="F9F9F9" w:themeFill="accent6" w:themeFillTint="19"/>
    </w:tcPr>
    <w:tblStylePr w:type="firstRow">
      <w:rPr>
        <w:b/>
        <w:bCs/>
        <w:color w:val="FFFFFF" w:themeColor="background1"/>
      </w:rPr>
      <w:tblPr/>
      <w:tcPr>
        <w:tcBorders>
          <w:bottom w:val="single" w:sz="12" w:space="0" w:color="FFFFFF" w:themeColor="background1"/>
        </w:tcBorders>
        <w:shd w:val="clear" w:color="auto" w:fill="006443" w:themeFill="accent5" w:themeFillShade="CC"/>
      </w:tcPr>
    </w:tblStylePr>
    <w:tblStylePr w:type="lastRow">
      <w:rPr>
        <w:b/>
        <w:bCs/>
        <w:color w:val="006443"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1F1F1" w:themeFill="accent6" w:themeFillTint="3F"/>
      </w:tcPr>
    </w:tblStylePr>
    <w:tblStylePr w:type="band1Horz">
      <w:tblPr/>
      <w:tcPr>
        <w:shd w:val="clear" w:color="auto" w:fill="F4F4F4" w:themeFill="accent6" w:themeFillTint="33"/>
      </w:tcPr>
    </w:tblStylePr>
  </w:style>
  <w:style w:type="table" w:styleId="ColorfulShading">
    <w:name w:val="Colorful Shading"/>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2314DC" w:themeColor="accent1"/>
        <w:bottom w:val="single" w:sz="4" w:space="0" w:color="2314DC" w:themeColor="accent1"/>
        <w:right w:val="single" w:sz="4" w:space="0" w:color="2314DC" w:themeColor="accent1"/>
        <w:insideH w:val="single" w:sz="4" w:space="0" w:color="FFFFFF" w:themeColor="background1"/>
        <w:insideV w:val="single" w:sz="4" w:space="0" w:color="FFFFFF" w:themeColor="background1"/>
      </w:tblBorders>
    </w:tblPr>
    <w:tcPr>
      <w:shd w:val="clear" w:color="auto" w:fill="E8E6FC" w:themeFill="accent1"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140C84" w:themeFill="accent1" w:themeFillShade="99"/>
      </w:tcPr>
    </w:tblStylePr>
    <w:tblStylePr w:type="firstCol">
      <w:rPr>
        <w:color w:val="FFFFFF" w:themeColor="background1"/>
      </w:rPr>
      <w:tblPr/>
      <w:tcPr>
        <w:tcBorders>
          <w:top w:val="nil"/>
          <w:left w:val="nil"/>
          <w:bottom w:val="nil"/>
          <w:right w:val="nil"/>
          <w:insideH w:val="single" w:sz="4" w:space="0" w:color="140C84" w:themeColor="accent1" w:themeShade="99"/>
          <w:insideV w:val="nil"/>
        </w:tcBorders>
        <w:shd w:val="clear" w:color="auto" w:fill="140C8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140C84" w:themeFill="accent1" w:themeFillShade="99"/>
      </w:tcPr>
    </w:tblStylePr>
    <w:tblStylePr w:type="band1Vert">
      <w:tblPr/>
      <w:tcPr>
        <w:shd w:val="clear" w:color="auto" w:fill="A29CF6" w:themeFill="accent1" w:themeFillTint="66"/>
      </w:tcPr>
    </w:tblStylePr>
    <w:tblStylePr w:type="band1Horz">
      <w:tblPr/>
      <w:tcPr>
        <w:shd w:val="clear" w:color="auto" w:fill="8B83F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B632CF"/>
    <w:rPr>
      <w:color w:val="000000" w:themeColor="text1"/>
    </w:rPr>
    <w:tblPr>
      <w:tblStyleRowBandSize w:val="1"/>
      <w:tblStyleColBandSize w:val="1"/>
      <w:tblBorders>
        <w:top w:val="single" w:sz="24" w:space="0" w:color="6F006E" w:themeColor="accent2"/>
        <w:left w:val="single" w:sz="4" w:space="0" w:color="6F006E" w:themeColor="accent2"/>
        <w:bottom w:val="single" w:sz="4" w:space="0" w:color="6F006E" w:themeColor="accent2"/>
        <w:right w:val="single" w:sz="4" w:space="0" w:color="6F006E" w:themeColor="accent2"/>
        <w:insideH w:val="single" w:sz="4" w:space="0" w:color="FFFFFF" w:themeColor="background1"/>
        <w:insideV w:val="single" w:sz="4" w:space="0" w:color="FFFFFF" w:themeColor="background1"/>
      </w:tblBorders>
    </w:tblPr>
    <w:tcPr>
      <w:shd w:val="clear" w:color="auto" w:fill="FFD7FE" w:themeFill="accent2" w:themeFillTint="19"/>
    </w:tcPr>
    <w:tblStylePr w:type="firstRow">
      <w:rPr>
        <w:b/>
        <w:bCs/>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20041" w:themeFill="accent2" w:themeFillShade="99"/>
      </w:tcPr>
    </w:tblStylePr>
    <w:tblStylePr w:type="firstCol">
      <w:rPr>
        <w:color w:val="FFFFFF" w:themeColor="background1"/>
      </w:rPr>
      <w:tblPr/>
      <w:tcPr>
        <w:tcBorders>
          <w:top w:val="nil"/>
          <w:left w:val="nil"/>
          <w:bottom w:val="nil"/>
          <w:right w:val="nil"/>
          <w:insideH w:val="single" w:sz="4" w:space="0" w:color="420041" w:themeColor="accent2" w:themeShade="99"/>
          <w:insideV w:val="nil"/>
        </w:tcBorders>
        <w:shd w:val="clear" w:color="auto" w:fill="420041"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420041" w:themeFill="accent2" w:themeFillShade="99"/>
      </w:tcPr>
    </w:tblStylePr>
    <w:tblStylePr w:type="band1Vert">
      <w:tblPr/>
      <w:tcPr>
        <w:shd w:val="clear" w:color="auto" w:fill="FF5FFD" w:themeFill="accent2" w:themeFillTint="66"/>
      </w:tcPr>
    </w:tblStylePr>
    <w:tblStylePr w:type="band1Horz">
      <w:tblPr/>
      <w:tcPr>
        <w:shd w:val="clear" w:color="auto" w:fill="FF38F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B632CF"/>
    <w:rPr>
      <w:color w:val="000000" w:themeColor="text1"/>
    </w:rPr>
    <w:tblPr>
      <w:tblStyleRowBandSize w:val="1"/>
      <w:tblStyleColBandSize w:val="1"/>
      <w:tblBorders>
        <w:top w:val="single" w:sz="24" w:space="0" w:color="FFA014" w:themeColor="accent4"/>
        <w:left w:val="single" w:sz="4" w:space="0" w:color="D72850" w:themeColor="accent3"/>
        <w:bottom w:val="single" w:sz="4" w:space="0" w:color="D72850" w:themeColor="accent3"/>
        <w:right w:val="single" w:sz="4" w:space="0" w:color="D72850" w:themeColor="accent3"/>
        <w:insideH w:val="single" w:sz="4" w:space="0" w:color="FFFFFF" w:themeColor="background1"/>
        <w:insideV w:val="single" w:sz="4" w:space="0" w:color="FFFFFF" w:themeColor="background1"/>
      </w:tblBorders>
    </w:tblPr>
    <w:tcPr>
      <w:shd w:val="clear" w:color="auto" w:fill="FBE9ED" w:themeFill="accent3" w:themeFillTint="19"/>
    </w:tcPr>
    <w:tblStylePr w:type="firstRow">
      <w:rPr>
        <w:b/>
        <w:bCs/>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81182F" w:themeFill="accent3" w:themeFillShade="99"/>
      </w:tcPr>
    </w:tblStylePr>
    <w:tblStylePr w:type="firstCol">
      <w:rPr>
        <w:color w:val="FFFFFF" w:themeColor="background1"/>
      </w:rPr>
      <w:tblPr/>
      <w:tcPr>
        <w:tcBorders>
          <w:top w:val="nil"/>
          <w:left w:val="nil"/>
          <w:bottom w:val="nil"/>
          <w:right w:val="nil"/>
          <w:insideH w:val="single" w:sz="4" w:space="0" w:color="81182F" w:themeColor="accent3" w:themeShade="99"/>
          <w:insideV w:val="nil"/>
        </w:tcBorders>
        <w:shd w:val="clear" w:color="auto" w:fill="81182F"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81182F" w:themeFill="accent3" w:themeFillShade="99"/>
      </w:tcPr>
    </w:tblStylePr>
    <w:tblStylePr w:type="band1Vert">
      <w:tblPr/>
      <w:tcPr>
        <w:shd w:val="clear" w:color="auto" w:fill="EFA9B8" w:themeFill="accent3" w:themeFillTint="66"/>
      </w:tcPr>
    </w:tblStylePr>
    <w:tblStylePr w:type="band1Horz">
      <w:tblPr/>
      <w:tcPr>
        <w:shd w:val="clear" w:color="auto" w:fill="EB93A7" w:themeFill="accent3" w:themeFillTint="7F"/>
      </w:tcPr>
    </w:tblStylePr>
  </w:style>
  <w:style w:type="table" w:styleId="ColorfulShading-Accent4">
    <w:name w:val="Colorful Shading Accent 4"/>
    <w:basedOn w:val="TableNormal"/>
    <w:uiPriority w:val="71"/>
    <w:semiHidden/>
    <w:unhideWhenUsed/>
    <w:rsid w:val="00B632CF"/>
    <w:rPr>
      <w:color w:val="000000" w:themeColor="text1"/>
    </w:rPr>
    <w:tblPr>
      <w:tblStyleRowBandSize w:val="1"/>
      <w:tblStyleColBandSize w:val="1"/>
      <w:tblBorders>
        <w:top w:val="single" w:sz="24" w:space="0" w:color="D72850" w:themeColor="accent3"/>
        <w:left w:val="single" w:sz="4" w:space="0" w:color="FFA014" w:themeColor="accent4"/>
        <w:bottom w:val="single" w:sz="4" w:space="0" w:color="FFA014" w:themeColor="accent4"/>
        <w:right w:val="single" w:sz="4" w:space="0" w:color="FFA014" w:themeColor="accent4"/>
        <w:insideH w:val="single" w:sz="4" w:space="0" w:color="FFFFFF" w:themeColor="background1"/>
        <w:insideV w:val="single" w:sz="4" w:space="0" w:color="FFFFFF" w:themeColor="background1"/>
      </w:tblBorders>
    </w:tblPr>
    <w:tcPr>
      <w:shd w:val="clear" w:color="auto" w:fill="FFF5E7" w:themeFill="accent4" w:themeFillTint="19"/>
    </w:tcPr>
    <w:tblStylePr w:type="firstRow">
      <w:rPr>
        <w:b/>
        <w:bCs/>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56100" w:themeFill="accent4" w:themeFillShade="99"/>
      </w:tcPr>
    </w:tblStylePr>
    <w:tblStylePr w:type="firstCol">
      <w:rPr>
        <w:color w:val="FFFFFF" w:themeColor="background1"/>
      </w:rPr>
      <w:tblPr/>
      <w:tcPr>
        <w:tcBorders>
          <w:top w:val="nil"/>
          <w:left w:val="nil"/>
          <w:bottom w:val="nil"/>
          <w:right w:val="nil"/>
          <w:insideH w:val="single" w:sz="4" w:space="0" w:color="A56100" w:themeColor="accent4" w:themeShade="99"/>
          <w:insideV w:val="nil"/>
        </w:tcBorders>
        <w:shd w:val="clear" w:color="auto" w:fill="A561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56100" w:themeFill="accent4" w:themeFillShade="99"/>
      </w:tcPr>
    </w:tblStylePr>
    <w:tblStylePr w:type="band1Vert">
      <w:tblPr/>
      <w:tcPr>
        <w:shd w:val="clear" w:color="auto" w:fill="FFD8A1" w:themeFill="accent4" w:themeFillTint="66"/>
      </w:tcPr>
    </w:tblStylePr>
    <w:tblStylePr w:type="band1Horz">
      <w:tblPr/>
      <w:tcPr>
        <w:shd w:val="clear" w:color="auto" w:fill="FFCF8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B632CF"/>
    <w:rPr>
      <w:color w:val="000000" w:themeColor="text1"/>
    </w:rPr>
    <w:tblPr>
      <w:tblStyleRowBandSize w:val="1"/>
      <w:tblStyleColBandSize w:val="1"/>
      <w:tblBorders>
        <w:top w:val="single" w:sz="24" w:space="0" w:color="C8C8C8" w:themeColor="accent6"/>
        <w:left w:val="single" w:sz="4" w:space="0" w:color="007D55" w:themeColor="accent5"/>
        <w:bottom w:val="single" w:sz="4" w:space="0" w:color="007D55" w:themeColor="accent5"/>
        <w:right w:val="single" w:sz="4" w:space="0" w:color="007D55" w:themeColor="accent5"/>
        <w:insideH w:val="single" w:sz="4" w:space="0" w:color="FFFFFF" w:themeColor="background1"/>
        <w:insideV w:val="single" w:sz="4" w:space="0" w:color="FFFFFF" w:themeColor="background1"/>
      </w:tblBorders>
    </w:tblPr>
    <w:tcPr>
      <w:shd w:val="clear" w:color="auto" w:fill="D9FFF2" w:themeFill="accent5" w:themeFillTint="19"/>
    </w:tcPr>
    <w:tblStylePr w:type="firstRow">
      <w:rPr>
        <w:b/>
        <w:bCs/>
      </w:rPr>
      <w:tblPr/>
      <w:tcPr>
        <w:tcBorders>
          <w:top w:val="nil"/>
          <w:left w:val="nil"/>
          <w:bottom w:val="single" w:sz="24" w:space="0" w:color="C8C8C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B32" w:themeFill="accent5" w:themeFillShade="99"/>
      </w:tcPr>
    </w:tblStylePr>
    <w:tblStylePr w:type="firstCol">
      <w:rPr>
        <w:color w:val="FFFFFF" w:themeColor="background1"/>
      </w:rPr>
      <w:tblPr/>
      <w:tcPr>
        <w:tcBorders>
          <w:top w:val="nil"/>
          <w:left w:val="nil"/>
          <w:bottom w:val="nil"/>
          <w:right w:val="nil"/>
          <w:insideH w:val="single" w:sz="4" w:space="0" w:color="004B32" w:themeColor="accent5" w:themeShade="99"/>
          <w:insideV w:val="nil"/>
        </w:tcBorders>
        <w:shd w:val="clear" w:color="auto" w:fill="004B3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4B32" w:themeFill="accent5" w:themeFillShade="99"/>
      </w:tcPr>
    </w:tblStylePr>
    <w:tblStylePr w:type="band1Vert">
      <w:tblPr/>
      <w:tcPr>
        <w:shd w:val="clear" w:color="auto" w:fill="65FFCD" w:themeFill="accent5" w:themeFillTint="66"/>
      </w:tcPr>
    </w:tblStylePr>
    <w:tblStylePr w:type="band1Horz">
      <w:tblPr/>
      <w:tcPr>
        <w:shd w:val="clear" w:color="auto" w:fill="3FFFC1"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B632CF"/>
    <w:rPr>
      <w:color w:val="000000" w:themeColor="text1"/>
    </w:rPr>
    <w:tblPr>
      <w:tblStyleRowBandSize w:val="1"/>
      <w:tblStyleColBandSize w:val="1"/>
      <w:tblBorders>
        <w:top w:val="single" w:sz="24" w:space="0" w:color="007D55" w:themeColor="accent5"/>
        <w:left w:val="single" w:sz="4" w:space="0" w:color="C8C8C8" w:themeColor="accent6"/>
        <w:bottom w:val="single" w:sz="4" w:space="0" w:color="C8C8C8" w:themeColor="accent6"/>
        <w:right w:val="single" w:sz="4" w:space="0" w:color="C8C8C8" w:themeColor="accent6"/>
        <w:insideH w:val="single" w:sz="4" w:space="0" w:color="FFFFFF" w:themeColor="background1"/>
        <w:insideV w:val="single" w:sz="4" w:space="0" w:color="FFFFFF" w:themeColor="background1"/>
      </w:tblBorders>
    </w:tblPr>
    <w:tcPr>
      <w:shd w:val="clear" w:color="auto" w:fill="F9F9F9" w:themeFill="accent6" w:themeFillTint="19"/>
    </w:tcPr>
    <w:tblStylePr w:type="firstRow">
      <w:rPr>
        <w:b/>
        <w:bCs/>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87878" w:themeFill="accent6" w:themeFillShade="99"/>
      </w:tcPr>
    </w:tblStylePr>
    <w:tblStylePr w:type="firstCol">
      <w:rPr>
        <w:color w:val="FFFFFF" w:themeColor="background1"/>
      </w:rPr>
      <w:tblPr/>
      <w:tcPr>
        <w:tcBorders>
          <w:top w:val="nil"/>
          <w:left w:val="nil"/>
          <w:bottom w:val="nil"/>
          <w:right w:val="nil"/>
          <w:insideH w:val="single" w:sz="4" w:space="0" w:color="787878" w:themeColor="accent6" w:themeShade="99"/>
          <w:insideV w:val="nil"/>
        </w:tcBorders>
        <w:shd w:val="clear" w:color="auto" w:fill="78787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87878" w:themeFill="accent6" w:themeFillShade="99"/>
      </w:tcPr>
    </w:tblStylePr>
    <w:tblStylePr w:type="band1Vert">
      <w:tblPr/>
      <w:tcPr>
        <w:shd w:val="clear" w:color="auto" w:fill="E9E9E9" w:themeFill="accent6" w:themeFillTint="66"/>
      </w:tcPr>
    </w:tblStylePr>
    <w:tblStylePr w:type="band1Horz">
      <w:tblPr/>
      <w:tcPr>
        <w:shd w:val="clear" w:color="auto" w:fill="E3E3E3"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B632CF"/>
    <w:rPr>
      <w:sz w:val="16"/>
      <w:szCs w:val="16"/>
    </w:rPr>
  </w:style>
  <w:style w:type="paragraph" w:styleId="CommentText">
    <w:name w:val="annotation text"/>
    <w:basedOn w:val="Normal"/>
    <w:link w:val="CommentTextChar"/>
    <w:uiPriority w:val="99"/>
    <w:semiHidden/>
    <w:unhideWhenUsed/>
    <w:rsid w:val="00B632CF"/>
    <w:pPr>
      <w:spacing w:line="240" w:lineRule="auto"/>
    </w:pPr>
    <w:rPr>
      <w:szCs w:val="20"/>
    </w:rPr>
  </w:style>
  <w:style w:type="character" w:customStyle="1" w:styleId="CommentTextChar">
    <w:name w:val="Comment Text Char"/>
    <w:basedOn w:val="DefaultParagraphFont"/>
    <w:link w:val="CommentText"/>
    <w:uiPriority w:val="99"/>
    <w:semiHidden/>
    <w:rsid w:val="00B632CF"/>
    <w:rPr>
      <w:rFonts w:ascii="Jacobs Chronos" w:hAnsi="Jacobs Chronos" w:cs="Jacobs Chronos"/>
      <w:sz w:val="20"/>
      <w:szCs w:val="20"/>
    </w:rPr>
  </w:style>
  <w:style w:type="paragraph" w:styleId="CommentSubject">
    <w:name w:val="annotation subject"/>
    <w:basedOn w:val="CommentText"/>
    <w:next w:val="CommentText"/>
    <w:link w:val="CommentSubjectChar"/>
    <w:uiPriority w:val="99"/>
    <w:semiHidden/>
    <w:unhideWhenUsed/>
    <w:rsid w:val="00B632CF"/>
    <w:rPr>
      <w:b/>
      <w:bCs/>
    </w:rPr>
  </w:style>
  <w:style w:type="character" w:customStyle="1" w:styleId="CommentSubjectChar">
    <w:name w:val="Comment Subject Char"/>
    <w:basedOn w:val="CommentTextChar"/>
    <w:link w:val="CommentSubject"/>
    <w:uiPriority w:val="99"/>
    <w:semiHidden/>
    <w:rsid w:val="00B632CF"/>
    <w:rPr>
      <w:rFonts w:ascii="Jacobs Chronos" w:hAnsi="Jacobs Chronos" w:cs="Jacobs Chronos"/>
      <w:b/>
      <w:bCs/>
      <w:sz w:val="20"/>
      <w:szCs w:val="20"/>
    </w:rPr>
  </w:style>
  <w:style w:type="table" w:styleId="DarkList">
    <w:name w:val="Dark List"/>
    <w:basedOn w:val="TableNormal"/>
    <w:uiPriority w:val="70"/>
    <w:semiHidden/>
    <w:unhideWhenUsed/>
    <w:rsid w:val="00B632CF"/>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B632CF"/>
    <w:rPr>
      <w:color w:val="FFFFFF" w:themeColor="background1"/>
    </w:rPr>
    <w:tblPr>
      <w:tblStyleRowBandSize w:val="1"/>
      <w:tblStyleColBandSize w:val="1"/>
    </w:tblPr>
    <w:tcPr>
      <w:shd w:val="clear" w:color="auto" w:fill="2314DC"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10A6D"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1A0FA4"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1A0FA4" w:themeFill="accent1" w:themeFillShade="BF"/>
      </w:tcPr>
    </w:tblStylePr>
    <w:tblStylePr w:type="band1Vert">
      <w:tblPr/>
      <w:tcPr>
        <w:tcBorders>
          <w:top w:val="nil"/>
          <w:left w:val="nil"/>
          <w:bottom w:val="nil"/>
          <w:right w:val="nil"/>
          <w:insideH w:val="nil"/>
          <w:insideV w:val="nil"/>
        </w:tcBorders>
        <w:shd w:val="clear" w:color="auto" w:fill="1A0FA4" w:themeFill="accent1" w:themeFillShade="BF"/>
      </w:tcPr>
    </w:tblStylePr>
    <w:tblStylePr w:type="band1Horz">
      <w:tblPr/>
      <w:tcPr>
        <w:tcBorders>
          <w:top w:val="nil"/>
          <w:left w:val="nil"/>
          <w:bottom w:val="nil"/>
          <w:right w:val="nil"/>
          <w:insideH w:val="nil"/>
          <w:insideV w:val="nil"/>
        </w:tcBorders>
        <w:shd w:val="clear" w:color="auto" w:fill="1A0FA4" w:themeFill="accent1" w:themeFillShade="BF"/>
      </w:tcPr>
    </w:tblStylePr>
  </w:style>
  <w:style w:type="table" w:styleId="DarkList-Accent2">
    <w:name w:val="Dark List Accent 2"/>
    <w:basedOn w:val="TableNormal"/>
    <w:uiPriority w:val="70"/>
    <w:semiHidden/>
    <w:unhideWhenUsed/>
    <w:rsid w:val="00B632CF"/>
    <w:rPr>
      <w:color w:val="FFFFFF" w:themeColor="background1"/>
    </w:rPr>
    <w:tblPr>
      <w:tblStyleRowBandSize w:val="1"/>
      <w:tblStyleColBandSize w:val="1"/>
    </w:tblPr>
    <w:tcPr>
      <w:shd w:val="clear" w:color="auto" w:fill="6F006E"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0036"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530052"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530052" w:themeFill="accent2" w:themeFillShade="BF"/>
      </w:tcPr>
    </w:tblStylePr>
    <w:tblStylePr w:type="band1Vert">
      <w:tblPr/>
      <w:tcPr>
        <w:tcBorders>
          <w:top w:val="nil"/>
          <w:left w:val="nil"/>
          <w:bottom w:val="nil"/>
          <w:right w:val="nil"/>
          <w:insideH w:val="nil"/>
          <w:insideV w:val="nil"/>
        </w:tcBorders>
        <w:shd w:val="clear" w:color="auto" w:fill="530052" w:themeFill="accent2" w:themeFillShade="BF"/>
      </w:tcPr>
    </w:tblStylePr>
    <w:tblStylePr w:type="band1Horz">
      <w:tblPr/>
      <w:tcPr>
        <w:tcBorders>
          <w:top w:val="nil"/>
          <w:left w:val="nil"/>
          <w:bottom w:val="nil"/>
          <w:right w:val="nil"/>
          <w:insideH w:val="nil"/>
          <w:insideV w:val="nil"/>
        </w:tcBorders>
        <w:shd w:val="clear" w:color="auto" w:fill="530052" w:themeFill="accent2" w:themeFillShade="BF"/>
      </w:tcPr>
    </w:tblStylePr>
  </w:style>
  <w:style w:type="table" w:styleId="DarkList-Accent3">
    <w:name w:val="Dark List Accent 3"/>
    <w:basedOn w:val="TableNormal"/>
    <w:uiPriority w:val="70"/>
    <w:semiHidden/>
    <w:unhideWhenUsed/>
    <w:rsid w:val="00B632CF"/>
    <w:rPr>
      <w:color w:val="FFFFFF" w:themeColor="background1"/>
    </w:rPr>
    <w:tblPr>
      <w:tblStyleRowBandSize w:val="1"/>
      <w:tblStyleColBandSize w:val="1"/>
    </w:tblPr>
    <w:tcPr>
      <w:shd w:val="clear" w:color="auto" w:fill="D72850"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B1427"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A11E3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A11E3B" w:themeFill="accent3" w:themeFillShade="BF"/>
      </w:tcPr>
    </w:tblStylePr>
    <w:tblStylePr w:type="band1Vert">
      <w:tblPr/>
      <w:tcPr>
        <w:tcBorders>
          <w:top w:val="nil"/>
          <w:left w:val="nil"/>
          <w:bottom w:val="nil"/>
          <w:right w:val="nil"/>
          <w:insideH w:val="nil"/>
          <w:insideV w:val="nil"/>
        </w:tcBorders>
        <w:shd w:val="clear" w:color="auto" w:fill="A11E3B" w:themeFill="accent3" w:themeFillShade="BF"/>
      </w:tcPr>
    </w:tblStylePr>
    <w:tblStylePr w:type="band1Horz">
      <w:tblPr/>
      <w:tcPr>
        <w:tcBorders>
          <w:top w:val="nil"/>
          <w:left w:val="nil"/>
          <w:bottom w:val="nil"/>
          <w:right w:val="nil"/>
          <w:insideH w:val="nil"/>
          <w:insideV w:val="nil"/>
        </w:tcBorders>
        <w:shd w:val="clear" w:color="auto" w:fill="A11E3B" w:themeFill="accent3" w:themeFillShade="BF"/>
      </w:tcPr>
    </w:tblStylePr>
  </w:style>
  <w:style w:type="table" w:styleId="DarkList-Accent4">
    <w:name w:val="Dark List Accent 4"/>
    <w:basedOn w:val="TableNormal"/>
    <w:uiPriority w:val="70"/>
    <w:semiHidden/>
    <w:unhideWhenUsed/>
    <w:rsid w:val="00B632CF"/>
    <w:rPr>
      <w:color w:val="FFFFFF" w:themeColor="background1"/>
    </w:rPr>
    <w:tblPr>
      <w:tblStyleRowBandSize w:val="1"/>
      <w:tblStyleColBandSize w:val="1"/>
    </w:tblPr>
    <w:tcPr>
      <w:shd w:val="clear" w:color="auto" w:fill="FFA014"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850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CD79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CD7900" w:themeFill="accent4" w:themeFillShade="BF"/>
      </w:tcPr>
    </w:tblStylePr>
    <w:tblStylePr w:type="band1Vert">
      <w:tblPr/>
      <w:tcPr>
        <w:tcBorders>
          <w:top w:val="nil"/>
          <w:left w:val="nil"/>
          <w:bottom w:val="nil"/>
          <w:right w:val="nil"/>
          <w:insideH w:val="nil"/>
          <w:insideV w:val="nil"/>
        </w:tcBorders>
        <w:shd w:val="clear" w:color="auto" w:fill="CD7900" w:themeFill="accent4" w:themeFillShade="BF"/>
      </w:tcPr>
    </w:tblStylePr>
    <w:tblStylePr w:type="band1Horz">
      <w:tblPr/>
      <w:tcPr>
        <w:tcBorders>
          <w:top w:val="nil"/>
          <w:left w:val="nil"/>
          <w:bottom w:val="nil"/>
          <w:right w:val="nil"/>
          <w:insideH w:val="nil"/>
          <w:insideV w:val="nil"/>
        </w:tcBorders>
        <w:shd w:val="clear" w:color="auto" w:fill="CD7900" w:themeFill="accent4" w:themeFillShade="BF"/>
      </w:tcPr>
    </w:tblStylePr>
  </w:style>
  <w:style w:type="table" w:styleId="DarkList-Accent5">
    <w:name w:val="Dark List Accent 5"/>
    <w:basedOn w:val="TableNormal"/>
    <w:uiPriority w:val="70"/>
    <w:semiHidden/>
    <w:unhideWhenUsed/>
    <w:rsid w:val="00B632CF"/>
    <w:rPr>
      <w:color w:val="FFFFFF" w:themeColor="background1"/>
    </w:rPr>
    <w:tblPr>
      <w:tblStyleRowBandSize w:val="1"/>
      <w:tblStyleColBandSize w:val="1"/>
    </w:tblPr>
    <w:tcPr>
      <w:shd w:val="clear" w:color="auto" w:fill="007D5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3E2A"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5D3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5D3F" w:themeFill="accent5" w:themeFillShade="BF"/>
      </w:tcPr>
    </w:tblStylePr>
    <w:tblStylePr w:type="band1Vert">
      <w:tblPr/>
      <w:tcPr>
        <w:tcBorders>
          <w:top w:val="nil"/>
          <w:left w:val="nil"/>
          <w:bottom w:val="nil"/>
          <w:right w:val="nil"/>
          <w:insideH w:val="nil"/>
          <w:insideV w:val="nil"/>
        </w:tcBorders>
        <w:shd w:val="clear" w:color="auto" w:fill="005D3F" w:themeFill="accent5" w:themeFillShade="BF"/>
      </w:tcPr>
    </w:tblStylePr>
    <w:tblStylePr w:type="band1Horz">
      <w:tblPr/>
      <w:tcPr>
        <w:tcBorders>
          <w:top w:val="nil"/>
          <w:left w:val="nil"/>
          <w:bottom w:val="nil"/>
          <w:right w:val="nil"/>
          <w:insideH w:val="nil"/>
          <w:insideV w:val="nil"/>
        </w:tcBorders>
        <w:shd w:val="clear" w:color="auto" w:fill="005D3F" w:themeFill="accent5" w:themeFillShade="BF"/>
      </w:tcPr>
    </w:tblStylePr>
  </w:style>
  <w:style w:type="table" w:styleId="DarkList-Accent6">
    <w:name w:val="Dark List Accent 6"/>
    <w:basedOn w:val="TableNormal"/>
    <w:uiPriority w:val="70"/>
    <w:semiHidden/>
    <w:unhideWhenUsed/>
    <w:rsid w:val="00B632CF"/>
    <w:rPr>
      <w:color w:val="FFFFFF" w:themeColor="background1"/>
    </w:rPr>
    <w:tblPr>
      <w:tblStyleRowBandSize w:val="1"/>
      <w:tblStyleColBandSize w:val="1"/>
    </w:tblPr>
    <w:tcPr>
      <w:shd w:val="clear" w:color="auto" w:fill="C8C8C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3636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95959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959595" w:themeFill="accent6" w:themeFillShade="BF"/>
      </w:tcPr>
    </w:tblStylePr>
    <w:tblStylePr w:type="band1Vert">
      <w:tblPr/>
      <w:tcPr>
        <w:tcBorders>
          <w:top w:val="nil"/>
          <w:left w:val="nil"/>
          <w:bottom w:val="nil"/>
          <w:right w:val="nil"/>
          <w:insideH w:val="nil"/>
          <w:insideV w:val="nil"/>
        </w:tcBorders>
        <w:shd w:val="clear" w:color="auto" w:fill="959595" w:themeFill="accent6" w:themeFillShade="BF"/>
      </w:tcPr>
    </w:tblStylePr>
    <w:tblStylePr w:type="band1Horz">
      <w:tblPr/>
      <w:tcPr>
        <w:tcBorders>
          <w:top w:val="nil"/>
          <w:left w:val="nil"/>
          <w:bottom w:val="nil"/>
          <w:right w:val="nil"/>
          <w:insideH w:val="nil"/>
          <w:insideV w:val="nil"/>
        </w:tcBorders>
        <w:shd w:val="clear" w:color="auto" w:fill="959595" w:themeFill="accent6" w:themeFillShade="BF"/>
      </w:tcPr>
    </w:tblStylePr>
  </w:style>
  <w:style w:type="paragraph" w:styleId="Date">
    <w:name w:val="Date"/>
    <w:basedOn w:val="Normal"/>
    <w:next w:val="Normal"/>
    <w:link w:val="DateChar"/>
    <w:uiPriority w:val="99"/>
    <w:semiHidden/>
    <w:unhideWhenUsed/>
    <w:rsid w:val="00B632CF"/>
  </w:style>
  <w:style w:type="character" w:customStyle="1" w:styleId="DateChar">
    <w:name w:val="Date Char"/>
    <w:basedOn w:val="DefaultParagraphFont"/>
    <w:link w:val="Date"/>
    <w:uiPriority w:val="99"/>
    <w:semiHidden/>
    <w:rsid w:val="00B632CF"/>
    <w:rPr>
      <w:rFonts w:ascii="Jacobs Chronos" w:hAnsi="Jacobs Chronos" w:cs="Jacobs Chronos"/>
      <w:sz w:val="20"/>
    </w:rPr>
  </w:style>
  <w:style w:type="paragraph" w:styleId="DocumentMap">
    <w:name w:val="Document Map"/>
    <w:basedOn w:val="Normal"/>
    <w:link w:val="DocumentMapChar"/>
    <w:uiPriority w:val="99"/>
    <w:semiHidden/>
    <w:unhideWhenUsed/>
    <w:rsid w:val="00B632CF"/>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B632CF"/>
    <w:rPr>
      <w:rFonts w:ascii="Segoe UI" w:hAnsi="Segoe UI" w:cs="Segoe UI"/>
      <w:sz w:val="16"/>
      <w:szCs w:val="16"/>
    </w:rPr>
  </w:style>
  <w:style w:type="paragraph" w:styleId="E-mailSignature">
    <w:name w:val="E-mail Signature"/>
    <w:basedOn w:val="Normal"/>
    <w:link w:val="E-mailSignatureChar"/>
    <w:uiPriority w:val="99"/>
    <w:semiHidden/>
    <w:unhideWhenUsed/>
    <w:rsid w:val="00B632CF"/>
    <w:pPr>
      <w:spacing w:after="0" w:line="240" w:lineRule="auto"/>
    </w:pPr>
  </w:style>
  <w:style w:type="character" w:customStyle="1" w:styleId="E-mailSignatureChar">
    <w:name w:val="E-mail Signature Char"/>
    <w:basedOn w:val="DefaultParagraphFont"/>
    <w:link w:val="E-mailSignature"/>
    <w:uiPriority w:val="99"/>
    <w:semiHidden/>
    <w:rsid w:val="00B632CF"/>
    <w:rPr>
      <w:rFonts w:ascii="Jacobs Chronos" w:hAnsi="Jacobs Chronos" w:cs="Jacobs Chronos"/>
      <w:sz w:val="20"/>
    </w:rPr>
  </w:style>
  <w:style w:type="character" w:styleId="Emphasis">
    <w:name w:val="Emphasis"/>
    <w:basedOn w:val="DefaultParagraphFont"/>
    <w:uiPriority w:val="20"/>
    <w:rsid w:val="00B632CF"/>
    <w:rPr>
      <w:i/>
      <w:iCs/>
    </w:rPr>
  </w:style>
  <w:style w:type="paragraph" w:styleId="EnvelopeAddress">
    <w:name w:val="envelope address"/>
    <w:basedOn w:val="Normal"/>
    <w:uiPriority w:val="99"/>
    <w:semiHidden/>
    <w:unhideWhenUsed/>
    <w:rsid w:val="00B632CF"/>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B632CF"/>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B632CF"/>
    <w:rPr>
      <w:color w:val="FF8714" w:themeColor="followedHyperlink"/>
      <w:u w:val="single"/>
    </w:rPr>
  </w:style>
  <w:style w:type="table" w:styleId="GridTable1Light">
    <w:name w:val="Grid Table 1 Light"/>
    <w:basedOn w:val="TableNormal"/>
    <w:uiPriority w:val="46"/>
    <w:rsid w:val="00B632CF"/>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B632CF"/>
    <w:tblPr>
      <w:tblStyleRowBandSize w:val="1"/>
      <w:tblStyleColBandSize w:val="1"/>
      <w:tblBorders>
        <w:top w:val="single" w:sz="4" w:space="0" w:color="A29CF6" w:themeColor="accent1" w:themeTint="66"/>
        <w:left w:val="single" w:sz="4" w:space="0" w:color="A29CF6" w:themeColor="accent1" w:themeTint="66"/>
        <w:bottom w:val="single" w:sz="4" w:space="0" w:color="A29CF6" w:themeColor="accent1" w:themeTint="66"/>
        <w:right w:val="single" w:sz="4" w:space="0" w:color="A29CF6" w:themeColor="accent1" w:themeTint="66"/>
        <w:insideH w:val="single" w:sz="4" w:space="0" w:color="A29CF6" w:themeColor="accent1" w:themeTint="66"/>
        <w:insideV w:val="single" w:sz="4" w:space="0" w:color="A29CF6" w:themeColor="accent1" w:themeTint="66"/>
      </w:tblBorders>
    </w:tblPr>
    <w:tblStylePr w:type="firstRow">
      <w:rPr>
        <w:b/>
        <w:bCs/>
      </w:rPr>
      <w:tblPr/>
      <w:tcPr>
        <w:tcBorders>
          <w:bottom w:val="single" w:sz="12" w:space="0" w:color="746AF1" w:themeColor="accent1" w:themeTint="99"/>
        </w:tcBorders>
      </w:tcPr>
    </w:tblStylePr>
    <w:tblStylePr w:type="lastRow">
      <w:rPr>
        <w:b/>
        <w:bCs/>
      </w:rPr>
      <w:tblPr/>
      <w:tcPr>
        <w:tcBorders>
          <w:top w:val="double" w:sz="2" w:space="0" w:color="746AF1"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B632CF"/>
    <w:tblPr>
      <w:tblStyleRowBandSize w:val="1"/>
      <w:tblStyleColBandSize w:val="1"/>
      <w:tblBorders>
        <w:top w:val="single" w:sz="4" w:space="0" w:color="FF5FFD" w:themeColor="accent2" w:themeTint="66"/>
        <w:left w:val="single" w:sz="4" w:space="0" w:color="FF5FFD" w:themeColor="accent2" w:themeTint="66"/>
        <w:bottom w:val="single" w:sz="4" w:space="0" w:color="FF5FFD" w:themeColor="accent2" w:themeTint="66"/>
        <w:right w:val="single" w:sz="4" w:space="0" w:color="FF5FFD" w:themeColor="accent2" w:themeTint="66"/>
        <w:insideH w:val="single" w:sz="4" w:space="0" w:color="FF5FFD" w:themeColor="accent2" w:themeTint="66"/>
        <w:insideV w:val="single" w:sz="4" w:space="0" w:color="FF5FFD" w:themeColor="accent2" w:themeTint="66"/>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2" w:space="0" w:color="FF0FFC"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B632CF"/>
    <w:tblPr>
      <w:tblStyleRowBandSize w:val="1"/>
      <w:tblStyleColBandSize w:val="1"/>
      <w:tblBorders>
        <w:top w:val="single" w:sz="4" w:space="0" w:color="EFA9B8" w:themeColor="accent3" w:themeTint="66"/>
        <w:left w:val="single" w:sz="4" w:space="0" w:color="EFA9B8" w:themeColor="accent3" w:themeTint="66"/>
        <w:bottom w:val="single" w:sz="4" w:space="0" w:color="EFA9B8" w:themeColor="accent3" w:themeTint="66"/>
        <w:right w:val="single" w:sz="4" w:space="0" w:color="EFA9B8" w:themeColor="accent3" w:themeTint="66"/>
        <w:insideH w:val="single" w:sz="4" w:space="0" w:color="EFA9B8" w:themeColor="accent3" w:themeTint="66"/>
        <w:insideV w:val="single" w:sz="4" w:space="0" w:color="EFA9B8" w:themeColor="accent3" w:themeTint="66"/>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2" w:space="0" w:color="E77E95"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B632CF"/>
    <w:tblPr>
      <w:tblStyleRowBandSize w:val="1"/>
      <w:tblStyleColBandSize w:val="1"/>
      <w:tblBorders>
        <w:top w:val="single" w:sz="4" w:space="0" w:color="FFD8A1" w:themeColor="accent4" w:themeTint="66"/>
        <w:left w:val="single" w:sz="4" w:space="0" w:color="FFD8A1" w:themeColor="accent4" w:themeTint="66"/>
        <w:bottom w:val="single" w:sz="4" w:space="0" w:color="FFD8A1" w:themeColor="accent4" w:themeTint="66"/>
        <w:right w:val="single" w:sz="4" w:space="0" w:color="FFD8A1" w:themeColor="accent4" w:themeTint="66"/>
        <w:insideH w:val="single" w:sz="4" w:space="0" w:color="FFD8A1" w:themeColor="accent4" w:themeTint="66"/>
        <w:insideV w:val="single" w:sz="4" w:space="0" w:color="FFD8A1" w:themeColor="accent4" w:themeTint="66"/>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2" w:space="0" w:color="FFC572"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B632CF"/>
    <w:tblPr>
      <w:tblStyleRowBandSize w:val="1"/>
      <w:tblStyleColBandSize w:val="1"/>
      <w:tblBorders>
        <w:top w:val="single" w:sz="4" w:space="0" w:color="65FFCD" w:themeColor="accent5" w:themeTint="66"/>
        <w:left w:val="single" w:sz="4" w:space="0" w:color="65FFCD" w:themeColor="accent5" w:themeTint="66"/>
        <w:bottom w:val="single" w:sz="4" w:space="0" w:color="65FFCD" w:themeColor="accent5" w:themeTint="66"/>
        <w:right w:val="single" w:sz="4" w:space="0" w:color="65FFCD" w:themeColor="accent5" w:themeTint="66"/>
        <w:insideH w:val="single" w:sz="4" w:space="0" w:color="65FFCD" w:themeColor="accent5" w:themeTint="66"/>
        <w:insideV w:val="single" w:sz="4" w:space="0" w:color="65FFCD" w:themeColor="accent5" w:themeTint="66"/>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2" w:space="0" w:color="18FFB4"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B632CF"/>
    <w:tblPr>
      <w:tblStyleRowBandSize w:val="1"/>
      <w:tblStyleColBandSize w:val="1"/>
      <w:tblBorders>
        <w:top w:val="single" w:sz="4" w:space="0" w:color="E9E9E9" w:themeColor="accent6" w:themeTint="66"/>
        <w:left w:val="single" w:sz="4" w:space="0" w:color="E9E9E9" w:themeColor="accent6" w:themeTint="66"/>
        <w:bottom w:val="single" w:sz="4" w:space="0" w:color="E9E9E9" w:themeColor="accent6" w:themeTint="66"/>
        <w:right w:val="single" w:sz="4" w:space="0" w:color="E9E9E9" w:themeColor="accent6" w:themeTint="66"/>
        <w:insideH w:val="single" w:sz="4" w:space="0" w:color="E9E9E9" w:themeColor="accent6" w:themeTint="66"/>
        <w:insideV w:val="single" w:sz="4" w:space="0" w:color="E9E9E9" w:themeColor="accent6" w:themeTint="66"/>
      </w:tblBorders>
    </w:tblPr>
    <w:tblStylePr w:type="firstRow">
      <w:rPr>
        <w:b/>
        <w:bCs/>
      </w:rPr>
      <w:tblPr/>
      <w:tcPr>
        <w:tcBorders>
          <w:bottom w:val="single" w:sz="12" w:space="0" w:color="DEDEDE" w:themeColor="accent6" w:themeTint="99"/>
        </w:tcBorders>
      </w:tcPr>
    </w:tblStylePr>
    <w:tblStylePr w:type="lastRow">
      <w:rPr>
        <w:b/>
        <w:bCs/>
      </w:rPr>
      <w:tblPr/>
      <w:tcPr>
        <w:tcBorders>
          <w:top w:val="double" w:sz="2" w:space="0" w:color="DEDEDE"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B632CF"/>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632CF"/>
    <w:tblPr>
      <w:tblStyleRowBandSize w:val="1"/>
      <w:tblStyleColBandSize w:val="1"/>
      <w:tblBorders>
        <w:top w:val="single" w:sz="2" w:space="0" w:color="746AF1" w:themeColor="accent1" w:themeTint="99"/>
        <w:bottom w:val="single" w:sz="2" w:space="0" w:color="746AF1" w:themeColor="accent1" w:themeTint="99"/>
        <w:insideH w:val="single" w:sz="2" w:space="0" w:color="746AF1" w:themeColor="accent1" w:themeTint="99"/>
        <w:insideV w:val="single" w:sz="2" w:space="0" w:color="746AF1" w:themeColor="accent1" w:themeTint="99"/>
      </w:tblBorders>
    </w:tblPr>
    <w:tblStylePr w:type="firstRow">
      <w:rPr>
        <w:b/>
        <w:bCs/>
      </w:rPr>
      <w:tblPr/>
      <w:tcPr>
        <w:tcBorders>
          <w:top w:val="nil"/>
          <w:bottom w:val="single" w:sz="12" w:space="0" w:color="746AF1" w:themeColor="accent1" w:themeTint="99"/>
          <w:insideH w:val="nil"/>
          <w:insideV w:val="nil"/>
        </w:tcBorders>
        <w:shd w:val="clear" w:color="auto" w:fill="FFFFFF" w:themeFill="background1"/>
      </w:tcPr>
    </w:tblStylePr>
    <w:tblStylePr w:type="lastRow">
      <w:rPr>
        <w:b/>
        <w:bCs/>
      </w:rPr>
      <w:tblPr/>
      <w:tcPr>
        <w:tcBorders>
          <w:top w:val="double" w:sz="2" w:space="0" w:color="746AF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2-Accent2">
    <w:name w:val="Grid Table 2 Accent 2"/>
    <w:basedOn w:val="TableNormal"/>
    <w:uiPriority w:val="47"/>
    <w:rsid w:val="00B632CF"/>
    <w:tblPr>
      <w:tblStyleRowBandSize w:val="1"/>
      <w:tblStyleColBandSize w:val="1"/>
      <w:tblBorders>
        <w:top w:val="single" w:sz="2" w:space="0" w:color="FF0FFC" w:themeColor="accent2" w:themeTint="99"/>
        <w:bottom w:val="single" w:sz="2" w:space="0" w:color="FF0FFC" w:themeColor="accent2" w:themeTint="99"/>
        <w:insideH w:val="single" w:sz="2" w:space="0" w:color="FF0FFC" w:themeColor="accent2" w:themeTint="99"/>
        <w:insideV w:val="single" w:sz="2" w:space="0" w:color="FF0FFC" w:themeColor="accent2" w:themeTint="99"/>
      </w:tblBorders>
    </w:tblPr>
    <w:tblStylePr w:type="firstRow">
      <w:rPr>
        <w:b/>
        <w:bCs/>
      </w:rPr>
      <w:tblPr/>
      <w:tcPr>
        <w:tcBorders>
          <w:top w:val="nil"/>
          <w:bottom w:val="single" w:sz="12" w:space="0" w:color="FF0FFC" w:themeColor="accent2" w:themeTint="99"/>
          <w:insideH w:val="nil"/>
          <w:insideV w:val="nil"/>
        </w:tcBorders>
        <w:shd w:val="clear" w:color="auto" w:fill="FFFFFF" w:themeFill="background1"/>
      </w:tcPr>
    </w:tblStylePr>
    <w:tblStylePr w:type="lastRow">
      <w:rPr>
        <w:b/>
        <w:bCs/>
      </w:rPr>
      <w:tblPr/>
      <w:tcPr>
        <w:tcBorders>
          <w:top w:val="double" w:sz="2" w:space="0" w:color="FF0FF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2-Accent3">
    <w:name w:val="Grid Table 2 Accent 3"/>
    <w:basedOn w:val="TableNormal"/>
    <w:uiPriority w:val="47"/>
    <w:rsid w:val="00B632CF"/>
    <w:tblPr>
      <w:tblStyleRowBandSize w:val="1"/>
      <w:tblStyleColBandSize w:val="1"/>
      <w:tblBorders>
        <w:top w:val="single" w:sz="2" w:space="0" w:color="E77E95" w:themeColor="accent3" w:themeTint="99"/>
        <w:bottom w:val="single" w:sz="2" w:space="0" w:color="E77E95" w:themeColor="accent3" w:themeTint="99"/>
        <w:insideH w:val="single" w:sz="2" w:space="0" w:color="E77E95" w:themeColor="accent3" w:themeTint="99"/>
        <w:insideV w:val="single" w:sz="2" w:space="0" w:color="E77E95" w:themeColor="accent3" w:themeTint="99"/>
      </w:tblBorders>
    </w:tblPr>
    <w:tblStylePr w:type="firstRow">
      <w:rPr>
        <w:b/>
        <w:bCs/>
      </w:rPr>
      <w:tblPr/>
      <w:tcPr>
        <w:tcBorders>
          <w:top w:val="nil"/>
          <w:bottom w:val="single" w:sz="12" w:space="0" w:color="E77E95" w:themeColor="accent3" w:themeTint="99"/>
          <w:insideH w:val="nil"/>
          <w:insideV w:val="nil"/>
        </w:tcBorders>
        <w:shd w:val="clear" w:color="auto" w:fill="FFFFFF" w:themeFill="background1"/>
      </w:tcPr>
    </w:tblStylePr>
    <w:tblStylePr w:type="lastRow">
      <w:rPr>
        <w:b/>
        <w:bCs/>
      </w:rPr>
      <w:tblPr/>
      <w:tcPr>
        <w:tcBorders>
          <w:top w:val="double" w:sz="2" w:space="0" w:color="E77E95"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2-Accent4">
    <w:name w:val="Grid Table 2 Accent 4"/>
    <w:basedOn w:val="TableNormal"/>
    <w:uiPriority w:val="47"/>
    <w:rsid w:val="00B632CF"/>
    <w:tblPr>
      <w:tblStyleRowBandSize w:val="1"/>
      <w:tblStyleColBandSize w:val="1"/>
      <w:tblBorders>
        <w:top w:val="single" w:sz="2" w:space="0" w:color="FFC572" w:themeColor="accent4" w:themeTint="99"/>
        <w:bottom w:val="single" w:sz="2" w:space="0" w:color="FFC572" w:themeColor="accent4" w:themeTint="99"/>
        <w:insideH w:val="single" w:sz="2" w:space="0" w:color="FFC572" w:themeColor="accent4" w:themeTint="99"/>
        <w:insideV w:val="single" w:sz="2" w:space="0" w:color="FFC572" w:themeColor="accent4" w:themeTint="99"/>
      </w:tblBorders>
    </w:tblPr>
    <w:tblStylePr w:type="firstRow">
      <w:rPr>
        <w:b/>
        <w:bCs/>
      </w:rPr>
      <w:tblPr/>
      <w:tcPr>
        <w:tcBorders>
          <w:top w:val="nil"/>
          <w:bottom w:val="single" w:sz="12" w:space="0" w:color="FFC572" w:themeColor="accent4" w:themeTint="99"/>
          <w:insideH w:val="nil"/>
          <w:insideV w:val="nil"/>
        </w:tcBorders>
        <w:shd w:val="clear" w:color="auto" w:fill="FFFFFF" w:themeFill="background1"/>
      </w:tcPr>
    </w:tblStylePr>
    <w:tblStylePr w:type="lastRow">
      <w:rPr>
        <w:b/>
        <w:bCs/>
      </w:rPr>
      <w:tblPr/>
      <w:tcPr>
        <w:tcBorders>
          <w:top w:val="double" w:sz="2" w:space="0" w:color="FFC572"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2-Accent5">
    <w:name w:val="Grid Table 2 Accent 5"/>
    <w:basedOn w:val="TableNormal"/>
    <w:uiPriority w:val="47"/>
    <w:rsid w:val="00B632CF"/>
    <w:tblPr>
      <w:tblStyleRowBandSize w:val="1"/>
      <w:tblStyleColBandSize w:val="1"/>
      <w:tblBorders>
        <w:top w:val="single" w:sz="2" w:space="0" w:color="18FFB4" w:themeColor="accent5" w:themeTint="99"/>
        <w:bottom w:val="single" w:sz="2" w:space="0" w:color="18FFB4" w:themeColor="accent5" w:themeTint="99"/>
        <w:insideH w:val="single" w:sz="2" w:space="0" w:color="18FFB4" w:themeColor="accent5" w:themeTint="99"/>
        <w:insideV w:val="single" w:sz="2" w:space="0" w:color="18FFB4" w:themeColor="accent5" w:themeTint="99"/>
      </w:tblBorders>
    </w:tblPr>
    <w:tblStylePr w:type="firstRow">
      <w:rPr>
        <w:b/>
        <w:bCs/>
      </w:rPr>
      <w:tblPr/>
      <w:tcPr>
        <w:tcBorders>
          <w:top w:val="nil"/>
          <w:bottom w:val="single" w:sz="12" w:space="0" w:color="18FFB4" w:themeColor="accent5" w:themeTint="99"/>
          <w:insideH w:val="nil"/>
          <w:insideV w:val="nil"/>
        </w:tcBorders>
        <w:shd w:val="clear" w:color="auto" w:fill="FFFFFF" w:themeFill="background1"/>
      </w:tcPr>
    </w:tblStylePr>
    <w:tblStylePr w:type="lastRow">
      <w:rPr>
        <w:b/>
        <w:bCs/>
      </w:rPr>
      <w:tblPr/>
      <w:tcPr>
        <w:tcBorders>
          <w:top w:val="double" w:sz="2" w:space="0" w:color="18FFB4"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2-Accent6">
    <w:name w:val="Grid Table 2 Accent 6"/>
    <w:basedOn w:val="TableNormal"/>
    <w:uiPriority w:val="47"/>
    <w:rsid w:val="00B632CF"/>
    <w:tblPr>
      <w:tblStyleRowBandSize w:val="1"/>
      <w:tblStyleColBandSize w:val="1"/>
      <w:tblBorders>
        <w:top w:val="single" w:sz="2" w:space="0" w:color="DEDEDE" w:themeColor="accent6" w:themeTint="99"/>
        <w:bottom w:val="single" w:sz="2" w:space="0" w:color="DEDEDE" w:themeColor="accent6" w:themeTint="99"/>
        <w:insideH w:val="single" w:sz="2" w:space="0" w:color="DEDEDE" w:themeColor="accent6" w:themeTint="99"/>
        <w:insideV w:val="single" w:sz="2" w:space="0" w:color="DEDEDE" w:themeColor="accent6" w:themeTint="99"/>
      </w:tblBorders>
    </w:tblPr>
    <w:tblStylePr w:type="firstRow">
      <w:rPr>
        <w:b/>
        <w:bCs/>
      </w:rPr>
      <w:tblPr/>
      <w:tcPr>
        <w:tcBorders>
          <w:top w:val="nil"/>
          <w:bottom w:val="single" w:sz="12" w:space="0" w:color="DEDEDE" w:themeColor="accent6" w:themeTint="99"/>
          <w:insideH w:val="nil"/>
          <w:insideV w:val="nil"/>
        </w:tcBorders>
        <w:shd w:val="clear" w:color="auto" w:fill="FFFFFF" w:themeFill="background1"/>
      </w:tcPr>
    </w:tblStylePr>
    <w:tblStylePr w:type="lastRow">
      <w:rPr>
        <w:b/>
        <w:bCs/>
      </w:rPr>
      <w:tblPr/>
      <w:tcPr>
        <w:tcBorders>
          <w:top w:val="double" w:sz="2" w:space="0" w:color="DEDEDE"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3">
    <w:name w:val="Grid Table 3"/>
    <w:basedOn w:val="TableNormal"/>
    <w:uiPriority w:val="48"/>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bottom w:val="single" w:sz="4" w:space="0" w:color="746AF1" w:themeColor="accent1" w:themeTint="99"/>
        </w:tcBorders>
      </w:tcPr>
    </w:tblStylePr>
    <w:tblStylePr w:type="nwCell">
      <w:tblPr/>
      <w:tcPr>
        <w:tcBorders>
          <w:bottom w:val="single" w:sz="4" w:space="0" w:color="746AF1" w:themeColor="accent1" w:themeTint="99"/>
        </w:tcBorders>
      </w:tcPr>
    </w:tblStylePr>
    <w:tblStylePr w:type="seCell">
      <w:tblPr/>
      <w:tcPr>
        <w:tcBorders>
          <w:top w:val="single" w:sz="4" w:space="0" w:color="746AF1" w:themeColor="accent1" w:themeTint="99"/>
        </w:tcBorders>
      </w:tcPr>
    </w:tblStylePr>
    <w:tblStylePr w:type="swCell">
      <w:tblPr/>
      <w:tcPr>
        <w:tcBorders>
          <w:top w:val="single" w:sz="4" w:space="0" w:color="746AF1" w:themeColor="accent1" w:themeTint="99"/>
        </w:tcBorders>
      </w:tcPr>
    </w:tblStylePr>
  </w:style>
  <w:style w:type="table" w:styleId="GridTable3-Accent2">
    <w:name w:val="Grid Table 3 Accent 2"/>
    <w:basedOn w:val="TableNormal"/>
    <w:uiPriority w:val="48"/>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3-Accent3">
    <w:name w:val="Grid Table 3 Accent 3"/>
    <w:basedOn w:val="TableNormal"/>
    <w:uiPriority w:val="48"/>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3-Accent4">
    <w:name w:val="Grid Table 3 Accent 4"/>
    <w:basedOn w:val="TableNormal"/>
    <w:uiPriority w:val="48"/>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3-Accent5">
    <w:name w:val="Grid Table 3 Accent 5"/>
    <w:basedOn w:val="TableNormal"/>
    <w:uiPriority w:val="48"/>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3-Accent6">
    <w:name w:val="Grid Table 3 Accent 6"/>
    <w:basedOn w:val="TableNormal"/>
    <w:uiPriority w:val="48"/>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bottom w:val="single" w:sz="4" w:space="0" w:color="DEDEDE" w:themeColor="accent6" w:themeTint="99"/>
        </w:tcBorders>
      </w:tcPr>
    </w:tblStylePr>
    <w:tblStylePr w:type="nwCell">
      <w:tblPr/>
      <w:tcPr>
        <w:tcBorders>
          <w:bottom w:val="single" w:sz="4" w:space="0" w:color="DEDEDE" w:themeColor="accent6" w:themeTint="99"/>
        </w:tcBorders>
      </w:tcPr>
    </w:tblStylePr>
    <w:tblStylePr w:type="seCell">
      <w:tblPr/>
      <w:tcPr>
        <w:tcBorders>
          <w:top w:val="single" w:sz="4" w:space="0" w:color="DEDEDE" w:themeColor="accent6" w:themeTint="99"/>
        </w:tcBorders>
      </w:tcPr>
    </w:tblStylePr>
    <w:tblStylePr w:type="swCell">
      <w:tblPr/>
      <w:tcPr>
        <w:tcBorders>
          <w:top w:val="single" w:sz="4" w:space="0" w:color="DEDEDE" w:themeColor="accent6" w:themeTint="99"/>
        </w:tcBorders>
      </w:tcPr>
    </w:tblStylePr>
  </w:style>
  <w:style w:type="table" w:styleId="GridTable4">
    <w:name w:val="Grid Table 4"/>
    <w:basedOn w:val="TableNormal"/>
    <w:uiPriority w:val="49"/>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color w:val="FFFFFF" w:themeColor="background1"/>
      </w:rPr>
      <w:tblPr/>
      <w:tcPr>
        <w:tcBorders>
          <w:top w:val="single" w:sz="4" w:space="0" w:color="2314DC" w:themeColor="accent1"/>
          <w:left w:val="single" w:sz="4" w:space="0" w:color="2314DC" w:themeColor="accent1"/>
          <w:bottom w:val="single" w:sz="4" w:space="0" w:color="2314DC" w:themeColor="accent1"/>
          <w:right w:val="single" w:sz="4" w:space="0" w:color="2314DC" w:themeColor="accent1"/>
          <w:insideH w:val="nil"/>
          <w:insideV w:val="nil"/>
        </w:tcBorders>
        <w:shd w:val="clear" w:color="auto" w:fill="2314DC" w:themeFill="accent1"/>
      </w:tcPr>
    </w:tblStylePr>
    <w:tblStylePr w:type="lastRow">
      <w:rPr>
        <w:b/>
        <w:bCs/>
      </w:rPr>
      <w:tblPr/>
      <w:tcPr>
        <w:tcBorders>
          <w:top w:val="double" w:sz="4" w:space="0" w:color="2314DC" w:themeColor="accent1"/>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4-Accent2">
    <w:name w:val="Grid Table 4 Accent 2"/>
    <w:basedOn w:val="TableNormal"/>
    <w:uiPriority w:val="49"/>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insideV w:val="nil"/>
        </w:tcBorders>
        <w:shd w:val="clear" w:color="auto" w:fill="6F006E" w:themeFill="accent2"/>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4-Accent3">
    <w:name w:val="Grid Table 4 Accent 3"/>
    <w:basedOn w:val="TableNormal"/>
    <w:uiPriority w:val="49"/>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insideV w:val="nil"/>
        </w:tcBorders>
        <w:shd w:val="clear" w:color="auto" w:fill="D72850" w:themeFill="accent3"/>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4-Accent4">
    <w:name w:val="Grid Table 4 Accent 4"/>
    <w:basedOn w:val="TableNormal"/>
    <w:uiPriority w:val="49"/>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insideV w:val="nil"/>
        </w:tcBorders>
        <w:shd w:val="clear" w:color="auto" w:fill="FFA014" w:themeFill="accent4"/>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4-Accent5">
    <w:name w:val="Grid Table 4 Accent 5"/>
    <w:basedOn w:val="TableNormal"/>
    <w:uiPriority w:val="49"/>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insideV w:val="nil"/>
        </w:tcBorders>
        <w:shd w:val="clear" w:color="auto" w:fill="007D55" w:themeFill="accent5"/>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4-Accent6">
    <w:name w:val="Grid Table 4 Accent 6"/>
    <w:basedOn w:val="TableNormal"/>
    <w:uiPriority w:val="49"/>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color w:val="FFFFFF" w:themeColor="background1"/>
      </w:rPr>
      <w:tblPr/>
      <w:tcPr>
        <w:tcBorders>
          <w:top w:val="single" w:sz="4" w:space="0" w:color="C8C8C8" w:themeColor="accent6"/>
          <w:left w:val="single" w:sz="4" w:space="0" w:color="C8C8C8" w:themeColor="accent6"/>
          <w:bottom w:val="single" w:sz="4" w:space="0" w:color="C8C8C8" w:themeColor="accent6"/>
          <w:right w:val="single" w:sz="4" w:space="0" w:color="C8C8C8" w:themeColor="accent6"/>
          <w:insideH w:val="nil"/>
          <w:insideV w:val="nil"/>
        </w:tcBorders>
        <w:shd w:val="clear" w:color="auto" w:fill="C8C8C8" w:themeFill="accent6"/>
      </w:tcPr>
    </w:tblStylePr>
    <w:tblStylePr w:type="lastRow">
      <w:rPr>
        <w:b/>
        <w:bCs/>
      </w:rPr>
      <w:tblPr/>
      <w:tcPr>
        <w:tcBorders>
          <w:top w:val="double" w:sz="4" w:space="0" w:color="C8C8C8" w:themeColor="accent6"/>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5Dark">
    <w:name w:val="Grid Table 5 Dark"/>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0CD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2314D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2314D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2314D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2314DC" w:themeFill="accent1"/>
      </w:tcPr>
    </w:tblStylePr>
    <w:tblStylePr w:type="band1Vert">
      <w:tblPr/>
      <w:tcPr>
        <w:shd w:val="clear" w:color="auto" w:fill="A29CF6" w:themeFill="accent1" w:themeFillTint="66"/>
      </w:tcPr>
    </w:tblStylePr>
    <w:tblStylePr w:type="band1Horz">
      <w:tblPr/>
      <w:tcPr>
        <w:shd w:val="clear" w:color="auto" w:fill="A29CF6" w:themeFill="accent1" w:themeFillTint="66"/>
      </w:tcPr>
    </w:tblStylePr>
  </w:style>
  <w:style w:type="table" w:styleId="GridTable5Dark-Accent2">
    <w:name w:val="Grid Table 5 Dark Accent 2"/>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AFFE"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F006E"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F006E"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F006E"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F006E" w:themeFill="accent2"/>
      </w:tcPr>
    </w:tblStylePr>
    <w:tblStylePr w:type="band1Vert">
      <w:tblPr/>
      <w:tcPr>
        <w:shd w:val="clear" w:color="auto" w:fill="FF5FFD" w:themeFill="accent2" w:themeFillTint="66"/>
      </w:tcPr>
    </w:tblStylePr>
    <w:tblStylePr w:type="band1Horz">
      <w:tblPr/>
      <w:tcPr>
        <w:shd w:val="clear" w:color="auto" w:fill="FF5FFD" w:themeFill="accent2" w:themeFillTint="66"/>
      </w:tcPr>
    </w:tblStylePr>
  </w:style>
  <w:style w:type="table" w:styleId="GridTable5Dark-Accent3">
    <w:name w:val="Grid Table 5 Dark Accent 3"/>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7D4DB"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D7285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D7285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D7285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D72850" w:themeFill="accent3"/>
      </w:tcPr>
    </w:tblStylePr>
    <w:tblStylePr w:type="band1Vert">
      <w:tblPr/>
      <w:tcPr>
        <w:shd w:val="clear" w:color="auto" w:fill="EFA9B8" w:themeFill="accent3" w:themeFillTint="66"/>
      </w:tcPr>
    </w:tblStylePr>
    <w:tblStylePr w:type="band1Horz">
      <w:tblPr/>
      <w:tcPr>
        <w:shd w:val="clear" w:color="auto" w:fill="EFA9B8" w:themeFill="accent3" w:themeFillTint="66"/>
      </w:tcPr>
    </w:tblStylePr>
  </w:style>
  <w:style w:type="table" w:styleId="GridTable5Dark-Accent4">
    <w:name w:val="Grid Table 5 Dark Accent 4"/>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BD0"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A014"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A014"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A014"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A014" w:themeFill="accent4"/>
      </w:tcPr>
    </w:tblStylePr>
    <w:tblStylePr w:type="band1Vert">
      <w:tblPr/>
      <w:tcPr>
        <w:shd w:val="clear" w:color="auto" w:fill="FFD8A1" w:themeFill="accent4" w:themeFillTint="66"/>
      </w:tcPr>
    </w:tblStylePr>
    <w:tblStylePr w:type="band1Horz">
      <w:tblPr/>
      <w:tcPr>
        <w:shd w:val="clear" w:color="auto" w:fill="FFD8A1" w:themeFill="accent4" w:themeFillTint="66"/>
      </w:tcPr>
    </w:tblStylePr>
  </w:style>
  <w:style w:type="table" w:styleId="GridTable5Dark-Accent5">
    <w:name w:val="Grid Table 5 Dark Accent 5"/>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2FFE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D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D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D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D55" w:themeFill="accent5"/>
      </w:tcPr>
    </w:tblStylePr>
    <w:tblStylePr w:type="band1Vert">
      <w:tblPr/>
      <w:tcPr>
        <w:shd w:val="clear" w:color="auto" w:fill="65FFCD" w:themeFill="accent5" w:themeFillTint="66"/>
      </w:tcPr>
    </w:tblStylePr>
    <w:tblStylePr w:type="band1Horz">
      <w:tblPr/>
      <w:tcPr>
        <w:shd w:val="clear" w:color="auto" w:fill="65FFCD" w:themeFill="accent5" w:themeFillTint="66"/>
      </w:tcPr>
    </w:tblStylePr>
  </w:style>
  <w:style w:type="table" w:styleId="GridTable5Dark-Accent6">
    <w:name w:val="Grid Table 5 Dark Accent 6"/>
    <w:basedOn w:val="TableNormal"/>
    <w:uiPriority w:val="50"/>
    <w:rsid w:val="00B632C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4F4F4"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8C8C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8C8C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8C8C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8C8C8" w:themeFill="accent6"/>
      </w:tcPr>
    </w:tblStylePr>
    <w:tblStylePr w:type="band1Vert">
      <w:tblPr/>
      <w:tcPr>
        <w:shd w:val="clear" w:color="auto" w:fill="E9E9E9" w:themeFill="accent6" w:themeFillTint="66"/>
      </w:tcPr>
    </w:tblStylePr>
    <w:tblStylePr w:type="band1Horz">
      <w:tblPr/>
      <w:tcPr>
        <w:shd w:val="clear" w:color="auto" w:fill="E9E9E9" w:themeFill="accent6" w:themeFillTint="66"/>
      </w:tcPr>
    </w:tblStylePr>
  </w:style>
  <w:style w:type="table" w:styleId="GridTable6Colorful">
    <w:name w:val="Grid Table 6 Colorful"/>
    <w:basedOn w:val="TableNormal"/>
    <w:uiPriority w:val="51"/>
    <w:rsid w:val="00B632C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B632CF"/>
    <w:rPr>
      <w:color w:val="1A0FA4" w:themeColor="accent1" w:themeShade="BF"/>
    </w:rPr>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bottom w:val="single" w:sz="12" w:space="0" w:color="746AF1" w:themeColor="accent1" w:themeTint="99"/>
        </w:tcBorders>
      </w:tcPr>
    </w:tblStylePr>
    <w:tblStylePr w:type="lastRow">
      <w:rPr>
        <w:b/>
        <w:bCs/>
      </w:rPr>
      <w:tblPr/>
      <w:tcPr>
        <w:tcBorders>
          <w:top w:val="doub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GridTable6Colorful-Accent2">
    <w:name w:val="Grid Table 6 Colorful Accent 2"/>
    <w:basedOn w:val="TableNormal"/>
    <w:uiPriority w:val="51"/>
    <w:rsid w:val="00B632CF"/>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bottom w:val="single" w:sz="12" w:space="0" w:color="FF0FFC" w:themeColor="accent2" w:themeTint="99"/>
        </w:tcBorders>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GridTable6Colorful-Accent3">
    <w:name w:val="Grid Table 6 Colorful Accent 3"/>
    <w:basedOn w:val="TableNormal"/>
    <w:uiPriority w:val="51"/>
    <w:rsid w:val="00B632CF"/>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bottom w:val="single" w:sz="12" w:space="0" w:color="E77E95" w:themeColor="accent3" w:themeTint="99"/>
        </w:tcBorders>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GridTable6Colorful-Accent4">
    <w:name w:val="Grid Table 6 Colorful Accent 4"/>
    <w:basedOn w:val="TableNormal"/>
    <w:uiPriority w:val="51"/>
    <w:rsid w:val="00B632CF"/>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bottom w:val="single" w:sz="12" w:space="0" w:color="FFC572" w:themeColor="accent4" w:themeTint="99"/>
        </w:tcBorders>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GridTable6Colorful-Accent5">
    <w:name w:val="Grid Table 6 Colorful Accent 5"/>
    <w:basedOn w:val="TableNormal"/>
    <w:uiPriority w:val="51"/>
    <w:rsid w:val="00B632CF"/>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bottom w:val="single" w:sz="12" w:space="0" w:color="18FFB4" w:themeColor="accent5" w:themeTint="99"/>
        </w:tcBorders>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GridTable6Colorful-Accent6">
    <w:name w:val="Grid Table 6 Colorful Accent 6"/>
    <w:basedOn w:val="TableNormal"/>
    <w:uiPriority w:val="51"/>
    <w:rsid w:val="00B632CF"/>
    <w:rPr>
      <w:color w:val="959595" w:themeColor="accent6" w:themeShade="BF"/>
    </w:rPr>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bottom w:val="single" w:sz="12" w:space="0" w:color="DEDEDE" w:themeColor="accent6" w:themeTint="99"/>
        </w:tcBorders>
      </w:tcPr>
    </w:tblStylePr>
    <w:tblStylePr w:type="lastRow">
      <w:rPr>
        <w:b/>
        <w:bCs/>
      </w:rPr>
      <w:tblPr/>
      <w:tcPr>
        <w:tcBorders>
          <w:top w:val="doub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GridTable7Colorful">
    <w:name w:val="Grid Table 7 Colorful"/>
    <w:basedOn w:val="TableNormal"/>
    <w:uiPriority w:val="52"/>
    <w:rsid w:val="00B632CF"/>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B632CF"/>
    <w:rPr>
      <w:color w:val="1A0FA4" w:themeColor="accent1" w:themeShade="BF"/>
    </w:rPr>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insideV w:val="single" w:sz="4" w:space="0" w:color="746AF1"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bottom w:val="single" w:sz="4" w:space="0" w:color="746AF1" w:themeColor="accent1" w:themeTint="99"/>
        </w:tcBorders>
      </w:tcPr>
    </w:tblStylePr>
    <w:tblStylePr w:type="nwCell">
      <w:tblPr/>
      <w:tcPr>
        <w:tcBorders>
          <w:bottom w:val="single" w:sz="4" w:space="0" w:color="746AF1" w:themeColor="accent1" w:themeTint="99"/>
        </w:tcBorders>
      </w:tcPr>
    </w:tblStylePr>
    <w:tblStylePr w:type="seCell">
      <w:tblPr/>
      <w:tcPr>
        <w:tcBorders>
          <w:top w:val="single" w:sz="4" w:space="0" w:color="746AF1" w:themeColor="accent1" w:themeTint="99"/>
        </w:tcBorders>
      </w:tcPr>
    </w:tblStylePr>
    <w:tblStylePr w:type="swCell">
      <w:tblPr/>
      <w:tcPr>
        <w:tcBorders>
          <w:top w:val="single" w:sz="4" w:space="0" w:color="746AF1" w:themeColor="accent1" w:themeTint="99"/>
        </w:tcBorders>
      </w:tcPr>
    </w:tblStylePr>
  </w:style>
  <w:style w:type="table" w:styleId="GridTable7Colorful-Accent2">
    <w:name w:val="Grid Table 7 Colorful Accent 2"/>
    <w:basedOn w:val="TableNormal"/>
    <w:uiPriority w:val="52"/>
    <w:rsid w:val="00B632CF"/>
    <w:rPr>
      <w:color w:val="530052" w:themeColor="accent2" w:themeShade="BF"/>
    </w:rPr>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insideV w:val="single" w:sz="4" w:space="0" w:color="FF0FF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bottom w:val="single" w:sz="4" w:space="0" w:color="FF0FFC" w:themeColor="accent2" w:themeTint="99"/>
        </w:tcBorders>
      </w:tcPr>
    </w:tblStylePr>
    <w:tblStylePr w:type="nwCell">
      <w:tblPr/>
      <w:tcPr>
        <w:tcBorders>
          <w:bottom w:val="single" w:sz="4" w:space="0" w:color="FF0FFC" w:themeColor="accent2" w:themeTint="99"/>
        </w:tcBorders>
      </w:tcPr>
    </w:tblStylePr>
    <w:tblStylePr w:type="seCell">
      <w:tblPr/>
      <w:tcPr>
        <w:tcBorders>
          <w:top w:val="single" w:sz="4" w:space="0" w:color="FF0FFC" w:themeColor="accent2" w:themeTint="99"/>
        </w:tcBorders>
      </w:tcPr>
    </w:tblStylePr>
    <w:tblStylePr w:type="swCell">
      <w:tblPr/>
      <w:tcPr>
        <w:tcBorders>
          <w:top w:val="single" w:sz="4" w:space="0" w:color="FF0FFC" w:themeColor="accent2" w:themeTint="99"/>
        </w:tcBorders>
      </w:tcPr>
    </w:tblStylePr>
  </w:style>
  <w:style w:type="table" w:styleId="GridTable7Colorful-Accent3">
    <w:name w:val="Grid Table 7 Colorful Accent 3"/>
    <w:basedOn w:val="TableNormal"/>
    <w:uiPriority w:val="52"/>
    <w:rsid w:val="00B632CF"/>
    <w:rPr>
      <w:color w:val="A11E3B" w:themeColor="accent3" w:themeShade="BF"/>
    </w:rPr>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insideV w:val="single" w:sz="4" w:space="0" w:color="E77E95"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bottom w:val="single" w:sz="4" w:space="0" w:color="E77E95" w:themeColor="accent3" w:themeTint="99"/>
        </w:tcBorders>
      </w:tcPr>
    </w:tblStylePr>
    <w:tblStylePr w:type="nwCell">
      <w:tblPr/>
      <w:tcPr>
        <w:tcBorders>
          <w:bottom w:val="single" w:sz="4" w:space="0" w:color="E77E95" w:themeColor="accent3" w:themeTint="99"/>
        </w:tcBorders>
      </w:tcPr>
    </w:tblStylePr>
    <w:tblStylePr w:type="seCell">
      <w:tblPr/>
      <w:tcPr>
        <w:tcBorders>
          <w:top w:val="single" w:sz="4" w:space="0" w:color="E77E95" w:themeColor="accent3" w:themeTint="99"/>
        </w:tcBorders>
      </w:tcPr>
    </w:tblStylePr>
    <w:tblStylePr w:type="swCell">
      <w:tblPr/>
      <w:tcPr>
        <w:tcBorders>
          <w:top w:val="single" w:sz="4" w:space="0" w:color="E77E95" w:themeColor="accent3" w:themeTint="99"/>
        </w:tcBorders>
      </w:tcPr>
    </w:tblStylePr>
  </w:style>
  <w:style w:type="table" w:styleId="GridTable7Colorful-Accent4">
    <w:name w:val="Grid Table 7 Colorful Accent 4"/>
    <w:basedOn w:val="TableNormal"/>
    <w:uiPriority w:val="52"/>
    <w:rsid w:val="00B632CF"/>
    <w:rPr>
      <w:color w:val="CD7900" w:themeColor="accent4" w:themeShade="BF"/>
    </w:rPr>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insideV w:val="single" w:sz="4" w:space="0" w:color="FFC572"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bottom w:val="single" w:sz="4" w:space="0" w:color="FFC572" w:themeColor="accent4" w:themeTint="99"/>
        </w:tcBorders>
      </w:tcPr>
    </w:tblStylePr>
    <w:tblStylePr w:type="nwCell">
      <w:tblPr/>
      <w:tcPr>
        <w:tcBorders>
          <w:bottom w:val="single" w:sz="4" w:space="0" w:color="FFC572" w:themeColor="accent4" w:themeTint="99"/>
        </w:tcBorders>
      </w:tcPr>
    </w:tblStylePr>
    <w:tblStylePr w:type="seCell">
      <w:tblPr/>
      <w:tcPr>
        <w:tcBorders>
          <w:top w:val="single" w:sz="4" w:space="0" w:color="FFC572" w:themeColor="accent4" w:themeTint="99"/>
        </w:tcBorders>
      </w:tcPr>
    </w:tblStylePr>
    <w:tblStylePr w:type="swCell">
      <w:tblPr/>
      <w:tcPr>
        <w:tcBorders>
          <w:top w:val="single" w:sz="4" w:space="0" w:color="FFC572" w:themeColor="accent4" w:themeTint="99"/>
        </w:tcBorders>
      </w:tcPr>
    </w:tblStylePr>
  </w:style>
  <w:style w:type="table" w:styleId="GridTable7Colorful-Accent5">
    <w:name w:val="Grid Table 7 Colorful Accent 5"/>
    <w:basedOn w:val="TableNormal"/>
    <w:uiPriority w:val="52"/>
    <w:rsid w:val="00B632CF"/>
    <w:rPr>
      <w:color w:val="005D3F" w:themeColor="accent5" w:themeShade="BF"/>
    </w:rPr>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insideV w:val="single" w:sz="4" w:space="0" w:color="18FFB4"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bottom w:val="single" w:sz="4" w:space="0" w:color="18FFB4" w:themeColor="accent5" w:themeTint="99"/>
        </w:tcBorders>
      </w:tcPr>
    </w:tblStylePr>
    <w:tblStylePr w:type="nwCell">
      <w:tblPr/>
      <w:tcPr>
        <w:tcBorders>
          <w:bottom w:val="single" w:sz="4" w:space="0" w:color="18FFB4" w:themeColor="accent5" w:themeTint="99"/>
        </w:tcBorders>
      </w:tcPr>
    </w:tblStylePr>
    <w:tblStylePr w:type="seCell">
      <w:tblPr/>
      <w:tcPr>
        <w:tcBorders>
          <w:top w:val="single" w:sz="4" w:space="0" w:color="18FFB4" w:themeColor="accent5" w:themeTint="99"/>
        </w:tcBorders>
      </w:tcPr>
    </w:tblStylePr>
    <w:tblStylePr w:type="swCell">
      <w:tblPr/>
      <w:tcPr>
        <w:tcBorders>
          <w:top w:val="single" w:sz="4" w:space="0" w:color="18FFB4" w:themeColor="accent5" w:themeTint="99"/>
        </w:tcBorders>
      </w:tcPr>
    </w:tblStylePr>
  </w:style>
  <w:style w:type="table" w:styleId="GridTable7Colorful-Accent6">
    <w:name w:val="Grid Table 7 Colorful Accent 6"/>
    <w:basedOn w:val="TableNormal"/>
    <w:uiPriority w:val="52"/>
    <w:rsid w:val="00B632CF"/>
    <w:rPr>
      <w:color w:val="959595" w:themeColor="accent6" w:themeShade="BF"/>
    </w:rPr>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insideV w:val="single" w:sz="4" w:space="0" w:color="DEDEDE"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bottom w:val="single" w:sz="4" w:space="0" w:color="DEDEDE" w:themeColor="accent6" w:themeTint="99"/>
        </w:tcBorders>
      </w:tcPr>
    </w:tblStylePr>
    <w:tblStylePr w:type="nwCell">
      <w:tblPr/>
      <w:tcPr>
        <w:tcBorders>
          <w:bottom w:val="single" w:sz="4" w:space="0" w:color="DEDEDE" w:themeColor="accent6" w:themeTint="99"/>
        </w:tcBorders>
      </w:tcPr>
    </w:tblStylePr>
    <w:tblStylePr w:type="seCell">
      <w:tblPr/>
      <w:tcPr>
        <w:tcBorders>
          <w:top w:val="single" w:sz="4" w:space="0" w:color="DEDEDE" w:themeColor="accent6" w:themeTint="99"/>
        </w:tcBorders>
      </w:tcPr>
    </w:tblStylePr>
    <w:tblStylePr w:type="swCell">
      <w:tblPr/>
      <w:tcPr>
        <w:tcBorders>
          <w:top w:val="single" w:sz="4" w:space="0" w:color="DEDEDE" w:themeColor="accent6" w:themeTint="99"/>
        </w:tcBorders>
      </w:tcPr>
    </w:tblStylePr>
  </w:style>
  <w:style w:type="character" w:styleId="Hashtag">
    <w:name w:val="Hashtag"/>
    <w:basedOn w:val="DefaultParagraphFont"/>
    <w:uiPriority w:val="99"/>
    <w:semiHidden/>
    <w:unhideWhenUsed/>
    <w:rsid w:val="00B632CF"/>
    <w:rPr>
      <w:color w:val="2B579A"/>
      <w:shd w:val="clear" w:color="auto" w:fill="E1DFDD"/>
    </w:rPr>
  </w:style>
  <w:style w:type="character" w:styleId="HTMLAcronym">
    <w:name w:val="HTML Acronym"/>
    <w:basedOn w:val="DefaultParagraphFont"/>
    <w:uiPriority w:val="99"/>
    <w:semiHidden/>
    <w:unhideWhenUsed/>
    <w:rsid w:val="00B632CF"/>
  </w:style>
  <w:style w:type="paragraph" w:styleId="HTMLAddress">
    <w:name w:val="HTML Address"/>
    <w:basedOn w:val="Normal"/>
    <w:link w:val="HTMLAddressChar"/>
    <w:uiPriority w:val="99"/>
    <w:semiHidden/>
    <w:unhideWhenUsed/>
    <w:rsid w:val="00B632CF"/>
    <w:pPr>
      <w:spacing w:after="0" w:line="240" w:lineRule="auto"/>
    </w:pPr>
    <w:rPr>
      <w:i/>
      <w:iCs/>
    </w:rPr>
  </w:style>
  <w:style w:type="character" w:customStyle="1" w:styleId="HTMLAddressChar">
    <w:name w:val="HTML Address Char"/>
    <w:basedOn w:val="DefaultParagraphFont"/>
    <w:link w:val="HTMLAddress"/>
    <w:uiPriority w:val="99"/>
    <w:semiHidden/>
    <w:rsid w:val="00B632CF"/>
    <w:rPr>
      <w:rFonts w:ascii="Jacobs Chronos" w:hAnsi="Jacobs Chronos" w:cs="Jacobs Chronos"/>
      <w:i/>
      <w:iCs/>
      <w:sz w:val="20"/>
    </w:rPr>
  </w:style>
  <w:style w:type="character" w:styleId="HTMLCite">
    <w:name w:val="HTML Cite"/>
    <w:basedOn w:val="DefaultParagraphFont"/>
    <w:uiPriority w:val="99"/>
    <w:semiHidden/>
    <w:unhideWhenUsed/>
    <w:rsid w:val="00B632CF"/>
    <w:rPr>
      <w:i/>
      <w:iCs/>
    </w:rPr>
  </w:style>
  <w:style w:type="character" w:styleId="HTMLCode">
    <w:name w:val="HTML Code"/>
    <w:basedOn w:val="DefaultParagraphFont"/>
    <w:uiPriority w:val="99"/>
    <w:semiHidden/>
    <w:unhideWhenUsed/>
    <w:rsid w:val="00B632CF"/>
    <w:rPr>
      <w:rFonts w:ascii="Consolas" w:hAnsi="Consolas"/>
      <w:sz w:val="20"/>
      <w:szCs w:val="20"/>
    </w:rPr>
  </w:style>
  <w:style w:type="character" w:styleId="HTMLDefinition">
    <w:name w:val="HTML Definition"/>
    <w:basedOn w:val="DefaultParagraphFont"/>
    <w:uiPriority w:val="99"/>
    <w:semiHidden/>
    <w:unhideWhenUsed/>
    <w:rsid w:val="00B632CF"/>
    <w:rPr>
      <w:i/>
      <w:iCs/>
    </w:rPr>
  </w:style>
  <w:style w:type="character" w:styleId="HTMLKeyboard">
    <w:name w:val="HTML Keyboard"/>
    <w:basedOn w:val="DefaultParagraphFont"/>
    <w:uiPriority w:val="99"/>
    <w:semiHidden/>
    <w:unhideWhenUsed/>
    <w:rsid w:val="00B632CF"/>
    <w:rPr>
      <w:rFonts w:ascii="Consolas" w:hAnsi="Consolas"/>
      <w:sz w:val="20"/>
      <w:szCs w:val="20"/>
    </w:rPr>
  </w:style>
  <w:style w:type="paragraph" w:styleId="HTMLPreformatted">
    <w:name w:val="HTML Preformatted"/>
    <w:basedOn w:val="Normal"/>
    <w:link w:val="HTMLPreformattedChar"/>
    <w:uiPriority w:val="99"/>
    <w:semiHidden/>
    <w:unhideWhenUsed/>
    <w:rsid w:val="00B632CF"/>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B632CF"/>
    <w:rPr>
      <w:rFonts w:ascii="Consolas" w:hAnsi="Consolas" w:cs="Jacobs Chronos"/>
      <w:sz w:val="20"/>
      <w:szCs w:val="20"/>
    </w:rPr>
  </w:style>
  <w:style w:type="character" w:styleId="HTMLSample">
    <w:name w:val="HTML Sample"/>
    <w:basedOn w:val="DefaultParagraphFont"/>
    <w:uiPriority w:val="99"/>
    <w:semiHidden/>
    <w:unhideWhenUsed/>
    <w:rsid w:val="00B632CF"/>
    <w:rPr>
      <w:rFonts w:ascii="Consolas" w:hAnsi="Consolas"/>
      <w:sz w:val="24"/>
      <w:szCs w:val="24"/>
    </w:rPr>
  </w:style>
  <w:style w:type="character" w:styleId="HTMLTypewriter">
    <w:name w:val="HTML Typewriter"/>
    <w:basedOn w:val="DefaultParagraphFont"/>
    <w:uiPriority w:val="99"/>
    <w:semiHidden/>
    <w:unhideWhenUsed/>
    <w:rsid w:val="00B632CF"/>
    <w:rPr>
      <w:rFonts w:ascii="Consolas" w:hAnsi="Consolas"/>
      <w:sz w:val="20"/>
      <w:szCs w:val="20"/>
    </w:rPr>
  </w:style>
  <w:style w:type="character" w:styleId="HTMLVariable">
    <w:name w:val="HTML Variable"/>
    <w:basedOn w:val="DefaultParagraphFont"/>
    <w:uiPriority w:val="99"/>
    <w:semiHidden/>
    <w:unhideWhenUsed/>
    <w:rsid w:val="00B632CF"/>
    <w:rPr>
      <w:i/>
      <w:iCs/>
    </w:rPr>
  </w:style>
  <w:style w:type="paragraph" w:styleId="Index1">
    <w:name w:val="index 1"/>
    <w:basedOn w:val="Normal"/>
    <w:next w:val="Normal"/>
    <w:autoRedefine/>
    <w:uiPriority w:val="99"/>
    <w:semiHidden/>
    <w:unhideWhenUsed/>
    <w:rsid w:val="00B632CF"/>
    <w:pPr>
      <w:spacing w:after="0" w:line="240" w:lineRule="auto"/>
      <w:ind w:left="200" w:hanging="200"/>
    </w:pPr>
  </w:style>
  <w:style w:type="paragraph" w:styleId="Index2">
    <w:name w:val="index 2"/>
    <w:basedOn w:val="Normal"/>
    <w:next w:val="Normal"/>
    <w:autoRedefine/>
    <w:uiPriority w:val="99"/>
    <w:semiHidden/>
    <w:unhideWhenUsed/>
    <w:rsid w:val="00B632CF"/>
    <w:pPr>
      <w:spacing w:after="0" w:line="240" w:lineRule="auto"/>
      <w:ind w:left="400" w:hanging="200"/>
    </w:pPr>
  </w:style>
  <w:style w:type="paragraph" w:styleId="Index3">
    <w:name w:val="index 3"/>
    <w:basedOn w:val="Normal"/>
    <w:next w:val="Normal"/>
    <w:autoRedefine/>
    <w:uiPriority w:val="99"/>
    <w:semiHidden/>
    <w:unhideWhenUsed/>
    <w:rsid w:val="00B632CF"/>
    <w:pPr>
      <w:spacing w:after="0" w:line="240" w:lineRule="auto"/>
      <w:ind w:left="600" w:hanging="200"/>
    </w:pPr>
  </w:style>
  <w:style w:type="paragraph" w:styleId="Index4">
    <w:name w:val="index 4"/>
    <w:basedOn w:val="Normal"/>
    <w:next w:val="Normal"/>
    <w:autoRedefine/>
    <w:uiPriority w:val="99"/>
    <w:semiHidden/>
    <w:unhideWhenUsed/>
    <w:rsid w:val="00B632CF"/>
    <w:pPr>
      <w:spacing w:after="0" w:line="240" w:lineRule="auto"/>
      <w:ind w:left="800" w:hanging="200"/>
    </w:pPr>
  </w:style>
  <w:style w:type="paragraph" w:styleId="Index5">
    <w:name w:val="index 5"/>
    <w:basedOn w:val="Normal"/>
    <w:next w:val="Normal"/>
    <w:autoRedefine/>
    <w:uiPriority w:val="99"/>
    <w:semiHidden/>
    <w:unhideWhenUsed/>
    <w:rsid w:val="00B632CF"/>
    <w:pPr>
      <w:spacing w:after="0" w:line="240" w:lineRule="auto"/>
      <w:ind w:left="1000" w:hanging="200"/>
    </w:pPr>
  </w:style>
  <w:style w:type="paragraph" w:styleId="Index6">
    <w:name w:val="index 6"/>
    <w:basedOn w:val="Normal"/>
    <w:next w:val="Normal"/>
    <w:autoRedefine/>
    <w:uiPriority w:val="99"/>
    <w:semiHidden/>
    <w:unhideWhenUsed/>
    <w:rsid w:val="00B632CF"/>
    <w:pPr>
      <w:spacing w:after="0" w:line="240" w:lineRule="auto"/>
      <w:ind w:left="1200" w:hanging="200"/>
    </w:pPr>
  </w:style>
  <w:style w:type="paragraph" w:styleId="Index7">
    <w:name w:val="index 7"/>
    <w:basedOn w:val="Normal"/>
    <w:next w:val="Normal"/>
    <w:autoRedefine/>
    <w:uiPriority w:val="99"/>
    <w:semiHidden/>
    <w:unhideWhenUsed/>
    <w:rsid w:val="00B632CF"/>
    <w:pPr>
      <w:spacing w:after="0" w:line="240" w:lineRule="auto"/>
      <w:ind w:left="1400" w:hanging="200"/>
    </w:pPr>
  </w:style>
  <w:style w:type="paragraph" w:styleId="Index8">
    <w:name w:val="index 8"/>
    <w:basedOn w:val="Normal"/>
    <w:next w:val="Normal"/>
    <w:autoRedefine/>
    <w:uiPriority w:val="99"/>
    <w:semiHidden/>
    <w:unhideWhenUsed/>
    <w:rsid w:val="00B632CF"/>
    <w:pPr>
      <w:spacing w:after="0" w:line="240" w:lineRule="auto"/>
      <w:ind w:left="1600" w:hanging="200"/>
    </w:pPr>
  </w:style>
  <w:style w:type="paragraph" w:styleId="Index9">
    <w:name w:val="index 9"/>
    <w:basedOn w:val="Normal"/>
    <w:next w:val="Normal"/>
    <w:autoRedefine/>
    <w:uiPriority w:val="99"/>
    <w:semiHidden/>
    <w:unhideWhenUsed/>
    <w:rsid w:val="00B632CF"/>
    <w:pPr>
      <w:spacing w:after="0" w:line="240" w:lineRule="auto"/>
      <w:ind w:left="1800" w:hanging="200"/>
    </w:pPr>
  </w:style>
  <w:style w:type="paragraph" w:styleId="IndexHeading">
    <w:name w:val="index heading"/>
    <w:basedOn w:val="Normal"/>
    <w:next w:val="Index1"/>
    <w:uiPriority w:val="99"/>
    <w:semiHidden/>
    <w:unhideWhenUsed/>
    <w:rsid w:val="00B632CF"/>
    <w:rPr>
      <w:rFonts w:asciiTheme="majorHAnsi" w:eastAsiaTheme="majorEastAsia" w:hAnsiTheme="majorHAnsi" w:cstheme="majorBidi"/>
      <w:b/>
      <w:bCs/>
    </w:rPr>
  </w:style>
  <w:style w:type="character" w:styleId="IntenseEmphasis">
    <w:name w:val="Intense Emphasis"/>
    <w:basedOn w:val="DefaultParagraphFont"/>
    <w:uiPriority w:val="21"/>
    <w:rsid w:val="00B632CF"/>
    <w:rPr>
      <w:i/>
      <w:iCs/>
      <w:color w:val="2314DC" w:themeColor="accent1"/>
    </w:rPr>
  </w:style>
  <w:style w:type="character" w:styleId="IntenseReference">
    <w:name w:val="Intense Reference"/>
    <w:basedOn w:val="DefaultParagraphFont"/>
    <w:uiPriority w:val="32"/>
    <w:rsid w:val="00B632CF"/>
    <w:rPr>
      <w:b/>
      <w:bCs/>
      <w:smallCaps/>
      <w:color w:val="2314DC" w:themeColor="accent1"/>
      <w:spacing w:val="5"/>
    </w:rPr>
  </w:style>
  <w:style w:type="table" w:styleId="LightGrid">
    <w:name w:val="Light Grid"/>
    <w:basedOn w:val="TableNormal"/>
    <w:uiPriority w:val="62"/>
    <w:semiHidden/>
    <w:unhideWhenUsed/>
    <w:rsid w:val="00B632C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B632CF"/>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insideH w:val="single" w:sz="8" w:space="0" w:color="2314DC" w:themeColor="accent1"/>
        <w:insideV w:val="single" w:sz="8" w:space="0" w:color="2314D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14DC" w:themeColor="accent1"/>
          <w:left w:val="single" w:sz="8" w:space="0" w:color="2314DC" w:themeColor="accent1"/>
          <w:bottom w:val="single" w:sz="18" w:space="0" w:color="2314DC" w:themeColor="accent1"/>
          <w:right w:val="single" w:sz="8" w:space="0" w:color="2314DC" w:themeColor="accent1"/>
          <w:insideH w:val="nil"/>
          <w:insideV w:val="single" w:sz="8" w:space="0" w:color="2314D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14DC" w:themeColor="accent1"/>
          <w:left w:val="single" w:sz="8" w:space="0" w:color="2314DC" w:themeColor="accent1"/>
          <w:bottom w:val="single" w:sz="8" w:space="0" w:color="2314DC" w:themeColor="accent1"/>
          <w:right w:val="single" w:sz="8" w:space="0" w:color="2314DC" w:themeColor="accent1"/>
          <w:insideH w:val="nil"/>
          <w:insideV w:val="single" w:sz="8" w:space="0" w:color="2314D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tblStylePr w:type="band1Vert">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shd w:val="clear" w:color="auto" w:fill="C5C1F9" w:themeFill="accent1" w:themeFillTint="3F"/>
      </w:tcPr>
    </w:tblStylePr>
    <w:tblStylePr w:type="band1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insideV w:val="single" w:sz="8" w:space="0" w:color="2314DC" w:themeColor="accent1"/>
        </w:tcBorders>
        <w:shd w:val="clear" w:color="auto" w:fill="C5C1F9" w:themeFill="accent1" w:themeFillTint="3F"/>
      </w:tcPr>
    </w:tblStylePr>
    <w:tblStylePr w:type="band2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insideV w:val="single" w:sz="8" w:space="0" w:color="2314DC" w:themeColor="accent1"/>
        </w:tcBorders>
      </w:tcPr>
    </w:tblStylePr>
  </w:style>
  <w:style w:type="table" w:styleId="LightGrid-Accent2">
    <w:name w:val="Light Grid Accent 2"/>
    <w:basedOn w:val="TableNormal"/>
    <w:uiPriority w:val="62"/>
    <w:semiHidden/>
    <w:unhideWhenUsed/>
    <w:rsid w:val="00B632CF"/>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18" w:space="0" w:color="6F006E" w:themeColor="accent2"/>
          <w:right w:val="single" w:sz="8" w:space="0" w:color="6F006E" w:themeColor="accent2"/>
          <w:insideH w:val="nil"/>
          <w:insideV w:val="single" w:sz="8" w:space="0" w:color="6F006E"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insideH w:val="nil"/>
          <w:insideV w:val="single" w:sz="8" w:space="0" w:color="6F006E"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shd w:val="clear" w:color="auto" w:fill="FF9CFD" w:themeFill="accent2" w:themeFillTint="3F"/>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shd w:val="clear" w:color="auto" w:fill="FF9CFD" w:themeFill="accent2" w:themeFillTint="3F"/>
      </w:tcPr>
    </w:tblStylePr>
    <w:tblStylePr w:type="band2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insideV w:val="single" w:sz="8" w:space="0" w:color="6F006E" w:themeColor="accent2"/>
        </w:tcBorders>
      </w:tcPr>
    </w:tblStylePr>
  </w:style>
  <w:style w:type="table" w:styleId="LightGrid-Accent3">
    <w:name w:val="Light Grid Accent 3"/>
    <w:basedOn w:val="TableNormal"/>
    <w:uiPriority w:val="62"/>
    <w:semiHidden/>
    <w:unhideWhenUsed/>
    <w:rsid w:val="00B632CF"/>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18" w:space="0" w:color="D72850" w:themeColor="accent3"/>
          <w:right w:val="single" w:sz="8" w:space="0" w:color="D72850" w:themeColor="accent3"/>
          <w:insideH w:val="nil"/>
          <w:insideV w:val="single" w:sz="8" w:space="0" w:color="D72850"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insideH w:val="nil"/>
          <w:insideV w:val="single" w:sz="8" w:space="0" w:color="D72850"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shd w:val="clear" w:color="auto" w:fill="F5C9D3" w:themeFill="accent3" w:themeFillTint="3F"/>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shd w:val="clear" w:color="auto" w:fill="F5C9D3" w:themeFill="accent3" w:themeFillTint="3F"/>
      </w:tcPr>
    </w:tblStylePr>
    <w:tblStylePr w:type="band2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insideV w:val="single" w:sz="8" w:space="0" w:color="D72850" w:themeColor="accent3"/>
        </w:tcBorders>
      </w:tcPr>
    </w:tblStylePr>
  </w:style>
  <w:style w:type="table" w:styleId="LightGrid-Accent4">
    <w:name w:val="Light Grid Accent 4"/>
    <w:basedOn w:val="TableNormal"/>
    <w:uiPriority w:val="62"/>
    <w:semiHidden/>
    <w:unhideWhenUsed/>
    <w:rsid w:val="00B632CF"/>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18" w:space="0" w:color="FFA014" w:themeColor="accent4"/>
          <w:right w:val="single" w:sz="8" w:space="0" w:color="FFA014" w:themeColor="accent4"/>
          <w:insideH w:val="nil"/>
          <w:insideV w:val="single" w:sz="8" w:space="0" w:color="FFA014"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insideH w:val="nil"/>
          <w:insideV w:val="single" w:sz="8" w:space="0" w:color="FFA014"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shd w:val="clear" w:color="auto" w:fill="FFE7C4" w:themeFill="accent4" w:themeFillTint="3F"/>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shd w:val="clear" w:color="auto" w:fill="FFE7C4" w:themeFill="accent4" w:themeFillTint="3F"/>
      </w:tcPr>
    </w:tblStylePr>
    <w:tblStylePr w:type="band2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insideV w:val="single" w:sz="8" w:space="0" w:color="FFA014" w:themeColor="accent4"/>
        </w:tcBorders>
      </w:tcPr>
    </w:tblStylePr>
  </w:style>
  <w:style w:type="table" w:styleId="LightGrid-Accent5">
    <w:name w:val="Light Grid Accent 5"/>
    <w:basedOn w:val="TableNormal"/>
    <w:uiPriority w:val="62"/>
    <w:semiHidden/>
    <w:unhideWhenUsed/>
    <w:rsid w:val="00B632CF"/>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18" w:space="0" w:color="007D55" w:themeColor="accent5"/>
          <w:right w:val="single" w:sz="8" w:space="0" w:color="007D55" w:themeColor="accent5"/>
          <w:insideH w:val="nil"/>
          <w:insideV w:val="single" w:sz="8" w:space="0" w:color="007D5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insideH w:val="nil"/>
          <w:insideV w:val="single" w:sz="8" w:space="0" w:color="007D5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shd w:val="clear" w:color="auto" w:fill="9FFFE0" w:themeFill="accent5" w:themeFillTint="3F"/>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shd w:val="clear" w:color="auto" w:fill="9FFFE0" w:themeFill="accent5" w:themeFillTint="3F"/>
      </w:tcPr>
    </w:tblStylePr>
    <w:tblStylePr w:type="band2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insideV w:val="single" w:sz="8" w:space="0" w:color="007D55" w:themeColor="accent5"/>
        </w:tcBorders>
      </w:tcPr>
    </w:tblStylePr>
  </w:style>
  <w:style w:type="table" w:styleId="LightGrid-Accent6">
    <w:name w:val="Light Grid Accent 6"/>
    <w:basedOn w:val="TableNormal"/>
    <w:uiPriority w:val="62"/>
    <w:semiHidden/>
    <w:unhideWhenUsed/>
    <w:rsid w:val="00B632CF"/>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insideH w:val="single" w:sz="8" w:space="0" w:color="C8C8C8" w:themeColor="accent6"/>
        <w:insideV w:val="single" w:sz="8" w:space="0" w:color="C8C8C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8C8C8" w:themeColor="accent6"/>
          <w:left w:val="single" w:sz="8" w:space="0" w:color="C8C8C8" w:themeColor="accent6"/>
          <w:bottom w:val="single" w:sz="18" w:space="0" w:color="C8C8C8" w:themeColor="accent6"/>
          <w:right w:val="single" w:sz="8" w:space="0" w:color="C8C8C8" w:themeColor="accent6"/>
          <w:insideH w:val="nil"/>
          <w:insideV w:val="single" w:sz="8" w:space="0" w:color="C8C8C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8C8C8" w:themeColor="accent6"/>
          <w:left w:val="single" w:sz="8" w:space="0" w:color="C8C8C8" w:themeColor="accent6"/>
          <w:bottom w:val="single" w:sz="8" w:space="0" w:color="C8C8C8" w:themeColor="accent6"/>
          <w:right w:val="single" w:sz="8" w:space="0" w:color="C8C8C8" w:themeColor="accent6"/>
          <w:insideH w:val="nil"/>
          <w:insideV w:val="single" w:sz="8" w:space="0" w:color="C8C8C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tblStylePr w:type="band1Vert">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shd w:val="clear" w:color="auto" w:fill="F1F1F1" w:themeFill="accent6" w:themeFillTint="3F"/>
      </w:tcPr>
    </w:tblStylePr>
    <w:tblStylePr w:type="band1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insideV w:val="single" w:sz="8" w:space="0" w:color="C8C8C8" w:themeColor="accent6"/>
        </w:tcBorders>
        <w:shd w:val="clear" w:color="auto" w:fill="F1F1F1" w:themeFill="accent6" w:themeFillTint="3F"/>
      </w:tcPr>
    </w:tblStylePr>
    <w:tblStylePr w:type="band2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insideV w:val="single" w:sz="8" w:space="0" w:color="C8C8C8" w:themeColor="accent6"/>
        </w:tcBorders>
      </w:tcPr>
    </w:tblStylePr>
  </w:style>
  <w:style w:type="table" w:styleId="LightList">
    <w:name w:val="Light List"/>
    <w:basedOn w:val="TableNormal"/>
    <w:uiPriority w:val="61"/>
    <w:semiHidden/>
    <w:unhideWhenUsed/>
    <w:rsid w:val="00B632CF"/>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B632CF"/>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tblBorders>
    </w:tblPr>
    <w:tblStylePr w:type="firstRow">
      <w:pPr>
        <w:spacing w:before="0" w:after="0" w:line="240" w:lineRule="auto"/>
      </w:pPr>
      <w:rPr>
        <w:b/>
        <w:bCs/>
        <w:color w:val="FFFFFF" w:themeColor="background1"/>
      </w:rPr>
      <w:tblPr/>
      <w:tcPr>
        <w:shd w:val="clear" w:color="auto" w:fill="2314DC" w:themeFill="accent1"/>
      </w:tcPr>
    </w:tblStylePr>
    <w:tblStylePr w:type="lastRow">
      <w:pPr>
        <w:spacing w:before="0" w:after="0" w:line="240" w:lineRule="auto"/>
      </w:pPr>
      <w:rPr>
        <w:b/>
        <w:bCs/>
      </w:rPr>
      <w:tblPr/>
      <w:tcPr>
        <w:tcBorders>
          <w:top w:val="double" w:sz="6" w:space="0" w:color="2314DC" w:themeColor="accent1"/>
          <w:left w:val="single" w:sz="8" w:space="0" w:color="2314DC" w:themeColor="accent1"/>
          <w:bottom w:val="single" w:sz="8" w:space="0" w:color="2314DC" w:themeColor="accent1"/>
          <w:right w:val="single" w:sz="8" w:space="0" w:color="2314DC" w:themeColor="accent1"/>
        </w:tcBorders>
      </w:tcPr>
    </w:tblStylePr>
    <w:tblStylePr w:type="firstCol">
      <w:rPr>
        <w:b/>
        <w:bCs/>
      </w:rPr>
    </w:tblStylePr>
    <w:tblStylePr w:type="lastCol">
      <w:rPr>
        <w:b/>
        <w:bCs/>
      </w:rPr>
    </w:tblStylePr>
    <w:tblStylePr w:type="band1Vert">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tblStylePr w:type="band1Horz">
      <w:tblPr/>
      <w:tcPr>
        <w:tcBorders>
          <w:top w:val="single" w:sz="8" w:space="0" w:color="2314DC" w:themeColor="accent1"/>
          <w:left w:val="single" w:sz="8" w:space="0" w:color="2314DC" w:themeColor="accent1"/>
          <w:bottom w:val="single" w:sz="8" w:space="0" w:color="2314DC" w:themeColor="accent1"/>
          <w:right w:val="single" w:sz="8" w:space="0" w:color="2314DC" w:themeColor="accent1"/>
        </w:tcBorders>
      </w:tcPr>
    </w:tblStylePr>
  </w:style>
  <w:style w:type="table" w:styleId="LightList-Accent2">
    <w:name w:val="Light List Accent 2"/>
    <w:basedOn w:val="TableNormal"/>
    <w:uiPriority w:val="61"/>
    <w:semiHidden/>
    <w:unhideWhenUsed/>
    <w:rsid w:val="00B632CF"/>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pPr>
        <w:spacing w:before="0" w:after="0" w:line="240" w:lineRule="auto"/>
      </w:pPr>
      <w:rPr>
        <w:b/>
        <w:bCs/>
        <w:color w:val="FFFFFF" w:themeColor="background1"/>
      </w:rPr>
      <w:tblPr/>
      <w:tcPr>
        <w:shd w:val="clear" w:color="auto" w:fill="6F006E" w:themeFill="accent2"/>
      </w:tcPr>
    </w:tblStylePr>
    <w:tblStylePr w:type="lastRow">
      <w:pPr>
        <w:spacing w:before="0" w:after="0" w:line="240" w:lineRule="auto"/>
      </w:pPr>
      <w:rPr>
        <w:b/>
        <w:bCs/>
      </w:rPr>
      <w:tblPr/>
      <w:tcPr>
        <w:tcBorders>
          <w:top w:val="double" w:sz="6" w:space="0" w:color="6F006E" w:themeColor="accent2"/>
          <w:left w:val="single" w:sz="8" w:space="0" w:color="6F006E" w:themeColor="accent2"/>
          <w:bottom w:val="single" w:sz="8" w:space="0" w:color="6F006E" w:themeColor="accent2"/>
          <w:right w:val="single" w:sz="8" w:space="0" w:color="6F006E" w:themeColor="accent2"/>
        </w:tcBorders>
      </w:tcPr>
    </w:tblStylePr>
    <w:tblStylePr w:type="firstCol">
      <w:rPr>
        <w:b/>
        <w:bCs/>
      </w:rPr>
    </w:tblStylePr>
    <w:tblStylePr w:type="lastCol">
      <w:rPr>
        <w:b/>
        <w:bCs/>
      </w:rPr>
    </w:tblStylePr>
    <w:tblStylePr w:type="band1Vert">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tblStylePr w:type="band1Horz">
      <w:tblPr/>
      <w:tcPr>
        <w:tcBorders>
          <w:top w:val="single" w:sz="8" w:space="0" w:color="6F006E" w:themeColor="accent2"/>
          <w:left w:val="single" w:sz="8" w:space="0" w:color="6F006E" w:themeColor="accent2"/>
          <w:bottom w:val="single" w:sz="8" w:space="0" w:color="6F006E" w:themeColor="accent2"/>
          <w:right w:val="single" w:sz="8" w:space="0" w:color="6F006E" w:themeColor="accent2"/>
        </w:tcBorders>
      </w:tcPr>
    </w:tblStylePr>
  </w:style>
  <w:style w:type="table" w:styleId="LightList-Accent3">
    <w:name w:val="Light List Accent 3"/>
    <w:basedOn w:val="TableNormal"/>
    <w:uiPriority w:val="61"/>
    <w:semiHidden/>
    <w:unhideWhenUsed/>
    <w:rsid w:val="00B632CF"/>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pPr>
        <w:spacing w:before="0" w:after="0" w:line="240" w:lineRule="auto"/>
      </w:pPr>
      <w:rPr>
        <w:b/>
        <w:bCs/>
        <w:color w:val="FFFFFF" w:themeColor="background1"/>
      </w:rPr>
      <w:tblPr/>
      <w:tcPr>
        <w:shd w:val="clear" w:color="auto" w:fill="D72850" w:themeFill="accent3"/>
      </w:tcPr>
    </w:tblStylePr>
    <w:tblStylePr w:type="lastRow">
      <w:pPr>
        <w:spacing w:before="0" w:after="0" w:line="240" w:lineRule="auto"/>
      </w:pPr>
      <w:rPr>
        <w:b/>
        <w:bCs/>
      </w:rPr>
      <w:tblPr/>
      <w:tcPr>
        <w:tcBorders>
          <w:top w:val="double" w:sz="6" w:space="0" w:color="D72850" w:themeColor="accent3"/>
          <w:left w:val="single" w:sz="8" w:space="0" w:color="D72850" w:themeColor="accent3"/>
          <w:bottom w:val="single" w:sz="8" w:space="0" w:color="D72850" w:themeColor="accent3"/>
          <w:right w:val="single" w:sz="8" w:space="0" w:color="D72850" w:themeColor="accent3"/>
        </w:tcBorders>
      </w:tcPr>
    </w:tblStylePr>
    <w:tblStylePr w:type="firstCol">
      <w:rPr>
        <w:b/>
        <w:bCs/>
      </w:rPr>
    </w:tblStylePr>
    <w:tblStylePr w:type="lastCol">
      <w:rPr>
        <w:b/>
        <w:bCs/>
      </w:rPr>
    </w:tblStylePr>
    <w:tblStylePr w:type="band1Vert">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tblStylePr w:type="band1Horz">
      <w:tblPr/>
      <w:tcPr>
        <w:tcBorders>
          <w:top w:val="single" w:sz="8" w:space="0" w:color="D72850" w:themeColor="accent3"/>
          <w:left w:val="single" w:sz="8" w:space="0" w:color="D72850" w:themeColor="accent3"/>
          <w:bottom w:val="single" w:sz="8" w:space="0" w:color="D72850" w:themeColor="accent3"/>
          <w:right w:val="single" w:sz="8" w:space="0" w:color="D72850" w:themeColor="accent3"/>
        </w:tcBorders>
      </w:tcPr>
    </w:tblStylePr>
  </w:style>
  <w:style w:type="table" w:styleId="LightList-Accent4">
    <w:name w:val="Light List Accent 4"/>
    <w:basedOn w:val="TableNormal"/>
    <w:uiPriority w:val="61"/>
    <w:semiHidden/>
    <w:unhideWhenUsed/>
    <w:rsid w:val="00B632CF"/>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pPr>
        <w:spacing w:before="0" w:after="0" w:line="240" w:lineRule="auto"/>
      </w:pPr>
      <w:rPr>
        <w:b/>
        <w:bCs/>
        <w:color w:val="FFFFFF" w:themeColor="background1"/>
      </w:rPr>
      <w:tblPr/>
      <w:tcPr>
        <w:shd w:val="clear" w:color="auto" w:fill="FFA014" w:themeFill="accent4"/>
      </w:tcPr>
    </w:tblStylePr>
    <w:tblStylePr w:type="lastRow">
      <w:pPr>
        <w:spacing w:before="0" w:after="0" w:line="240" w:lineRule="auto"/>
      </w:pPr>
      <w:rPr>
        <w:b/>
        <w:bCs/>
      </w:rPr>
      <w:tblPr/>
      <w:tcPr>
        <w:tcBorders>
          <w:top w:val="double" w:sz="6" w:space="0" w:color="FFA014" w:themeColor="accent4"/>
          <w:left w:val="single" w:sz="8" w:space="0" w:color="FFA014" w:themeColor="accent4"/>
          <w:bottom w:val="single" w:sz="8" w:space="0" w:color="FFA014" w:themeColor="accent4"/>
          <w:right w:val="single" w:sz="8" w:space="0" w:color="FFA014" w:themeColor="accent4"/>
        </w:tcBorders>
      </w:tcPr>
    </w:tblStylePr>
    <w:tblStylePr w:type="firstCol">
      <w:rPr>
        <w:b/>
        <w:bCs/>
      </w:rPr>
    </w:tblStylePr>
    <w:tblStylePr w:type="lastCol">
      <w:rPr>
        <w:b/>
        <w:bCs/>
      </w:rPr>
    </w:tblStylePr>
    <w:tblStylePr w:type="band1Vert">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tblStylePr w:type="band1Horz">
      <w:tblPr/>
      <w:tcPr>
        <w:tcBorders>
          <w:top w:val="single" w:sz="8" w:space="0" w:color="FFA014" w:themeColor="accent4"/>
          <w:left w:val="single" w:sz="8" w:space="0" w:color="FFA014" w:themeColor="accent4"/>
          <w:bottom w:val="single" w:sz="8" w:space="0" w:color="FFA014" w:themeColor="accent4"/>
          <w:right w:val="single" w:sz="8" w:space="0" w:color="FFA014" w:themeColor="accent4"/>
        </w:tcBorders>
      </w:tcPr>
    </w:tblStylePr>
  </w:style>
  <w:style w:type="table" w:styleId="LightList-Accent5">
    <w:name w:val="Light List Accent 5"/>
    <w:basedOn w:val="TableNormal"/>
    <w:uiPriority w:val="61"/>
    <w:semiHidden/>
    <w:unhideWhenUsed/>
    <w:rsid w:val="00B632CF"/>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pPr>
        <w:spacing w:before="0" w:after="0" w:line="240" w:lineRule="auto"/>
      </w:pPr>
      <w:rPr>
        <w:b/>
        <w:bCs/>
        <w:color w:val="FFFFFF" w:themeColor="background1"/>
      </w:rPr>
      <w:tblPr/>
      <w:tcPr>
        <w:shd w:val="clear" w:color="auto" w:fill="007D55" w:themeFill="accent5"/>
      </w:tcPr>
    </w:tblStylePr>
    <w:tblStylePr w:type="lastRow">
      <w:pPr>
        <w:spacing w:before="0" w:after="0" w:line="240" w:lineRule="auto"/>
      </w:pPr>
      <w:rPr>
        <w:b/>
        <w:bCs/>
      </w:rPr>
      <w:tblPr/>
      <w:tcPr>
        <w:tcBorders>
          <w:top w:val="double" w:sz="6" w:space="0" w:color="007D55" w:themeColor="accent5"/>
          <w:left w:val="single" w:sz="8" w:space="0" w:color="007D55" w:themeColor="accent5"/>
          <w:bottom w:val="single" w:sz="8" w:space="0" w:color="007D55" w:themeColor="accent5"/>
          <w:right w:val="single" w:sz="8" w:space="0" w:color="007D55" w:themeColor="accent5"/>
        </w:tcBorders>
      </w:tcPr>
    </w:tblStylePr>
    <w:tblStylePr w:type="firstCol">
      <w:rPr>
        <w:b/>
        <w:bCs/>
      </w:rPr>
    </w:tblStylePr>
    <w:tblStylePr w:type="lastCol">
      <w:rPr>
        <w:b/>
        <w:bCs/>
      </w:rPr>
    </w:tblStylePr>
    <w:tblStylePr w:type="band1Vert">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tblStylePr w:type="band1Horz">
      <w:tblPr/>
      <w:tcPr>
        <w:tcBorders>
          <w:top w:val="single" w:sz="8" w:space="0" w:color="007D55" w:themeColor="accent5"/>
          <w:left w:val="single" w:sz="8" w:space="0" w:color="007D55" w:themeColor="accent5"/>
          <w:bottom w:val="single" w:sz="8" w:space="0" w:color="007D55" w:themeColor="accent5"/>
          <w:right w:val="single" w:sz="8" w:space="0" w:color="007D55" w:themeColor="accent5"/>
        </w:tcBorders>
      </w:tcPr>
    </w:tblStylePr>
  </w:style>
  <w:style w:type="table" w:styleId="LightList-Accent6">
    <w:name w:val="Light List Accent 6"/>
    <w:basedOn w:val="TableNormal"/>
    <w:uiPriority w:val="61"/>
    <w:semiHidden/>
    <w:unhideWhenUsed/>
    <w:rsid w:val="00B632CF"/>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tblBorders>
    </w:tblPr>
    <w:tblStylePr w:type="firstRow">
      <w:pPr>
        <w:spacing w:before="0" w:after="0" w:line="240" w:lineRule="auto"/>
      </w:pPr>
      <w:rPr>
        <w:b/>
        <w:bCs/>
        <w:color w:val="FFFFFF" w:themeColor="background1"/>
      </w:rPr>
      <w:tblPr/>
      <w:tcPr>
        <w:shd w:val="clear" w:color="auto" w:fill="C8C8C8" w:themeFill="accent6"/>
      </w:tcPr>
    </w:tblStylePr>
    <w:tblStylePr w:type="lastRow">
      <w:pPr>
        <w:spacing w:before="0" w:after="0" w:line="240" w:lineRule="auto"/>
      </w:pPr>
      <w:rPr>
        <w:b/>
        <w:bCs/>
      </w:rPr>
      <w:tblPr/>
      <w:tcPr>
        <w:tcBorders>
          <w:top w:val="double" w:sz="6" w:space="0" w:color="C8C8C8" w:themeColor="accent6"/>
          <w:left w:val="single" w:sz="8" w:space="0" w:color="C8C8C8" w:themeColor="accent6"/>
          <w:bottom w:val="single" w:sz="8" w:space="0" w:color="C8C8C8" w:themeColor="accent6"/>
          <w:right w:val="single" w:sz="8" w:space="0" w:color="C8C8C8" w:themeColor="accent6"/>
        </w:tcBorders>
      </w:tcPr>
    </w:tblStylePr>
    <w:tblStylePr w:type="firstCol">
      <w:rPr>
        <w:b/>
        <w:bCs/>
      </w:rPr>
    </w:tblStylePr>
    <w:tblStylePr w:type="lastCol">
      <w:rPr>
        <w:b/>
        <w:bCs/>
      </w:rPr>
    </w:tblStylePr>
    <w:tblStylePr w:type="band1Vert">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tblStylePr w:type="band1Horz">
      <w:tblPr/>
      <w:tcPr>
        <w:tcBorders>
          <w:top w:val="single" w:sz="8" w:space="0" w:color="C8C8C8" w:themeColor="accent6"/>
          <w:left w:val="single" w:sz="8" w:space="0" w:color="C8C8C8" w:themeColor="accent6"/>
          <w:bottom w:val="single" w:sz="8" w:space="0" w:color="C8C8C8" w:themeColor="accent6"/>
          <w:right w:val="single" w:sz="8" w:space="0" w:color="C8C8C8" w:themeColor="accent6"/>
        </w:tcBorders>
      </w:tcPr>
    </w:tblStylePr>
  </w:style>
  <w:style w:type="table" w:styleId="LightShading">
    <w:name w:val="Light Shading"/>
    <w:basedOn w:val="TableNormal"/>
    <w:uiPriority w:val="60"/>
    <w:semiHidden/>
    <w:unhideWhenUsed/>
    <w:rsid w:val="00B632C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B632CF"/>
    <w:rPr>
      <w:color w:val="1A0FA4" w:themeColor="accent1" w:themeShade="BF"/>
    </w:rPr>
    <w:tblPr>
      <w:tblStyleRowBandSize w:val="1"/>
      <w:tblStyleColBandSize w:val="1"/>
      <w:tblBorders>
        <w:top w:val="single" w:sz="8" w:space="0" w:color="2314DC" w:themeColor="accent1"/>
        <w:bottom w:val="single" w:sz="8" w:space="0" w:color="2314DC" w:themeColor="accent1"/>
      </w:tblBorders>
    </w:tblPr>
    <w:tblStylePr w:type="firstRow">
      <w:pPr>
        <w:spacing w:before="0" w:after="0" w:line="240" w:lineRule="auto"/>
      </w:pPr>
      <w:rPr>
        <w:b/>
        <w:bCs/>
      </w:rPr>
      <w:tblPr/>
      <w:tcPr>
        <w:tcBorders>
          <w:top w:val="single" w:sz="8" w:space="0" w:color="2314DC" w:themeColor="accent1"/>
          <w:left w:val="nil"/>
          <w:bottom w:val="single" w:sz="8" w:space="0" w:color="2314DC" w:themeColor="accent1"/>
          <w:right w:val="nil"/>
          <w:insideH w:val="nil"/>
          <w:insideV w:val="nil"/>
        </w:tcBorders>
      </w:tcPr>
    </w:tblStylePr>
    <w:tblStylePr w:type="lastRow">
      <w:pPr>
        <w:spacing w:before="0" w:after="0" w:line="240" w:lineRule="auto"/>
      </w:pPr>
      <w:rPr>
        <w:b/>
        <w:bCs/>
      </w:rPr>
      <w:tblPr/>
      <w:tcPr>
        <w:tcBorders>
          <w:top w:val="single" w:sz="8" w:space="0" w:color="2314DC" w:themeColor="accent1"/>
          <w:left w:val="nil"/>
          <w:bottom w:val="single" w:sz="8" w:space="0" w:color="2314D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C1F9" w:themeFill="accent1" w:themeFillTint="3F"/>
      </w:tcPr>
    </w:tblStylePr>
    <w:tblStylePr w:type="band1Horz">
      <w:tblPr/>
      <w:tcPr>
        <w:tcBorders>
          <w:left w:val="nil"/>
          <w:right w:val="nil"/>
          <w:insideH w:val="nil"/>
          <w:insideV w:val="nil"/>
        </w:tcBorders>
        <w:shd w:val="clear" w:color="auto" w:fill="C5C1F9" w:themeFill="accent1" w:themeFillTint="3F"/>
      </w:tcPr>
    </w:tblStylePr>
  </w:style>
  <w:style w:type="table" w:styleId="LightShading-Accent2">
    <w:name w:val="Light Shading Accent 2"/>
    <w:basedOn w:val="TableNormal"/>
    <w:uiPriority w:val="60"/>
    <w:semiHidden/>
    <w:unhideWhenUsed/>
    <w:rsid w:val="00B632CF"/>
    <w:rPr>
      <w:color w:val="530052" w:themeColor="accent2" w:themeShade="BF"/>
    </w:rPr>
    <w:tblPr>
      <w:tblStyleRowBandSize w:val="1"/>
      <w:tblStyleColBandSize w:val="1"/>
      <w:tblBorders>
        <w:top w:val="single" w:sz="8" w:space="0" w:color="6F006E" w:themeColor="accent2"/>
        <w:bottom w:val="single" w:sz="8" w:space="0" w:color="6F006E" w:themeColor="accent2"/>
      </w:tblBorders>
    </w:tblPr>
    <w:tblStylePr w:type="fir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lastRow">
      <w:pPr>
        <w:spacing w:before="0" w:after="0" w:line="240" w:lineRule="auto"/>
      </w:pPr>
      <w:rPr>
        <w:b/>
        <w:bCs/>
      </w:rPr>
      <w:tblPr/>
      <w:tcPr>
        <w:tcBorders>
          <w:top w:val="single" w:sz="8" w:space="0" w:color="6F006E" w:themeColor="accent2"/>
          <w:left w:val="nil"/>
          <w:bottom w:val="single" w:sz="8" w:space="0" w:color="6F006E"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left w:val="nil"/>
          <w:right w:val="nil"/>
          <w:insideH w:val="nil"/>
          <w:insideV w:val="nil"/>
        </w:tcBorders>
        <w:shd w:val="clear" w:color="auto" w:fill="FF9CFD" w:themeFill="accent2" w:themeFillTint="3F"/>
      </w:tcPr>
    </w:tblStylePr>
  </w:style>
  <w:style w:type="table" w:styleId="LightShading-Accent3">
    <w:name w:val="Light Shading Accent 3"/>
    <w:basedOn w:val="TableNormal"/>
    <w:uiPriority w:val="60"/>
    <w:semiHidden/>
    <w:unhideWhenUsed/>
    <w:rsid w:val="00B632CF"/>
    <w:rPr>
      <w:color w:val="A11E3B" w:themeColor="accent3" w:themeShade="BF"/>
    </w:rPr>
    <w:tblPr>
      <w:tblStyleRowBandSize w:val="1"/>
      <w:tblStyleColBandSize w:val="1"/>
      <w:tblBorders>
        <w:top w:val="single" w:sz="8" w:space="0" w:color="D72850" w:themeColor="accent3"/>
        <w:bottom w:val="single" w:sz="8" w:space="0" w:color="D72850" w:themeColor="accent3"/>
      </w:tblBorders>
    </w:tblPr>
    <w:tblStylePr w:type="fir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lastRow">
      <w:pPr>
        <w:spacing w:before="0" w:after="0" w:line="240" w:lineRule="auto"/>
      </w:pPr>
      <w:rPr>
        <w:b/>
        <w:bCs/>
      </w:rPr>
      <w:tblPr/>
      <w:tcPr>
        <w:tcBorders>
          <w:top w:val="single" w:sz="8" w:space="0" w:color="D72850" w:themeColor="accent3"/>
          <w:left w:val="nil"/>
          <w:bottom w:val="single" w:sz="8" w:space="0" w:color="D72850"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left w:val="nil"/>
          <w:right w:val="nil"/>
          <w:insideH w:val="nil"/>
          <w:insideV w:val="nil"/>
        </w:tcBorders>
        <w:shd w:val="clear" w:color="auto" w:fill="F5C9D3" w:themeFill="accent3" w:themeFillTint="3F"/>
      </w:tcPr>
    </w:tblStylePr>
  </w:style>
  <w:style w:type="table" w:styleId="LightShading-Accent4">
    <w:name w:val="Light Shading Accent 4"/>
    <w:basedOn w:val="TableNormal"/>
    <w:uiPriority w:val="60"/>
    <w:semiHidden/>
    <w:unhideWhenUsed/>
    <w:rsid w:val="00B632CF"/>
    <w:rPr>
      <w:color w:val="CD7900" w:themeColor="accent4" w:themeShade="BF"/>
    </w:rPr>
    <w:tblPr>
      <w:tblStyleRowBandSize w:val="1"/>
      <w:tblStyleColBandSize w:val="1"/>
      <w:tblBorders>
        <w:top w:val="single" w:sz="8" w:space="0" w:color="FFA014" w:themeColor="accent4"/>
        <w:bottom w:val="single" w:sz="8" w:space="0" w:color="FFA014" w:themeColor="accent4"/>
      </w:tblBorders>
    </w:tblPr>
    <w:tblStylePr w:type="fir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lastRow">
      <w:pPr>
        <w:spacing w:before="0" w:after="0" w:line="240" w:lineRule="auto"/>
      </w:pPr>
      <w:rPr>
        <w:b/>
        <w:bCs/>
      </w:rPr>
      <w:tblPr/>
      <w:tcPr>
        <w:tcBorders>
          <w:top w:val="single" w:sz="8" w:space="0" w:color="FFA014" w:themeColor="accent4"/>
          <w:left w:val="nil"/>
          <w:bottom w:val="single" w:sz="8" w:space="0" w:color="FFA014"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left w:val="nil"/>
          <w:right w:val="nil"/>
          <w:insideH w:val="nil"/>
          <w:insideV w:val="nil"/>
        </w:tcBorders>
        <w:shd w:val="clear" w:color="auto" w:fill="FFE7C4" w:themeFill="accent4" w:themeFillTint="3F"/>
      </w:tcPr>
    </w:tblStylePr>
  </w:style>
  <w:style w:type="table" w:styleId="LightShading-Accent5">
    <w:name w:val="Light Shading Accent 5"/>
    <w:basedOn w:val="TableNormal"/>
    <w:uiPriority w:val="60"/>
    <w:semiHidden/>
    <w:unhideWhenUsed/>
    <w:rsid w:val="00B632CF"/>
    <w:rPr>
      <w:color w:val="005D3F" w:themeColor="accent5" w:themeShade="BF"/>
    </w:rPr>
    <w:tblPr>
      <w:tblStyleRowBandSize w:val="1"/>
      <w:tblStyleColBandSize w:val="1"/>
      <w:tblBorders>
        <w:top w:val="single" w:sz="8" w:space="0" w:color="007D55" w:themeColor="accent5"/>
        <w:bottom w:val="single" w:sz="8" w:space="0" w:color="007D55" w:themeColor="accent5"/>
      </w:tblBorders>
    </w:tblPr>
    <w:tblStylePr w:type="fir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lastRow">
      <w:pPr>
        <w:spacing w:before="0" w:after="0" w:line="240" w:lineRule="auto"/>
      </w:pPr>
      <w:rPr>
        <w:b/>
        <w:bCs/>
      </w:rPr>
      <w:tblPr/>
      <w:tcPr>
        <w:tcBorders>
          <w:top w:val="single" w:sz="8" w:space="0" w:color="007D55" w:themeColor="accent5"/>
          <w:left w:val="nil"/>
          <w:bottom w:val="single" w:sz="8" w:space="0" w:color="007D5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left w:val="nil"/>
          <w:right w:val="nil"/>
          <w:insideH w:val="nil"/>
          <w:insideV w:val="nil"/>
        </w:tcBorders>
        <w:shd w:val="clear" w:color="auto" w:fill="9FFFE0" w:themeFill="accent5" w:themeFillTint="3F"/>
      </w:tcPr>
    </w:tblStylePr>
  </w:style>
  <w:style w:type="table" w:styleId="LightShading-Accent6">
    <w:name w:val="Light Shading Accent 6"/>
    <w:basedOn w:val="TableNormal"/>
    <w:uiPriority w:val="60"/>
    <w:semiHidden/>
    <w:unhideWhenUsed/>
    <w:rsid w:val="00B632CF"/>
    <w:rPr>
      <w:color w:val="959595" w:themeColor="accent6" w:themeShade="BF"/>
    </w:rPr>
    <w:tblPr>
      <w:tblStyleRowBandSize w:val="1"/>
      <w:tblStyleColBandSize w:val="1"/>
      <w:tblBorders>
        <w:top w:val="single" w:sz="8" w:space="0" w:color="C8C8C8" w:themeColor="accent6"/>
        <w:bottom w:val="single" w:sz="8" w:space="0" w:color="C8C8C8" w:themeColor="accent6"/>
      </w:tblBorders>
    </w:tblPr>
    <w:tblStylePr w:type="firstRow">
      <w:pPr>
        <w:spacing w:before="0" w:after="0" w:line="240" w:lineRule="auto"/>
      </w:pPr>
      <w:rPr>
        <w:b/>
        <w:bCs/>
      </w:rPr>
      <w:tblPr/>
      <w:tcPr>
        <w:tcBorders>
          <w:top w:val="single" w:sz="8" w:space="0" w:color="C8C8C8" w:themeColor="accent6"/>
          <w:left w:val="nil"/>
          <w:bottom w:val="single" w:sz="8" w:space="0" w:color="C8C8C8" w:themeColor="accent6"/>
          <w:right w:val="nil"/>
          <w:insideH w:val="nil"/>
          <w:insideV w:val="nil"/>
        </w:tcBorders>
      </w:tcPr>
    </w:tblStylePr>
    <w:tblStylePr w:type="lastRow">
      <w:pPr>
        <w:spacing w:before="0" w:after="0" w:line="240" w:lineRule="auto"/>
      </w:pPr>
      <w:rPr>
        <w:b/>
        <w:bCs/>
      </w:rPr>
      <w:tblPr/>
      <w:tcPr>
        <w:tcBorders>
          <w:top w:val="single" w:sz="8" w:space="0" w:color="C8C8C8" w:themeColor="accent6"/>
          <w:left w:val="nil"/>
          <w:bottom w:val="single" w:sz="8" w:space="0" w:color="C8C8C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F1F1" w:themeFill="accent6" w:themeFillTint="3F"/>
      </w:tcPr>
    </w:tblStylePr>
    <w:tblStylePr w:type="band1Horz">
      <w:tblPr/>
      <w:tcPr>
        <w:tcBorders>
          <w:left w:val="nil"/>
          <w:right w:val="nil"/>
          <w:insideH w:val="nil"/>
          <w:insideV w:val="nil"/>
        </w:tcBorders>
        <w:shd w:val="clear" w:color="auto" w:fill="F1F1F1" w:themeFill="accent6" w:themeFillTint="3F"/>
      </w:tcPr>
    </w:tblStylePr>
  </w:style>
  <w:style w:type="character" w:styleId="LineNumber">
    <w:name w:val="line number"/>
    <w:basedOn w:val="DefaultParagraphFont"/>
    <w:uiPriority w:val="99"/>
    <w:semiHidden/>
    <w:unhideWhenUsed/>
    <w:rsid w:val="00B632CF"/>
  </w:style>
  <w:style w:type="paragraph" w:styleId="List">
    <w:name w:val="List"/>
    <w:basedOn w:val="Normal"/>
    <w:uiPriority w:val="99"/>
    <w:semiHidden/>
    <w:unhideWhenUsed/>
    <w:rsid w:val="00B632CF"/>
    <w:pPr>
      <w:ind w:left="283" w:hanging="283"/>
      <w:contextualSpacing/>
    </w:pPr>
  </w:style>
  <w:style w:type="paragraph" w:styleId="List2">
    <w:name w:val="List 2"/>
    <w:basedOn w:val="Normal"/>
    <w:uiPriority w:val="99"/>
    <w:semiHidden/>
    <w:unhideWhenUsed/>
    <w:rsid w:val="00B632CF"/>
    <w:pPr>
      <w:ind w:left="566" w:hanging="283"/>
      <w:contextualSpacing/>
    </w:pPr>
  </w:style>
  <w:style w:type="paragraph" w:styleId="List3">
    <w:name w:val="List 3"/>
    <w:basedOn w:val="Normal"/>
    <w:uiPriority w:val="99"/>
    <w:semiHidden/>
    <w:unhideWhenUsed/>
    <w:rsid w:val="00B632CF"/>
    <w:pPr>
      <w:ind w:left="849" w:hanging="283"/>
      <w:contextualSpacing/>
    </w:pPr>
  </w:style>
  <w:style w:type="paragraph" w:styleId="List4">
    <w:name w:val="List 4"/>
    <w:basedOn w:val="Normal"/>
    <w:uiPriority w:val="99"/>
    <w:semiHidden/>
    <w:unhideWhenUsed/>
    <w:rsid w:val="00B632CF"/>
    <w:pPr>
      <w:ind w:left="1132" w:hanging="283"/>
      <w:contextualSpacing/>
    </w:pPr>
  </w:style>
  <w:style w:type="paragraph" w:styleId="List5">
    <w:name w:val="List 5"/>
    <w:basedOn w:val="Normal"/>
    <w:uiPriority w:val="99"/>
    <w:semiHidden/>
    <w:unhideWhenUsed/>
    <w:rsid w:val="00B632CF"/>
    <w:pPr>
      <w:ind w:left="1415" w:hanging="283"/>
      <w:contextualSpacing/>
    </w:pPr>
  </w:style>
  <w:style w:type="paragraph" w:styleId="ListBullet2">
    <w:name w:val="List Bullet 2"/>
    <w:basedOn w:val="Normal"/>
    <w:uiPriority w:val="99"/>
    <w:semiHidden/>
    <w:unhideWhenUsed/>
    <w:rsid w:val="00B632CF"/>
    <w:pPr>
      <w:numPr>
        <w:numId w:val="62"/>
      </w:numPr>
      <w:contextualSpacing/>
    </w:pPr>
  </w:style>
  <w:style w:type="paragraph" w:styleId="ListBullet3">
    <w:name w:val="List Bullet 3"/>
    <w:basedOn w:val="Normal"/>
    <w:uiPriority w:val="99"/>
    <w:semiHidden/>
    <w:unhideWhenUsed/>
    <w:rsid w:val="00B632CF"/>
    <w:pPr>
      <w:numPr>
        <w:numId w:val="63"/>
      </w:numPr>
      <w:contextualSpacing/>
    </w:pPr>
  </w:style>
  <w:style w:type="paragraph" w:styleId="ListBullet4">
    <w:name w:val="List Bullet 4"/>
    <w:basedOn w:val="Normal"/>
    <w:uiPriority w:val="99"/>
    <w:semiHidden/>
    <w:unhideWhenUsed/>
    <w:rsid w:val="00B632CF"/>
    <w:pPr>
      <w:numPr>
        <w:numId w:val="64"/>
      </w:numPr>
      <w:contextualSpacing/>
    </w:pPr>
  </w:style>
  <w:style w:type="paragraph" w:styleId="ListBullet5">
    <w:name w:val="List Bullet 5"/>
    <w:basedOn w:val="Normal"/>
    <w:uiPriority w:val="99"/>
    <w:semiHidden/>
    <w:unhideWhenUsed/>
    <w:rsid w:val="00B632CF"/>
    <w:pPr>
      <w:numPr>
        <w:numId w:val="65"/>
      </w:numPr>
      <w:contextualSpacing/>
    </w:pPr>
  </w:style>
  <w:style w:type="paragraph" w:styleId="ListContinue">
    <w:name w:val="List Continue"/>
    <w:basedOn w:val="Normal"/>
    <w:uiPriority w:val="99"/>
    <w:semiHidden/>
    <w:unhideWhenUsed/>
    <w:rsid w:val="00B632CF"/>
    <w:pPr>
      <w:spacing w:after="120"/>
      <w:ind w:left="283"/>
      <w:contextualSpacing/>
    </w:pPr>
  </w:style>
  <w:style w:type="paragraph" w:styleId="ListContinue2">
    <w:name w:val="List Continue 2"/>
    <w:basedOn w:val="Normal"/>
    <w:uiPriority w:val="99"/>
    <w:semiHidden/>
    <w:unhideWhenUsed/>
    <w:rsid w:val="00B632CF"/>
    <w:pPr>
      <w:spacing w:after="120"/>
      <w:ind w:left="566"/>
      <w:contextualSpacing/>
    </w:pPr>
  </w:style>
  <w:style w:type="paragraph" w:styleId="ListContinue3">
    <w:name w:val="List Continue 3"/>
    <w:basedOn w:val="Normal"/>
    <w:uiPriority w:val="99"/>
    <w:semiHidden/>
    <w:unhideWhenUsed/>
    <w:rsid w:val="00B632CF"/>
    <w:pPr>
      <w:spacing w:after="120"/>
      <w:ind w:left="849"/>
      <w:contextualSpacing/>
    </w:pPr>
  </w:style>
  <w:style w:type="paragraph" w:styleId="ListContinue4">
    <w:name w:val="List Continue 4"/>
    <w:basedOn w:val="Normal"/>
    <w:uiPriority w:val="99"/>
    <w:semiHidden/>
    <w:unhideWhenUsed/>
    <w:rsid w:val="00B632CF"/>
    <w:pPr>
      <w:spacing w:after="120"/>
      <w:ind w:left="1132"/>
      <w:contextualSpacing/>
    </w:pPr>
  </w:style>
  <w:style w:type="paragraph" w:styleId="ListContinue5">
    <w:name w:val="List Continue 5"/>
    <w:basedOn w:val="Normal"/>
    <w:uiPriority w:val="99"/>
    <w:semiHidden/>
    <w:unhideWhenUsed/>
    <w:rsid w:val="00B632CF"/>
    <w:pPr>
      <w:spacing w:after="120"/>
      <w:ind w:left="1415"/>
      <w:contextualSpacing/>
    </w:pPr>
  </w:style>
  <w:style w:type="paragraph" w:styleId="ListNumber">
    <w:name w:val="List Number"/>
    <w:basedOn w:val="Normal"/>
    <w:uiPriority w:val="99"/>
    <w:semiHidden/>
    <w:unhideWhenUsed/>
    <w:rsid w:val="00B632CF"/>
    <w:pPr>
      <w:numPr>
        <w:numId w:val="66"/>
      </w:numPr>
      <w:contextualSpacing/>
    </w:pPr>
  </w:style>
  <w:style w:type="paragraph" w:styleId="ListNumber2">
    <w:name w:val="List Number 2"/>
    <w:basedOn w:val="Normal"/>
    <w:uiPriority w:val="99"/>
    <w:semiHidden/>
    <w:unhideWhenUsed/>
    <w:rsid w:val="00B632CF"/>
    <w:pPr>
      <w:numPr>
        <w:numId w:val="67"/>
      </w:numPr>
      <w:contextualSpacing/>
    </w:pPr>
  </w:style>
  <w:style w:type="paragraph" w:styleId="ListNumber3">
    <w:name w:val="List Number 3"/>
    <w:basedOn w:val="Normal"/>
    <w:uiPriority w:val="99"/>
    <w:semiHidden/>
    <w:unhideWhenUsed/>
    <w:rsid w:val="00B632CF"/>
    <w:pPr>
      <w:numPr>
        <w:numId w:val="68"/>
      </w:numPr>
      <w:contextualSpacing/>
    </w:pPr>
  </w:style>
  <w:style w:type="paragraph" w:styleId="ListNumber4">
    <w:name w:val="List Number 4"/>
    <w:basedOn w:val="Normal"/>
    <w:uiPriority w:val="99"/>
    <w:semiHidden/>
    <w:unhideWhenUsed/>
    <w:rsid w:val="00B632CF"/>
    <w:pPr>
      <w:numPr>
        <w:numId w:val="69"/>
      </w:numPr>
      <w:contextualSpacing/>
    </w:pPr>
  </w:style>
  <w:style w:type="paragraph" w:styleId="ListNumber5">
    <w:name w:val="List Number 5"/>
    <w:basedOn w:val="Normal"/>
    <w:uiPriority w:val="99"/>
    <w:semiHidden/>
    <w:unhideWhenUsed/>
    <w:rsid w:val="00B632CF"/>
    <w:pPr>
      <w:numPr>
        <w:numId w:val="70"/>
      </w:numPr>
      <w:contextualSpacing/>
    </w:pPr>
  </w:style>
  <w:style w:type="paragraph" w:styleId="ListParagraph">
    <w:name w:val="List Paragraph"/>
    <w:basedOn w:val="Normal"/>
    <w:uiPriority w:val="34"/>
    <w:rsid w:val="00B632CF"/>
    <w:pPr>
      <w:ind w:left="720"/>
      <w:contextualSpacing/>
    </w:pPr>
  </w:style>
  <w:style w:type="table" w:styleId="ListTable1Light">
    <w:name w:val="List Table 1 Light"/>
    <w:basedOn w:val="TableNormal"/>
    <w:uiPriority w:val="46"/>
    <w:rsid w:val="00B632CF"/>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B632CF"/>
    <w:tblPr>
      <w:tblStyleRowBandSize w:val="1"/>
      <w:tblStyleColBandSize w:val="1"/>
    </w:tblPr>
    <w:tblStylePr w:type="firstRow">
      <w:rPr>
        <w:b/>
        <w:bCs/>
      </w:rPr>
      <w:tblPr/>
      <w:tcPr>
        <w:tcBorders>
          <w:bottom w:val="single" w:sz="4" w:space="0" w:color="746AF1" w:themeColor="accent1" w:themeTint="99"/>
        </w:tcBorders>
      </w:tcPr>
    </w:tblStylePr>
    <w:tblStylePr w:type="lastRow">
      <w:rPr>
        <w:b/>
        <w:bCs/>
      </w:rPr>
      <w:tblPr/>
      <w:tcPr>
        <w:tcBorders>
          <w:top w:val="sing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1Light-Accent2">
    <w:name w:val="List Table 1 Light Accent 2"/>
    <w:basedOn w:val="TableNormal"/>
    <w:uiPriority w:val="46"/>
    <w:rsid w:val="00B632CF"/>
    <w:tblPr>
      <w:tblStyleRowBandSize w:val="1"/>
      <w:tblStyleColBandSize w:val="1"/>
    </w:tblPr>
    <w:tblStylePr w:type="firstRow">
      <w:rPr>
        <w:b/>
        <w:bCs/>
      </w:rPr>
      <w:tblPr/>
      <w:tcPr>
        <w:tcBorders>
          <w:bottom w:val="single" w:sz="4" w:space="0" w:color="FF0FFC" w:themeColor="accent2" w:themeTint="99"/>
        </w:tcBorders>
      </w:tcPr>
    </w:tblStylePr>
    <w:tblStylePr w:type="lastRow">
      <w:rPr>
        <w:b/>
        <w:bCs/>
      </w:rPr>
      <w:tblPr/>
      <w:tcPr>
        <w:tcBorders>
          <w:top w:val="sing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1Light-Accent3">
    <w:name w:val="List Table 1 Light Accent 3"/>
    <w:basedOn w:val="TableNormal"/>
    <w:uiPriority w:val="46"/>
    <w:rsid w:val="00B632CF"/>
    <w:tblPr>
      <w:tblStyleRowBandSize w:val="1"/>
      <w:tblStyleColBandSize w:val="1"/>
    </w:tblPr>
    <w:tblStylePr w:type="firstRow">
      <w:rPr>
        <w:b/>
        <w:bCs/>
      </w:rPr>
      <w:tblPr/>
      <w:tcPr>
        <w:tcBorders>
          <w:bottom w:val="single" w:sz="4" w:space="0" w:color="E77E95" w:themeColor="accent3" w:themeTint="99"/>
        </w:tcBorders>
      </w:tcPr>
    </w:tblStylePr>
    <w:tblStylePr w:type="lastRow">
      <w:rPr>
        <w:b/>
        <w:bCs/>
      </w:rPr>
      <w:tblPr/>
      <w:tcPr>
        <w:tcBorders>
          <w:top w:val="sing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1Light-Accent4">
    <w:name w:val="List Table 1 Light Accent 4"/>
    <w:basedOn w:val="TableNormal"/>
    <w:uiPriority w:val="46"/>
    <w:rsid w:val="00B632CF"/>
    <w:tblPr>
      <w:tblStyleRowBandSize w:val="1"/>
      <w:tblStyleColBandSize w:val="1"/>
    </w:tblPr>
    <w:tblStylePr w:type="firstRow">
      <w:rPr>
        <w:b/>
        <w:bCs/>
      </w:rPr>
      <w:tblPr/>
      <w:tcPr>
        <w:tcBorders>
          <w:bottom w:val="single" w:sz="4" w:space="0" w:color="FFC572" w:themeColor="accent4" w:themeTint="99"/>
        </w:tcBorders>
      </w:tcPr>
    </w:tblStylePr>
    <w:tblStylePr w:type="lastRow">
      <w:rPr>
        <w:b/>
        <w:bCs/>
      </w:rPr>
      <w:tblPr/>
      <w:tcPr>
        <w:tcBorders>
          <w:top w:val="sing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1Light-Accent5">
    <w:name w:val="List Table 1 Light Accent 5"/>
    <w:basedOn w:val="TableNormal"/>
    <w:uiPriority w:val="46"/>
    <w:rsid w:val="00B632CF"/>
    <w:tblPr>
      <w:tblStyleRowBandSize w:val="1"/>
      <w:tblStyleColBandSize w:val="1"/>
    </w:tblPr>
    <w:tblStylePr w:type="firstRow">
      <w:rPr>
        <w:b/>
        <w:bCs/>
      </w:rPr>
      <w:tblPr/>
      <w:tcPr>
        <w:tcBorders>
          <w:bottom w:val="single" w:sz="4" w:space="0" w:color="18FFB4" w:themeColor="accent5" w:themeTint="99"/>
        </w:tcBorders>
      </w:tcPr>
    </w:tblStylePr>
    <w:tblStylePr w:type="lastRow">
      <w:rPr>
        <w:b/>
        <w:bCs/>
      </w:rPr>
      <w:tblPr/>
      <w:tcPr>
        <w:tcBorders>
          <w:top w:val="sing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1Light-Accent6">
    <w:name w:val="List Table 1 Light Accent 6"/>
    <w:basedOn w:val="TableNormal"/>
    <w:uiPriority w:val="46"/>
    <w:rsid w:val="00B632CF"/>
    <w:tblPr>
      <w:tblStyleRowBandSize w:val="1"/>
      <w:tblStyleColBandSize w:val="1"/>
    </w:tblPr>
    <w:tblStylePr w:type="firstRow">
      <w:rPr>
        <w:b/>
        <w:bCs/>
      </w:rPr>
      <w:tblPr/>
      <w:tcPr>
        <w:tcBorders>
          <w:bottom w:val="single" w:sz="4" w:space="0" w:color="DEDEDE" w:themeColor="accent6" w:themeTint="99"/>
        </w:tcBorders>
      </w:tcPr>
    </w:tblStylePr>
    <w:tblStylePr w:type="lastRow">
      <w:rPr>
        <w:b/>
        <w:bCs/>
      </w:rPr>
      <w:tblPr/>
      <w:tcPr>
        <w:tcBorders>
          <w:top w:val="sing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2">
    <w:name w:val="List Table 2"/>
    <w:basedOn w:val="TableNormal"/>
    <w:uiPriority w:val="47"/>
    <w:rsid w:val="00B632CF"/>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B632CF"/>
    <w:tblPr>
      <w:tblStyleRowBandSize w:val="1"/>
      <w:tblStyleColBandSize w:val="1"/>
      <w:tblBorders>
        <w:top w:val="single" w:sz="4" w:space="0" w:color="746AF1" w:themeColor="accent1" w:themeTint="99"/>
        <w:bottom w:val="single" w:sz="4" w:space="0" w:color="746AF1" w:themeColor="accent1" w:themeTint="99"/>
        <w:insideH w:val="single" w:sz="4" w:space="0" w:color="746AF1"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2-Accent2">
    <w:name w:val="List Table 2 Accent 2"/>
    <w:basedOn w:val="TableNormal"/>
    <w:uiPriority w:val="47"/>
    <w:rsid w:val="00B632CF"/>
    <w:tblPr>
      <w:tblStyleRowBandSize w:val="1"/>
      <w:tblStyleColBandSize w:val="1"/>
      <w:tblBorders>
        <w:top w:val="single" w:sz="4" w:space="0" w:color="FF0FFC" w:themeColor="accent2" w:themeTint="99"/>
        <w:bottom w:val="single" w:sz="4" w:space="0" w:color="FF0FFC" w:themeColor="accent2" w:themeTint="99"/>
        <w:insideH w:val="single" w:sz="4" w:space="0" w:color="FF0FF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2-Accent3">
    <w:name w:val="List Table 2 Accent 3"/>
    <w:basedOn w:val="TableNormal"/>
    <w:uiPriority w:val="47"/>
    <w:rsid w:val="00B632CF"/>
    <w:tblPr>
      <w:tblStyleRowBandSize w:val="1"/>
      <w:tblStyleColBandSize w:val="1"/>
      <w:tblBorders>
        <w:top w:val="single" w:sz="4" w:space="0" w:color="E77E95" w:themeColor="accent3" w:themeTint="99"/>
        <w:bottom w:val="single" w:sz="4" w:space="0" w:color="E77E95" w:themeColor="accent3" w:themeTint="99"/>
        <w:insideH w:val="single" w:sz="4" w:space="0" w:color="E77E95"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2-Accent4">
    <w:name w:val="List Table 2 Accent 4"/>
    <w:basedOn w:val="TableNormal"/>
    <w:uiPriority w:val="47"/>
    <w:rsid w:val="00B632CF"/>
    <w:tblPr>
      <w:tblStyleRowBandSize w:val="1"/>
      <w:tblStyleColBandSize w:val="1"/>
      <w:tblBorders>
        <w:top w:val="single" w:sz="4" w:space="0" w:color="FFC572" w:themeColor="accent4" w:themeTint="99"/>
        <w:bottom w:val="single" w:sz="4" w:space="0" w:color="FFC572" w:themeColor="accent4" w:themeTint="99"/>
        <w:insideH w:val="single" w:sz="4" w:space="0" w:color="FFC572"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2-Accent5">
    <w:name w:val="List Table 2 Accent 5"/>
    <w:basedOn w:val="TableNormal"/>
    <w:uiPriority w:val="47"/>
    <w:rsid w:val="00B632CF"/>
    <w:tblPr>
      <w:tblStyleRowBandSize w:val="1"/>
      <w:tblStyleColBandSize w:val="1"/>
      <w:tblBorders>
        <w:top w:val="single" w:sz="4" w:space="0" w:color="18FFB4" w:themeColor="accent5" w:themeTint="99"/>
        <w:bottom w:val="single" w:sz="4" w:space="0" w:color="18FFB4" w:themeColor="accent5" w:themeTint="99"/>
        <w:insideH w:val="single" w:sz="4" w:space="0" w:color="18FFB4"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2-Accent6">
    <w:name w:val="List Table 2 Accent 6"/>
    <w:basedOn w:val="TableNormal"/>
    <w:uiPriority w:val="47"/>
    <w:rsid w:val="00B632CF"/>
    <w:tblPr>
      <w:tblStyleRowBandSize w:val="1"/>
      <w:tblStyleColBandSize w:val="1"/>
      <w:tblBorders>
        <w:top w:val="single" w:sz="4" w:space="0" w:color="DEDEDE" w:themeColor="accent6" w:themeTint="99"/>
        <w:bottom w:val="single" w:sz="4" w:space="0" w:color="DEDEDE" w:themeColor="accent6" w:themeTint="99"/>
        <w:insideH w:val="single" w:sz="4" w:space="0" w:color="DEDEDE"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3">
    <w:name w:val="List Table 3"/>
    <w:basedOn w:val="TableNormal"/>
    <w:uiPriority w:val="48"/>
    <w:rsid w:val="00B632CF"/>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B632CF"/>
    <w:tblPr>
      <w:tblStyleRowBandSize w:val="1"/>
      <w:tblStyleColBandSize w:val="1"/>
      <w:tblBorders>
        <w:top w:val="single" w:sz="4" w:space="0" w:color="2314DC" w:themeColor="accent1"/>
        <w:left w:val="single" w:sz="4" w:space="0" w:color="2314DC" w:themeColor="accent1"/>
        <w:bottom w:val="single" w:sz="4" w:space="0" w:color="2314DC" w:themeColor="accent1"/>
        <w:right w:val="single" w:sz="4" w:space="0" w:color="2314DC" w:themeColor="accent1"/>
      </w:tblBorders>
    </w:tblPr>
    <w:tblStylePr w:type="firstRow">
      <w:rPr>
        <w:b/>
        <w:bCs/>
        <w:color w:val="FFFFFF" w:themeColor="background1"/>
      </w:rPr>
      <w:tblPr/>
      <w:tcPr>
        <w:shd w:val="clear" w:color="auto" w:fill="2314DC" w:themeFill="accent1"/>
      </w:tcPr>
    </w:tblStylePr>
    <w:tblStylePr w:type="lastRow">
      <w:rPr>
        <w:b/>
        <w:bCs/>
      </w:rPr>
      <w:tblPr/>
      <w:tcPr>
        <w:tcBorders>
          <w:top w:val="double" w:sz="4" w:space="0" w:color="2314DC"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2314DC" w:themeColor="accent1"/>
          <w:right w:val="single" w:sz="4" w:space="0" w:color="2314DC" w:themeColor="accent1"/>
        </w:tcBorders>
      </w:tcPr>
    </w:tblStylePr>
    <w:tblStylePr w:type="band1Horz">
      <w:tblPr/>
      <w:tcPr>
        <w:tcBorders>
          <w:top w:val="single" w:sz="4" w:space="0" w:color="2314DC" w:themeColor="accent1"/>
          <w:bottom w:val="single" w:sz="4" w:space="0" w:color="2314DC"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2314DC" w:themeColor="accent1"/>
          <w:left w:val="nil"/>
        </w:tcBorders>
      </w:tcPr>
    </w:tblStylePr>
    <w:tblStylePr w:type="swCell">
      <w:tblPr/>
      <w:tcPr>
        <w:tcBorders>
          <w:top w:val="double" w:sz="4" w:space="0" w:color="2314DC" w:themeColor="accent1"/>
          <w:right w:val="nil"/>
        </w:tcBorders>
      </w:tcPr>
    </w:tblStylePr>
  </w:style>
  <w:style w:type="table" w:styleId="ListTable3-Accent2">
    <w:name w:val="List Table 3 Accent 2"/>
    <w:basedOn w:val="TableNormal"/>
    <w:uiPriority w:val="48"/>
    <w:rsid w:val="00B632CF"/>
    <w:tblPr>
      <w:tblStyleRowBandSize w:val="1"/>
      <w:tblStyleColBandSize w:val="1"/>
      <w:tblBorders>
        <w:top w:val="single" w:sz="4" w:space="0" w:color="6F006E" w:themeColor="accent2"/>
        <w:left w:val="single" w:sz="4" w:space="0" w:color="6F006E" w:themeColor="accent2"/>
        <w:bottom w:val="single" w:sz="4" w:space="0" w:color="6F006E" w:themeColor="accent2"/>
        <w:right w:val="single" w:sz="4" w:space="0" w:color="6F006E" w:themeColor="accent2"/>
      </w:tblBorders>
    </w:tblPr>
    <w:tblStylePr w:type="firstRow">
      <w:rPr>
        <w:b/>
        <w:bCs/>
        <w:color w:val="FFFFFF" w:themeColor="background1"/>
      </w:rPr>
      <w:tblPr/>
      <w:tcPr>
        <w:shd w:val="clear" w:color="auto" w:fill="6F006E" w:themeFill="accent2"/>
      </w:tcPr>
    </w:tblStylePr>
    <w:tblStylePr w:type="lastRow">
      <w:rPr>
        <w:b/>
        <w:bCs/>
      </w:rPr>
      <w:tblPr/>
      <w:tcPr>
        <w:tcBorders>
          <w:top w:val="double" w:sz="4" w:space="0" w:color="6F006E"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F006E" w:themeColor="accent2"/>
          <w:right w:val="single" w:sz="4" w:space="0" w:color="6F006E" w:themeColor="accent2"/>
        </w:tcBorders>
      </w:tcPr>
    </w:tblStylePr>
    <w:tblStylePr w:type="band1Horz">
      <w:tblPr/>
      <w:tcPr>
        <w:tcBorders>
          <w:top w:val="single" w:sz="4" w:space="0" w:color="6F006E" w:themeColor="accent2"/>
          <w:bottom w:val="single" w:sz="4" w:space="0" w:color="6F006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F006E" w:themeColor="accent2"/>
          <w:left w:val="nil"/>
        </w:tcBorders>
      </w:tcPr>
    </w:tblStylePr>
    <w:tblStylePr w:type="swCell">
      <w:tblPr/>
      <w:tcPr>
        <w:tcBorders>
          <w:top w:val="double" w:sz="4" w:space="0" w:color="6F006E" w:themeColor="accent2"/>
          <w:right w:val="nil"/>
        </w:tcBorders>
      </w:tcPr>
    </w:tblStylePr>
  </w:style>
  <w:style w:type="table" w:styleId="ListTable3-Accent3">
    <w:name w:val="List Table 3 Accent 3"/>
    <w:basedOn w:val="TableNormal"/>
    <w:uiPriority w:val="48"/>
    <w:rsid w:val="00B632CF"/>
    <w:tblPr>
      <w:tblStyleRowBandSize w:val="1"/>
      <w:tblStyleColBandSize w:val="1"/>
      <w:tblBorders>
        <w:top w:val="single" w:sz="4" w:space="0" w:color="D72850" w:themeColor="accent3"/>
        <w:left w:val="single" w:sz="4" w:space="0" w:color="D72850" w:themeColor="accent3"/>
        <w:bottom w:val="single" w:sz="4" w:space="0" w:color="D72850" w:themeColor="accent3"/>
        <w:right w:val="single" w:sz="4" w:space="0" w:color="D72850" w:themeColor="accent3"/>
      </w:tblBorders>
    </w:tblPr>
    <w:tblStylePr w:type="firstRow">
      <w:rPr>
        <w:b/>
        <w:bCs/>
        <w:color w:val="FFFFFF" w:themeColor="background1"/>
      </w:rPr>
      <w:tblPr/>
      <w:tcPr>
        <w:shd w:val="clear" w:color="auto" w:fill="D72850" w:themeFill="accent3"/>
      </w:tcPr>
    </w:tblStylePr>
    <w:tblStylePr w:type="lastRow">
      <w:rPr>
        <w:b/>
        <w:bCs/>
      </w:rPr>
      <w:tblPr/>
      <w:tcPr>
        <w:tcBorders>
          <w:top w:val="double" w:sz="4" w:space="0" w:color="D72850"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D72850" w:themeColor="accent3"/>
          <w:right w:val="single" w:sz="4" w:space="0" w:color="D72850" w:themeColor="accent3"/>
        </w:tcBorders>
      </w:tcPr>
    </w:tblStylePr>
    <w:tblStylePr w:type="band1Horz">
      <w:tblPr/>
      <w:tcPr>
        <w:tcBorders>
          <w:top w:val="single" w:sz="4" w:space="0" w:color="D72850" w:themeColor="accent3"/>
          <w:bottom w:val="single" w:sz="4" w:space="0" w:color="D72850"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72850" w:themeColor="accent3"/>
          <w:left w:val="nil"/>
        </w:tcBorders>
      </w:tcPr>
    </w:tblStylePr>
    <w:tblStylePr w:type="swCell">
      <w:tblPr/>
      <w:tcPr>
        <w:tcBorders>
          <w:top w:val="double" w:sz="4" w:space="0" w:color="D72850" w:themeColor="accent3"/>
          <w:right w:val="nil"/>
        </w:tcBorders>
      </w:tcPr>
    </w:tblStylePr>
  </w:style>
  <w:style w:type="table" w:styleId="ListTable3-Accent4">
    <w:name w:val="List Table 3 Accent 4"/>
    <w:basedOn w:val="TableNormal"/>
    <w:uiPriority w:val="48"/>
    <w:rsid w:val="00B632CF"/>
    <w:tblPr>
      <w:tblStyleRowBandSize w:val="1"/>
      <w:tblStyleColBandSize w:val="1"/>
      <w:tblBorders>
        <w:top w:val="single" w:sz="4" w:space="0" w:color="FFA014" w:themeColor="accent4"/>
        <w:left w:val="single" w:sz="4" w:space="0" w:color="FFA014" w:themeColor="accent4"/>
        <w:bottom w:val="single" w:sz="4" w:space="0" w:color="FFA014" w:themeColor="accent4"/>
        <w:right w:val="single" w:sz="4" w:space="0" w:color="FFA014" w:themeColor="accent4"/>
      </w:tblBorders>
    </w:tblPr>
    <w:tblStylePr w:type="firstRow">
      <w:rPr>
        <w:b/>
        <w:bCs/>
        <w:color w:val="FFFFFF" w:themeColor="background1"/>
      </w:rPr>
      <w:tblPr/>
      <w:tcPr>
        <w:shd w:val="clear" w:color="auto" w:fill="FFA014" w:themeFill="accent4"/>
      </w:tcPr>
    </w:tblStylePr>
    <w:tblStylePr w:type="lastRow">
      <w:rPr>
        <w:b/>
        <w:bCs/>
      </w:rPr>
      <w:tblPr/>
      <w:tcPr>
        <w:tcBorders>
          <w:top w:val="double" w:sz="4" w:space="0" w:color="FFA014"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A014" w:themeColor="accent4"/>
          <w:right w:val="single" w:sz="4" w:space="0" w:color="FFA014" w:themeColor="accent4"/>
        </w:tcBorders>
      </w:tcPr>
    </w:tblStylePr>
    <w:tblStylePr w:type="band1Horz">
      <w:tblPr/>
      <w:tcPr>
        <w:tcBorders>
          <w:top w:val="single" w:sz="4" w:space="0" w:color="FFA014" w:themeColor="accent4"/>
          <w:bottom w:val="single" w:sz="4" w:space="0" w:color="FFA014"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A014" w:themeColor="accent4"/>
          <w:left w:val="nil"/>
        </w:tcBorders>
      </w:tcPr>
    </w:tblStylePr>
    <w:tblStylePr w:type="swCell">
      <w:tblPr/>
      <w:tcPr>
        <w:tcBorders>
          <w:top w:val="double" w:sz="4" w:space="0" w:color="FFA014" w:themeColor="accent4"/>
          <w:right w:val="nil"/>
        </w:tcBorders>
      </w:tcPr>
    </w:tblStylePr>
  </w:style>
  <w:style w:type="table" w:styleId="ListTable3-Accent5">
    <w:name w:val="List Table 3 Accent 5"/>
    <w:basedOn w:val="TableNormal"/>
    <w:uiPriority w:val="48"/>
    <w:rsid w:val="00B632CF"/>
    <w:tblPr>
      <w:tblStyleRowBandSize w:val="1"/>
      <w:tblStyleColBandSize w:val="1"/>
      <w:tblBorders>
        <w:top w:val="single" w:sz="4" w:space="0" w:color="007D55" w:themeColor="accent5"/>
        <w:left w:val="single" w:sz="4" w:space="0" w:color="007D55" w:themeColor="accent5"/>
        <w:bottom w:val="single" w:sz="4" w:space="0" w:color="007D55" w:themeColor="accent5"/>
        <w:right w:val="single" w:sz="4" w:space="0" w:color="007D55" w:themeColor="accent5"/>
      </w:tblBorders>
    </w:tblPr>
    <w:tblStylePr w:type="firstRow">
      <w:rPr>
        <w:b/>
        <w:bCs/>
        <w:color w:val="FFFFFF" w:themeColor="background1"/>
      </w:rPr>
      <w:tblPr/>
      <w:tcPr>
        <w:shd w:val="clear" w:color="auto" w:fill="007D55" w:themeFill="accent5"/>
      </w:tcPr>
    </w:tblStylePr>
    <w:tblStylePr w:type="lastRow">
      <w:rPr>
        <w:b/>
        <w:bCs/>
      </w:rPr>
      <w:tblPr/>
      <w:tcPr>
        <w:tcBorders>
          <w:top w:val="double" w:sz="4" w:space="0" w:color="007D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D55" w:themeColor="accent5"/>
          <w:right w:val="single" w:sz="4" w:space="0" w:color="007D55" w:themeColor="accent5"/>
        </w:tcBorders>
      </w:tcPr>
    </w:tblStylePr>
    <w:tblStylePr w:type="band1Horz">
      <w:tblPr/>
      <w:tcPr>
        <w:tcBorders>
          <w:top w:val="single" w:sz="4" w:space="0" w:color="007D55" w:themeColor="accent5"/>
          <w:bottom w:val="single" w:sz="4" w:space="0" w:color="007D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D55" w:themeColor="accent5"/>
          <w:left w:val="nil"/>
        </w:tcBorders>
      </w:tcPr>
    </w:tblStylePr>
    <w:tblStylePr w:type="swCell">
      <w:tblPr/>
      <w:tcPr>
        <w:tcBorders>
          <w:top w:val="double" w:sz="4" w:space="0" w:color="007D55" w:themeColor="accent5"/>
          <w:right w:val="nil"/>
        </w:tcBorders>
      </w:tcPr>
    </w:tblStylePr>
  </w:style>
  <w:style w:type="table" w:styleId="ListTable3-Accent6">
    <w:name w:val="List Table 3 Accent 6"/>
    <w:basedOn w:val="TableNormal"/>
    <w:uiPriority w:val="48"/>
    <w:rsid w:val="00B632CF"/>
    <w:tblPr>
      <w:tblStyleRowBandSize w:val="1"/>
      <w:tblStyleColBandSize w:val="1"/>
      <w:tblBorders>
        <w:top w:val="single" w:sz="4" w:space="0" w:color="C8C8C8" w:themeColor="accent6"/>
        <w:left w:val="single" w:sz="4" w:space="0" w:color="C8C8C8" w:themeColor="accent6"/>
        <w:bottom w:val="single" w:sz="4" w:space="0" w:color="C8C8C8" w:themeColor="accent6"/>
        <w:right w:val="single" w:sz="4" w:space="0" w:color="C8C8C8" w:themeColor="accent6"/>
      </w:tblBorders>
    </w:tblPr>
    <w:tblStylePr w:type="firstRow">
      <w:rPr>
        <w:b/>
        <w:bCs/>
        <w:color w:val="FFFFFF" w:themeColor="background1"/>
      </w:rPr>
      <w:tblPr/>
      <w:tcPr>
        <w:shd w:val="clear" w:color="auto" w:fill="C8C8C8" w:themeFill="accent6"/>
      </w:tcPr>
    </w:tblStylePr>
    <w:tblStylePr w:type="lastRow">
      <w:rPr>
        <w:b/>
        <w:bCs/>
      </w:rPr>
      <w:tblPr/>
      <w:tcPr>
        <w:tcBorders>
          <w:top w:val="double" w:sz="4" w:space="0" w:color="C8C8C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8C8C8" w:themeColor="accent6"/>
          <w:right w:val="single" w:sz="4" w:space="0" w:color="C8C8C8" w:themeColor="accent6"/>
        </w:tcBorders>
      </w:tcPr>
    </w:tblStylePr>
    <w:tblStylePr w:type="band1Horz">
      <w:tblPr/>
      <w:tcPr>
        <w:tcBorders>
          <w:top w:val="single" w:sz="4" w:space="0" w:color="C8C8C8" w:themeColor="accent6"/>
          <w:bottom w:val="single" w:sz="4" w:space="0" w:color="C8C8C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8C8C8" w:themeColor="accent6"/>
          <w:left w:val="nil"/>
        </w:tcBorders>
      </w:tcPr>
    </w:tblStylePr>
    <w:tblStylePr w:type="swCell">
      <w:tblPr/>
      <w:tcPr>
        <w:tcBorders>
          <w:top w:val="double" w:sz="4" w:space="0" w:color="C8C8C8" w:themeColor="accent6"/>
          <w:right w:val="nil"/>
        </w:tcBorders>
      </w:tcPr>
    </w:tblStylePr>
  </w:style>
  <w:style w:type="table" w:styleId="ListTable4">
    <w:name w:val="List Table 4"/>
    <w:basedOn w:val="TableNormal"/>
    <w:uiPriority w:val="49"/>
    <w:rsid w:val="00B632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B632CF"/>
    <w:tblPr>
      <w:tblStyleRowBandSize w:val="1"/>
      <w:tblStyleColBandSize w:val="1"/>
      <w:tblBorders>
        <w:top w:val="single" w:sz="4" w:space="0" w:color="746AF1" w:themeColor="accent1" w:themeTint="99"/>
        <w:left w:val="single" w:sz="4" w:space="0" w:color="746AF1" w:themeColor="accent1" w:themeTint="99"/>
        <w:bottom w:val="single" w:sz="4" w:space="0" w:color="746AF1" w:themeColor="accent1" w:themeTint="99"/>
        <w:right w:val="single" w:sz="4" w:space="0" w:color="746AF1" w:themeColor="accent1" w:themeTint="99"/>
        <w:insideH w:val="single" w:sz="4" w:space="0" w:color="746AF1" w:themeColor="accent1" w:themeTint="99"/>
      </w:tblBorders>
    </w:tblPr>
    <w:tblStylePr w:type="firstRow">
      <w:rPr>
        <w:b/>
        <w:bCs/>
        <w:color w:val="FFFFFF" w:themeColor="background1"/>
      </w:rPr>
      <w:tblPr/>
      <w:tcPr>
        <w:tcBorders>
          <w:top w:val="single" w:sz="4" w:space="0" w:color="2314DC" w:themeColor="accent1"/>
          <w:left w:val="single" w:sz="4" w:space="0" w:color="2314DC" w:themeColor="accent1"/>
          <w:bottom w:val="single" w:sz="4" w:space="0" w:color="2314DC" w:themeColor="accent1"/>
          <w:right w:val="single" w:sz="4" w:space="0" w:color="2314DC" w:themeColor="accent1"/>
          <w:insideH w:val="nil"/>
        </w:tcBorders>
        <w:shd w:val="clear" w:color="auto" w:fill="2314DC" w:themeFill="accent1"/>
      </w:tcPr>
    </w:tblStylePr>
    <w:tblStylePr w:type="lastRow">
      <w:rPr>
        <w:b/>
        <w:bCs/>
      </w:rPr>
      <w:tblPr/>
      <w:tcPr>
        <w:tcBorders>
          <w:top w:val="double" w:sz="4" w:space="0" w:color="746AF1" w:themeColor="accent1" w:themeTint="99"/>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4-Accent2">
    <w:name w:val="List Table 4 Accent 2"/>
    <w:basedOn w:val="TableNormal"/>
    <w:uiPriority w:val="49"/>
    <w:rsid w:val="00B632CF"/>
    <w:tblPr>
      <w:tblStyleRowBandSize w:val="1"/>
      <w:tblStyleColBandSize w:val="1"/>
      <w:tblBorders>
        <w:top w:val="single" w:sz="4" w:space="0" w:color="FF0FFC" w:themeColor="accent2" w:themeTint="99"/>
        <w:left w:val="single" w:sz="4" w:space="0" w:color="FF0FFC" w:themeColor="accent2" w:themeTint="99"/>
        <w:bottom w:val="single" w:sz="4" w:space="0" w:color="FF0FFC" w:themeColor="accent2" w:themeTint="99"/>
        <w:right w:val="single" w:sz="4" w:space="0" w:color="FF0FFC" w:themeColor="accent2" w:themeTint="99"/>
        <w:insideH w:val="single" w:sz="4" w:space="0" w:color="FF0FFC" w:themeColor="accent2" w:themeTint="99"/>
      </w:tblBorders>
    </w:tblPr>
    <w:tblStylePr w:type="firstRow">
      <w:rPr>
        <w:b/>
        <w:bCs/>
        <w:color w:val="FFFFFF" w:themeColor="background1"/>
      </w:rPr>
      <w:tblPr/>
      <w:tcPr>
        <w:tcBorders>
          <w:top w:val="single" w:sz="4" w:space="0" w:color="6F006E" w:themeColor="accent2"/>
          <w:left w:val="single" w:sz="4" w:space="0" w:color="6F006E" w:themeColor="accent2"/>
          <w:bottom w:val="single" w:sz="4" w:space="0" w:color="6F006E" w:themeColor="accent2"/>
          <w:right w:val="single" w:sz="4" w:space="0" w:color="6F006E" w:themeColor="accent2"/>
          <w:insideH w:val="nil"/>
        </w:tcBorders>
        <w:shd w:val="clear" w:color="auto" w:fill="6F006E" w:themeFill="accent2"/>
      </w:tcPr>
    </w:tblStylePr>
    <w:tblStylePr w:type="lastRow">
      <w:rPr>
        <w:b/>
        <w:bCs/>
      </w:rPr>
      <w:tblPr/>
      <w:tcPr>
        <w:tcBorders>
          <w:top w:val="double" w:sz="4" w:space="0" w:color="FF0FFC" w:themeColor="accent2" w:themeTint="99"/>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4-Accent3">
    <w:name w:val="List Table 4 Accent 3"/>
    <w:basedOn w:val="TableNormal"/>
    <w:uiPriority w:val="49"/>
    <w:rsid w:val="00B632CF"/>
    <w:tblPr>
      <w:tblStyleRowBandSize w:val="1"/>
      <w:tblStyleColBandSize w:val="1"/>
      <w:tblBorders>
        <w:top w:val="single" w:sz="4" w:space="0" w:color="E77E95" w:themeColor="accent3" w:themeTint="99"/>
        <w:left w:val="single" w:sz="4" w:space="0" w:color="E77E95" w:themeColor="accent3" w:themeTint="99"/>
        <w:bottom w:val="single" w:sz="4" w:space="0" w:color="E77E95" w:themeColor="accent3" w:themeTint="99"/>
        <w:right w:val="single" w:sz="4" w:space="0" w:color="E77E95" w:themeColor="accent3" w:themeTint="99"/>
        <w:insideH w:val="single" w:sz="4" w:space="0" w:color="E77E95" w:themeColor="accent3" w:themeTint="99"/>
      </w:tblBorders>
    </w:tblPr>
    <w:tblStylePr w:type="firstRow">
      <w:rPr>
        <w:b/>
        <w:bCs/>
        <w:color w:val="FFFFFF" w:themeColor="background1"/>
      </w:rPr>
      <w:tblPr/>
      <w:tcPr>
        <w:tcBorders>
          <w:top w:val="single" w:sz="4" w:space="0" w:color="D72850" w:themeColor="accent3"/>
          <w:left w:val="single" w:sz="4" w:space="0" w:color="D72850" w:themeColor="accent3"/>
          <w:bottom w:val="single" w:sz="4" w:space="0" w:color="D72850" w:themeColor="accent3"/>
          <w:right w:val="single" w:sz="4" w:space="0" w:color="D72850" w:themeColor="accent3"/>
          <w:insideH w:val="nil"/>
        </w:tcBorders>
        <w:shd w:val="clear" w:color="auto" w:fill="D72850" w:themeFill="accent3"/>
      </w:tcPr>
    </w:tblStylePr>
    <w:tblStylePr w:type="lastRow">
      <w:rPr>
        <w:b/>
        <w:bCs/>
      </w:rPr>
      <w:tblPr/>
      <w:tcPr>
        <w:tcBorders>
          <w:top w:val="double" w:sz="4" w:space="0" w:color="E77E95" w:themeColor="accent3" w:themeTint="99"/>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4-Accent4">
    <w:name w:val="List Table 4 Accent 4"/>
    <w:basedOn w:val="TableNormal"/>
    <w:uiPriority w:val="49"/>
    <w:rsid w:val="00B632CF"/>
    <w:tblPr>
      <w:tblStyleRowBandSize w:val="1"/>
      <w:tblStyleColBandSize w:val="1"/>
      <w:tblBorders>
        <w:top w:val="single" w:sz="4" w:space="0" w:color="FFC572" w:themeColor="accent4" w:themeTint="99"/>
        <w:left w:val="single" w:sz="4" w:space="0" w:color="FFC572" w:themeColor="accent4" w:themeTint="99"/>
        <w:bottom w:val="single" w:sz="4" w:space="0" w:color="FFC572" w:themeColor="accent4" w:themeTint="99"/>
        <w:right w:val="single" w:sz="4" w:space="0" w:color="FFC572" w:themeColor="accent4" w:themeTint="99"/>
        <w:insideH w:val="single" w:sz="4" w:space="0" w:color="FFC572" w:themeColor="accent4" w:themeTint="99"/>
      </w:tblBorders>
    </w:tblPr>
    <w:tblStylePr w:type="firstRow">
      <w:rPr>
        <w:b/>
        <w:bCs/>
        <w:color w:val="FFFFFF" w:themeColor="background1"/>
      </w:rPr>
      <w:tblPr/>
      <w:tcPr>
        <w:tcBorders>
          <w:top w:val="single" w:sz="4" w:space="0" w:color="FFA014" w:themeColor="accent4"/>
          <w:left w:val="single" w:sz="4" w:space="0" w:color="FFA014" w:themeColor="accent4"/>
          <w:bottom w:val="single" w:sz="4" w:space="0" w:color="FFA014" w:themeColor="accent4"/>
          <w:right w:val="single" w:sz="4" w:space="0" w:color="FFA014" w:themeColor="accent4"/>
          <w:insideH w:val="nil"/>
        </w:tcBorders>
        <w:shd w:val="clear" w:color="auto" w:fill="FFA014" w:themeFill="accent4"/>
      </w:tcPr>
    </w:tblStylePr>
    <w:tblStylePr w:type="lastRow">
      <w:rPr>
        <w:b/>
        <w:bCs/>
      </w:rPr>
      <w:tblPr/>
      <w:tcPr>
        <w:tcBorders>
          <w:top w:val="double" w:sz="4" w:space="0" w:color="FFC572" w:themeColor="accent4" w:themeTint="99"/>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4-Accent5">
    <w:name w:val="List Table 4 Accent 5"/>
    <w:basedOn w:val="TableNormal"/>
    <w:uiPriority w:val="49"/>
    <w:rsid w:val="00B632CF"/>
    <w:tblPr>
      <w:tblStyleRowBandSize w:val="1"/>
      <w:tblStyleColBandSize w:val="1"/>
      <w:tblBorders>
        <w:top w:val="single" w:sz="4" w:space="0" w:color="18FFB4" w:themeColor="accent5" w:themeTint="99"/>
        <w:left w:val="single" w:sz="4" w:space="0" w:color="18FFB4" w:themeColor="accent5" w:themeTint="99"/>
        <w:bottom w:val="single" w:sz="4" w:space="0" w:color="18FFB4" w:themeColor="accent5" w:themeTint="99"/>
        <w:right w:val="single" w:sz="4" w:space="0" w:color="18FFB4" w:themeColor="accent5" w:themeTint="99"/>
        <w:insideH w:val="single" w:sz="4" w:space="0" w:color="18FFB4" w:themeColor="accent5" w:themeTint="99"/>
      </w:tblBorders>
    </w:tblPr>
    <w:tblStylePr w:type="firstRow">
      <w:rPr>
        <w:b/>
        <w:bCs/>
        <w:color w:val="FFFFFF" w:themeColor="background1"/>
      </w:rPr>
      <w:tblPr/>
      <w:tcPr>
        <w:tcBorders>
          <w:top w:val="single" w:sz="4" w:space="0" w:color="007D55" w:themeColor="accent5"/>
          <w:left w:val="single" w:sz="4" w:space="0" w:color="007D55" w:themeColor="accent5"/>
          <w:bottom w:val="single" w:sz="4" w:space="0" w:color="007D55" w:themeColor="accent5"/>
          <w:right w:val="single" w:sz="4" w:space="0" w:color="007D55" w:themeColor="accent5"/>
          <w:insideH w:val="nil"/>
        </w:tcBorders>
        <w:shd w:val="clear" w:color="auto" w:fill="007D55" w:themeFill="accent5"/>
      </w:tcPr>
    </w:tblStylePr>
    <w:tblStylePr w:type="lastRow">
      <w:rPr>
        <w:b/>
        <w:bCs/>
      </w:rPr>
      <w:tblPr/>
      <w:tcPr>
        <w:tcBorders>
          <w:top w:val="double" w:sz="4" w:space="0" w:color="18FFB4" w:themeColor="accent5" w:themeTint="99"/>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4-Accent6">
    <w:name w:val="List Table 4 Accent 6"/>
    <w:basedOn w:val="TableNormal"/>
    <w:uiPriority w:val="49"/>
    <w:rsid w:val="00B632CF"/>
    <w:tblPr>
      <w:tblStyleRowBandSize w:val="1"/>
      <w:tblStyleColBandSize w:val="1"/>
      <w:tblBorders>
        <w:top w:val="single" w:sz="4" w:space="0" w:color="DEDEDE" w:themeColor="accent6" w:themeTint="99"/>
        <w:left w:val="single" w:sz="4" w:space="0" w:color="DEDEDE" w:themeColor="accent6" w:themeTint="99"/>
        <w:bottom w:val="single" w:sz="4" w:space="0" w:color="DEDEDE" w:themeColor="accent6" w:themeTint="99"/>
        <w:right w:val="single" w:sz="4" w:space="0" w:color="DEDEDE" w:themeColor="accent6" w:themeTint="99"/>
        <w:insideH w:val="single" w:sz="4" w:space="0" w:color="DEDEDE" w:themeColor="accent6" w:themeTint="99"/>
      </w:tblBorders>
    </w:tblPr>
    <w:tblStylePr w:type="firstRow">
      <w:rPr>
        <w:b/>
        <w:bCs/>
        <w:color w:val="FFFFFF" w:themeColor="background1"/>
      </w:rPr>
      <w:tblPr/>
      <w:tcPr>
        <w:tcBorders>
          <w:top w:val="single" w:sz="4" w:space="0" w:color="C8C8C8" w:themeColor="accent6"/>
          <w:left w:val="single" w:sz="4" w:space="0" w:color="C8C8C8" w:themeColor="accent6"/>
          <w:bottom w:val="single" w:sz="4" w:space="0" w:color="C8C8C8" w:themeColor="accent6"/>
          <w:right w:val="single" w:sz="4" w:space="0" w:color="C8C8C8" w:themeColor="accent6"/>
          <w:insideH w:val="nil"/>
        </w:tcBorders>
        <w:shd w:val="clear" w:color="auto" w:fill="C8C8C8" w:themeFill="accent6"/>
      </w:tcPr>
    </w:tblStylePr>
    <w:tblStylePr w:type="lastRow">
      <w:rPr>
        <w:b/>
        <w:bCs/>
      </w:rPr>
      <w:tblPr/>
      <w:tcPr>
        <w:tcBorders>
          <w:top w:val="double" w:sz="4" w:space="0" w:color="DEDEDE" w:themeColor="accent6" w:themeTint="99"/>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5Dark">
    <w:name w:val="List Table 5 Dark"/>
    <w:basedOn w:val="TableNormal"/>
    <w:uiPriority w:val="50"/>
    <w:rsid w:val="00B632CF"/>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B632CF"/>
    <w:rPr>
      <w:color w:val="FFFFFF" w:themeColor="background1"/>
    </w:rPr>
    <w:tblPr>
      <w:tblStyleRowBandSize w:val="1"/>
      <w:tblStyleColBandSize w:val="1"/>
      <w:tblBorders>
        <w:top w:val="single" w:sz="24" w:space="0" w:color="2314DC" w:themeColor="accent1"/>
        <w:left w:val="single" w:sz="24" w:space="0" w:color="2314DC" w:themeColor="accent1"/>
        <w:bottom w:val="single" w:sz="24" w:space="0" w:color="2314DC" w:themeColor="accent1"/>
        <w:right w:val="single" w:sz="24" w:space="0" w:color="2314DC" w:themeColor="accent1"/>
      </w:tblBorders>
    </w:tblPr>
    <w:tcPr>
      <w:shd w:val="clear" w:color="auto" w:fill="2314DC"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B632CF"/>
    <w:rPr>
      <w:color w:val="FFFFFF" w:themeColor="background1"/>
    </w:rPr>
    <w:tblPr>
      <w:tblStyleRowBandSize w:val="1"/>
      <w:tblStyleColBandSize w:val="1"/>
      <w:tblBorders>
        <w:top w:val="single" w:sz="24" w:space="0" w:color="6F006E" w:themeColor="accent2"/>
        <w:left w:val="single" w:sz="24" w:space="0" w:color="6F006E" w:themeColor="accent2"/>
        <w:bottom w:val="single" w:sz="24" w:space="0" w:color="6F006E" w:themeColor="accent2"/>
        <w:right w:val="single" w:sz="24" w:space="0" w:color="6F006E" w:themeColor="accent2"/>
      </w:tblBorders>
    </w:tblPr>
    <w:tcPr>
      <w:shd w:val="clear" w:color="auto" w:fill="6F006E"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B632CF"/>
    <w:rPr>
      <w:color w:val="FFFFFF" w:themeColor="background1"/>
    </w:rPr>
    <w:tblPr>
      <w:tblStyleRowBandSize w:val="1"/>
      <w:tblStyleColBandSize w:val="1"/>
      <w:tblBorders>
        <w:top w:val="single" w:sz="24" w:space="0" w:color="D72850" w:themeColor="accent3"/>
        <w:left w:val="single" w:sz="24" w:space="0" w:color="D72850" w:themeColor="accent3"/>
        <w:bottom w:val="single" w:sz="24" w:space="0" w:color="D72850" w:themeColor="accent3"/>
        <w:right w:val="single" w:sz="24" w:space="0" w:color="D72850" w:themeColor="accent3"/>
      </w:tblBorders>
    </w:tblPr>
    <w:tcPr>
      <w:shd w:val="clear" w:color="auto" w:fill="D72850"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B632CF"/>
    <w:rPr>
      <w:color w:val="FFFFFF" w:themeColor="background1"/>
    </w:rPr>
    <w:tblPr>
      <w:tblStyleRowBandSize w:val="1"/>
      <w:tblStyleColBandSize w:val="1"/>
      <w:tblBorders>
        <w:top w:val="single" w:sz="24" w:space="0" w:color="FFA014" w:themeColor="accent4"/>
        <w:left w:val="single" w:sz="24" w:space="0" w:color="FFA014" w:themeColor="accent4"/>
        <w:bottom w:val="single" w:sz="24" w:space="0" w:color="FFA014" w:themeColor="accent4"/>
        <w:right w:val="single" w:sz="24" w:space="0" w:color="FFA014" w:themeColor="accent4"/>
      </w:tblBorders>
    </w:tblPr>
    <w:tcPr>
      <w:shd w:val="clear" w:color="auto" w:fill="FFA014"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B632CF"/>
    <w:rPr>
      <w:color w:val="FFFFFF" w:themeColor="background1"/>
    </w:rPr>
    <w:tblPr>
      <w:tblStyleRowBandSize w:val="1"/>
      <w:tblStyleColBandSize w:val="1"/>
      <w:tblBorders>
        <w:top w:val="single" w:sz="24" w:space="0" w:color="007D55" w:themeColor="accent5"/>
        <w:left w:val="single" w:sz="24" w:space="0" w:color="007D55" w:themeColor="accent5"/>
        <w:bottom w:val="single" w:sz="24" w:space="0" w:color="007D55" w:themeColor="accent5"/>
        <w:right w:val="single" w:sz="24" w:space="0" w:color="007D55" w:themeColor="accent5"/>
      </w:tblBorders>
    </w:tblPr>
    <w:tcPr>
      <w:shd w:val="clear" w:color="auto" w:fill="007D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B632CF"/>
    <w:rPr>
      <w:color w:val="FFFFFF" w:themeColor="background1"/>
    </w:rPr>
    <w:tblPr>
      <w:tblStyleRowBandSize w:val="1"/>
      <w:tblStyleColBandSize w:val="1"/>
      <w:tblBorders>
        <w:top w:val="single" w:sz="24" w:space="0" w:color="C8C8C8" w:themeColor="accent6"/>
        <w:left w:val="single" w:sz="24" w:space="0" w:color="C8C8C8" w:themeColor="accent6"/>
        <w:bottom w:val="single" w:sz="24" w:space="0" w:color="C8C8C8" w:themeColor="accent6"/>
        <w:right w:val="single" w:sz="24" w:space="0" w:color="C8C8C8" w:themeColor="accent6"/>
      </w:tblBorders>
    </w:tblPr>
    <w:tcPr>
      <w:shd w:val="clear" w:color="auto" w:fill="C8C8C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B632CF"/>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B632CF"/>
    <w:rPr>
      <w:color w:val="1A0FA4" w:themeColor="accent1" w:themeShade="BF"/>
    </w:rPr>
    <w:tblPr>
      <w:tblStyleRowBandSize w:val="1"/>
      <w:tblStyleColBandSize w:val="1"/>
      <w:tblBorders>
        <w:top w:val="single" w:sz="4" w:space="0" w:color="2314DC" w:themeColor="accent1"/>
        <w:bottom w:val="single" w:sz="4" w:space="0" w:color="2314DC" w:themeColor="accent1"/>
      </w:tblBorders>
    </w:tblPr>
    <w:tblStylePr w:type="firstRow">
      <w:rPr>
        <w:b/>
        <w:bCs/>
      </w:rPr>
      <w:tblPr/>
      <w:tcPr>
        <w:tcBorders>
          <w:bottom w:val="single" w:sz="4" w:space="0" w:color="2314DC" w:themeColor="accent1"/>
        </w:tcBorders>
      </w:tcPr>
    </w:tblStylePr>
    <w:tblStylePr w:type="lastRow">
      <w:rPr>
        <w:b/>
        <w:bCs/>
      </w:rPr>
      <w:tblPr/>
      <w:tcPr>
        <w:tcBorders>
          <w:top w:val="double" w:sz="4" w:space="0" w:color="2314DC" w:themeColor="accent1"/>
        </w:tcBorders>
      </w:tcPr>
    </w:tblStylePr>
    <w:tblStylePr w:type="firstCol">
      <w:rPr>
        <w:b/>
        <w:bCs/>
      </w:rPr>
    </w:tblStylePr>
    <w:tblStylePr w:type="lastCol">
      <w:rPr>
        <w:b/>
        <w:bCs/>
      </w:rPr>
    </w:tblStylePr>
    <w:tblStylePr w:type="band1Vert">
      <w:tblPr/>
      <w:tcPr>
        <w:shd w:val="clear" w:color="auto" w:fill="D0CDFA" w:themeFill="accent1" w:themeFillTint="33"/>
      </w:tcPr>
    </w:tblStylePr>
    <w:tblStylePr w:type="band1Horz">
      <w:tblPr/>
      <w:tcPr>
        <w:shd w:val="clear" w:color="auto" w:fill="D0CDFA" w:themeFill="accent1" w:themeFillTint="33"/>
      </w:tcPr>
    </w:tblStylePr>
  </w:style>
  <w:style w:type="table" w:styleId="ListTable6Colorful-Accent2">
    <w:name w:val="List Table 6 Colorful Accent 2"/>
    <w:basedOn w:val="TableNormal"/>
    <w:uiPriority w:val="51"/>
    <w:rsid w:val="00B632CF"/>
    <w:rPr>
      <w:color w:val="530052" w:themeColor="accent2" w:themeShade="BF"/>
    </w:rPr>
    <w:tblPr>
      <w:tblStyleRowBandSize w:val="1"/>
      <w:tblStyleColBandSize w:val="1"/>
      <w:tblBorders>
        <w:top w:val="single" w:sz="4" w:space="0" w:color="6F006E" w:themeColor="accent2"/>
        <w:bottom w:val="single" w:sz="4" w:space="0" w:color="6F006E" w:themeColor="accent2"/>
      </w:tblBorders>
    </w:tblPr>
    <w:tblStylePr w:type="firstRow">
      <w:rPr>
        <w:b/>
        <w:bCs/>
      </w:rPr>
      <w:tblPr/>
      <w:tcPr>
        <w:tcBorders>
          <w:bottom w:val="single" w:sz="4" w:space="0" w:color="6F006E" w:themeColor="accent2"/>
        </w:tcBorders>
      </w:tcPr>
    </w:tblStylePr>
    <w:tblStylePr w:type="lastRow">
      <w:rPr>
        <w:b/>
        <w:bCs/>
      </w:rPr>
      <w:tblPr/>
      <w:tcPr>
        <w:tcBorders>
          <w:top w:val="double" w:sz="4" w:space="0" w:color="6F006E" w:themeColor="accent2"/>
        </w:tcBorders>
      </w:tcPr>
    </w:tblStylePr>
    <w:tblStylePr w:type="firstCol">
      <w:rPr>
        <w:b/>
        <w:bCs/>
      </w:rPr>
    </w:tblStylePr>
    <w:tblStylePr w:type="lastCol">
      <w:rPr>
        <w:b/>
        <w:bCs/>
      </w:rPr>
    </w:tblStylePr>
    <w:tblStylePr w:type="band1Vert">
      <w:tblPr/>
      <w:tcPr>
        <w:shd w:val="clear" w:color="auto" w:fill="FFAFFE" w:themeFill="accent2" w:themeFillTint="33"/>
      </w:tcPr>
    </w:tblStylePr>
    <w:tblStylePr w:type="band1Horz">
      <w:tblPr/>
      <w:tcPr>
        <w:shd w:val="clear" w:color="auto" w:fill="FFAFFE" w:themeFill="accent2" w:themeFillTint="33"/>
      </w:tcPr>
    </w:tblStylePr>
  </w:style>
  <w:style w:type="table" w:styleId="ListTable6Colorful-Accent3">
    <w:name w:val="List Table 6 Colorful Accent 3"/>
    <w:basedOn w:val="TableNormal"/>
    <w:uiPriority w:val="51"/>
    <w:rsid w:val="00B632CF"/>
    <w:rPr>
      <w:color w:val="A11E3B" w:themeColor="accent3" w:themeShade="BF"/>
    </w:rPr>
    <w:tblPr>
      <w:tblStyleRowBandSize w:val="1"/>
      <w:tblStyleColBandSize w:val="1"/>
      <w:tblBorders>
        <w:top w:val="single" w:sz="4" w:space="0" w:color="D72850" w:themeColor="accent3"/>
        <w:bottom w:val="single" w:sz="4" w:space="0" w:color="D72850" w:themeColor="accent3"/>
      </w:tblBorders>
    </w:tblPr>
    <w:tblStylePr w:type="firstRow">
      <w:rPr>
        <w:b/>
        <w:bCs/>
      </w:rPr>
      <w:tblPr/>
      <w:tcPr>
        <w:tcBorders>
          <w:bottom w:val="single" w:sz="4" w:space="0" w:color="D72850" w:themeColor="accent3"/>
        </w:tcBorders>
      </w:tcPr>
    </w:tblStylePr>
    <w:tblStylePr w:type="lastRow">
      <w:rPr>
        <w:b/>
        <w:bCs/>
      </w:rPr>
      <w:tblPr/>
      <w:tcPr>
        <w:tcBorders>
          <w:top w:val="double" w:sz="4" w:space="0" w:color="D72850" w:themeColor="accent3"/>
        </w:tcBorders>
      </w:tcPr>
    </w:tblStylePr>
    <w:tblStylePr w:type="firstCol">
      <w:rPr>
        <w:b/>
        <w:bCs/>
      </w:rPr>
    </w:tblStylePr>
    <w:tblStylePr w:type="lastCol">
      <w:rPr>
        <w:b/>
        <w:bCs/>
      </w:rPr>
    </w:tblStylePr>
    <w:tblStylePr w:type="band1Vert">
      <w:tblPr/>
      <w:tcPr>
        <w:shd w:val="clear" w:color="auto" w:fill="F7D4DB" w:themeFill="accent3" w:themeFillTint="33"/>
      </w:tcPr>
    </w:tblStylePr>
    <w:tblStylePr w:type="band1Horz">
      <w:tblPr/>
      <w:tcPr>
        <w:shd w:val="clear" w:color="auto" w:fill="F7D4DB" w:themeFill="accent3" w:themeFillTint="33"/>
      </w:tcPr>
    </w:tblStylePr>
  </w:style>
  <w:style w:type="table" w:styleId="ListTable6Colorful-Accent4">
    <w:name w:val="List Table 6 Colorful Accent 4"/>
    <w:basedOn w:val="TableNormal"/>
    <w:uiPriority w:val="51"/>
    <w:rsid w:val="00B632CF"/>
    <w:rPr>
      <w:color w:val="CD7900" w:themeColor="accent4" w:themeShade="BF"/>
    </w:rPr>
    <w:tblPr>
      <w:tblStyleRowBandSize w:val="1"/>
      <w:tblStyleColBandSize w:val="1"/>
      <w:tblBorders>
        <w:top w:val="single" w:sz="4" w:space="0" w:color="FFA014" w:themeColor="accent4"/>
        <w:bottom w:val="single" w:sz="4" w:space="0" w:color="FFA014" w:themeColor="accent4"/>
      </w:tblBorders>
    </w:tblPr>
    <w:tblStylePr w:type="firstRow">
      <w:rPr>
        <w:b/>
        <w:bCs/>
      </w:rPr>
      <w:tblPr/>
      <w:tcPr>
        <w:tcBorders>
          <w:bottom w:val="single" w:sz="4" w:space="0" w:color="FFA014" w:themeColor="accent4"/>
        </w:tcBorders>
      </w:tcPr>
    </w:tblStylePr>
    <w:tblStylePr w:type="lastRow">
      <w:rPr>
        <w:b/>
        <w:bCs/>
      </w:rPr>
      <w:tblPr/>
      <w:tcPr>
        <w:tcBorders>
          <w:top w:val="double" w:sz="4" w:space="0" w:color="FFA014" w:themeColor="accent4"/>
        </w:tcBorders>
      </w:tcPr>
    </w:tblStylePr>
    <w:tblStylePr w:type="firstCol">
      <w:rPr>
        <w:b/>
        <w:bCs/>
      </w:rPr>
    </w:tblStylePr>
    <w:tblStylePr w:type="lastCol">
      <w:rPr>
        <w:b/>
        <w:bCs/>
      </w:rPr>
    </w:tblStylePr>
    <w:tblStylePr w:type="band1Vert">
      <w:tblPr/>
      <w:tcPr>
        <w:shd w:val="clear" w:color="auto" w:fill="FFEBD0" w:themeFill="accent4" w:themeFillTint="33"/>
      </w:tcPr>
    </w:tblStylePr>
    <w:tblStylePr w:type="band1Horz">
      <w:tblPr/>
      <w:tcPr>
        <w:shd w:val="clear" w:color="auto" w:fill="FFEBD0" w:themeFill="accent4" w:themeFillTint="33"/>
      </w:tcPr>
    </w:tblStylePr>
  </w:style>
  <w:style w:type="table" w:styleId="ListTable6Colorful-Accent5">
    <w:name w:val="List Table 6 Colorful Accent 5"/>
    <w:basedOn w:val="TableNormal"/>
    <w:uiPriority w:val="51"/>
    <w:rsid w:val="00B632CF"/>
    <w:rPr>
      <w:color w:val="005D3F" w:themeColor="accent5" w:themeShade="BF"/>
    </w:rPr>
    <w:tblPr>
      <w:tblStyleRowBandSize w:val="1"/>
      <w:tblStyleColBandSize w:val="1"/>
      <w:tblBorders>
        <w:top w:val="single" w:sz="4" w:space="0" w:color="007D55" w:themeColor="accent5"/>
        <w:bottom w:val="single" w:sz="4" w:space="0" w:color="007D55" w:themeColor="accent5"/>
      </w:tblBorders>
    </w:tblPr>
    <w:tblStylePr w:type="firstRow">
      <w:rPr>
        <w:b/>
        <w:bCs/>
      </w:rPr>
      <w:tblPr/>
      <w:tcPr>
        <w:tcBorders>
          <w:bottom w:val="single" w:sz="4" w:space="0" w:color="007D55" w:themeColor="accent5"/>
        </w:tcBorders>
      </w:tcPr>
    </w:tblStylePr>
    <w:tblStylePr w:type="lastRow">
      <w:rPr>
        <w:b/>
        <w:bCs/>
      </w:rPr>
      <w:tblPr/>
      <w:tcPr>
        <w:tcBorders>
          <w:top w:val="double" w:sz="4" w:space="0" w:color="007D55" w:themeColor="accent5"/>
        </w:tcBorders>
      </w:tcPr>
    </w:tblStylePr>
    <w:tblStylePr w:type="firstCol">
      <w:rPr>
        <w:b/>
        <w:bCs/>
      </w:rPr>
    </w:tblStylePr>
    <w:tblStylePr w:type="lastCol">
      <w:rPr>
        <w:b/>
        <w:bCs/>
      </w:rPr>
    </w:tblStylePr>
    <w:tblStylePr w:type="band1Vert">
      <w:tblPr/>
      <w:tcPr>
        <w:shd w:val="clear" w:color="auto" w:fill="B2FFE6" w:themeFill="accent5" w:themeFillTint="33"/>
      </w:tcPr>
    </w:tblStylePr>
    <w:tblStylePr w:type="band1Horz">
      <w:tblPr/>
      <w:tcPr>
        <w:shd w:val="clear" w:color="auto" w:fill="B2FFE6" w:themeFill="accent5" w:themeFillTint="33"/>
      </w:tcPr>
    </w:tblStylePr>
  </w:style>
  <w:style w:type="table" w:styleId="ListTable6Colorful-Accent6">
    <w:name w:val="List Table 6 Colorful Accent 6"/>
    <w:basedOn w:val="TableNormal"/>
    <w:uiPriority w:val="51"/>
    <w:rsid w:val="00B632CF"/>
    <w:rPr>
      <w:color w:val="959595" w:themeColor="accent6" w:themeShade="BF"/>
    </w:rPr>
    <w:tblPr>
      <w:tblStyleRowBandSize w:val="1"/>
      <w:tblStyleColBandSize w:val="1"/>
      <w:tblBorders>
        <w:top w:val="single" w:sz="4" w:space="0" w:color="C8C8C8" w:themeColor="accent6"/>
        <w:bottom w:val="single" w:sz="4" w:space="0" w:color="C8C8C8" w:themeColor="accent6"/>
      </w:tblBorders>
    </w:tblPr>
    <w:tblStylePr w:type="firstRow">
      <w:rPr>
        <w:b/>
        <w:bCs/>
      </w:rPr>
      <w:tblPr/>
      <w:tcPr>
        <w:tcBorders>
          <w:bottom w:val="single" w:sz="4" w:space="0" w:color="C8C8C8" w:themeColor="accent6"/>
        </w:tcBorders>
      </w:tcPr>
    </w:tblStylePr>
    <w:tblStylePr w:type="lastRow">
      <w:rPr>
        <w:b/>
        <w:bCs/>
      </w:rPr>
      <w:tblPr/>
      <w:tcPr>
        <w:tcBorders>
          <w:top w:val="double" w:sz="4" w:space="0" w:color="C8C8C8" w:themeColor="accent6"/>
        </w:tcBorders>
      </w:tcPr>
    </w:tblStylePr>
    <w:tblStylePr w:type="firstCol">
      <w:rPr>
        <w:b/>
        <w:bCs/>
      </w:rPr>
    </w:tblStylePr>
    <w:tblStylePr w:type="lastCol">
      <w:rPr>
        <w:b/>
        <w:bCs/>
      </w:rPr>
    </w:tblStylePr>
    <w:tblStylePr w:type="band1Vert">
      <w:tblPr/>
      <w:tcPr>
        <w:shd w:val="clear" w:color="auto" w:fill="F4F4F4" w:themeFill="accent6" w:themeFillTint="33"/>
      </w:tcPr>
    </w:tblStylePr>
    <w:tblStylePr w:type="band1Horz">
      <w:tblPr/>
      <w:tcPr>
        <w:shd w:val="clear" w:color="auto" w:fill="F4F4F4" w:themeFill="accent6" w:themeFillTint="33"/>
      </w:tcPr>
    </w:tblStylePr>
  </w:style>
  <w:style w:type="table" w:styleId="ListTable7Colorful">
    <w:name w:val="List Table 7 Colorful"/>
    <w:basedOn w:val="TableNormal"/>
    <w:uiPriority w:val="52"/>
    <w:rsid w:val="00B632CF"/>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B632CF"/>
    <w:rPr>
      <w:color w:val="1A0FA4"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2314DC"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2314DC"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2314DC"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2314DC" w:themeColor="accent1"/>
        </w:tcBorders>
        <w:shd w:val="clear" w:color="auto" w:fill="FFFFFF" w:themeFill="background1"/>
      </w:tcPr>
    </w:tblStylePr>
    <w:tblStylePr w:type="band1Vert">
      <w:tblPr/>
      <w:tcPr>
        <w:shd w:val="clear" w:color="auto" w:fill="D0CDFA" w:themeFill="accent1" w:themeFillTint="33"/>
      </w:tcPr>
    </w:tblStylePr>
    <w:tblStylePr w:type="band1Horz">
      <w:tblPr/>
      <w:tcPr>
        <w:shd w:val="clear" w:color="auto" w:fill="D0CDFA"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B632CF"/>
    <w:rPr>
      <w:color w:val="530052"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F006E"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F006E"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F006E"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F006E" w:themeColor="accent2"/>
        </w:tcBorders>
        <w:shd w:val="clear" w:color="auto" w:fill="FFFFFF" w:themeFill="background1"/>
      </w:tcPr>
    </w:tblStylePr>
    <w:tblStylePr w:type="band1Vert">
      <w:tblPr/>
      <w:tcPr>
        <w:shd w:val="clear" w:color="auto" w:fill="FFAFFE" w:themeFill="accent2" w:themeFillTint="33"/>
      </w:tcPr>
    </w:tblStylePr>
    <w:tblStylePr w:type="band1Horz">
      <w:tblPr/>
      <w:tcPr>
        <w:shd w:val="clear" w:color="auto" w:fill="FFAFFE"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B632CF"/>
    <w:rPr>
      <w:color w:val="A11E3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D72850"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D72850"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D72850"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D72850" w:themeColor="accent3"/>
        </w:tcBorders>
        <w:shd w:val="clear" w:color="auto" w:fill="FFFFFF" w:themeFill="background1"/>
      </w:tcPr>
    </w:tblStylePr>
    <w:tblStylePr w:type="band1Vert">
      <w:tblPr/>
      <w:tcPr>
        <w:shd w:val="clear" w:color="auto" w:fill="F7D4DB" w:themeFill="accent3" w:themeFillTint="33"/>
      </w:tcPr>
    </w:tblStylePr>
    <w:tblStylePr w:type="band1Horz">
      <w:tblPr/>
      <w:tcPr>
        <w:shd w:val="clear" w:color="auto" w:fill="F7D4DB"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B632CF"/>
    <w:rPr>
      <w:color w:val="CD790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A014"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A014"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A014"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A014" w:themeColor="accent4"/>
        </w:tcBorders>
        <w:shd w:val="clear" w:color="auto" w:fill="FFFFFF" w:themeFill="background1"/>
      </w:tcPr>
    </w:tblStylePr>
    <w:tblStylePr w:type="band1Vert">
      <w:tblPr/>
      <w:tcPr>
        <w:shd w:val="clear" w:color="auto" w:fill="FFEBD0" w:themeFill="accent4" w:themeFillTint="33"/>
      </w:tcPr>
    </w:tblStylePr>
    <w:tblStylePr w:type="band1Horz">
      <w:tblPr/>
      <w:tcPr>
        <w:shd w:val="clear" w:color="auto" w:fill="FFEBD0"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B632CF"/>
    <w:rPr>
      <w:color w:val="005D3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D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D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D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D55" w:themeColor="accent5"/>
        </w:tcBorders>
        <w:shd w:val="clear" w:color="auto" w:fill="FFFFFF" w:themeFill="background1"/>
      </w:tcPr>
    </w:tblStylePr>
    <w:tblStylePr w:type="band1Vert">
      <w:tblPr/>
      <w:tcPr>
        <w:shd w:val="clear" w:color="auto" w:fill="B2FFE6" w:themeFill="accent5" w:themeFillTint="33"/>
      </w:tcPr>
    </w:tblStylePr>
    <w:tblStylePr w:type="band1Horz">
      <w:tblPr/>
      <w:tcPr>
        <w:shd w:val="clear" w:color="auto" w:fill="B2FFE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B632CF"/>
    <w:rPr>
      <w:color w:val="959595"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8C8C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8C8C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8C8C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8C8C8" w:themeColor="accent6"/>
        </w:tcBorders>
        <w:shd w:val="clear" w:color="auto" w:fill="FFFFFF" w:themeFill="background1"/>
      </w:tcPr>
    </w:tblStylePr>
    <w:tblStylePr w:type="band1Vert">
      <w:tblPr/>
      <w:tcPr>
        <w:shd w:val="clear" w:color="auto" w:fill="F4F4F4" w:themeFill="accent6" w:themeFillTint="33"/>
      </w:tcPr>
    </w:tblStylePr>
    <w:tblStylePr w:type="band1Horz">
      <w:tblPr/>
      <w:tcPr>
        <w:shd w:val="clear" w:color="auto" w:fill="F4F4F4"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B632CF"/>
    <w:pPr>
      <w:tabs>
        <w:tab w:val="left" w:pos="480"/>
        <w:tab w:val="left" w:pos="960"/>
        <w:tab w:val="left" w:pos="1440"/>
        <w:tab w:val="left" w:pos="1920"/>
        <w:tab w:val="left" w:pos="2400"/>
        <w:tab w:val="left" w:pos="2880"/>
        <w:tab w:val="left" w:pos="3360"/>
        <w:tab w:val="left" w:pos="3840"/>
        <w:tab w:val="left" w:pos="4320"/>
      </w:tabs>
      <w:spacing w:line="240" w:lineRule="atLeast"/>
    </w:pPr>
    <w:rPr>
      <w:rFonts w:ascii="Consolas" w:hAnsi="Consolas" w:cs="Jacobs Chronos"/>
      <w:sz w:val="20"/>
      <w:szCs w:val="20"/>
    </w:rPr>
  </w:style>
  <w:style w:type="character" w:customStyle="1" w:styleId="MacroTextChar">
    <w:name w:val="Macro Text Char"/>
    <w:basedOn w:val="DefaultParagraphFont"/>
    <w:link w:val="MacroText"/>
    <w:uiPriority w:val="99"/>
    <w:semiHidden/>
    <w:rsid w:val="00B632CF"/>
    <w:rPr>
      <w:rFonts w:ascii="Consolas" w:hAnsi="Consolas" w:cs="Jacobs Chronos"/>
      <w:sz w:val="20"/>
      <w:szCs w:val="20"/>
    </w:rPr>
  </w:style>
  <w:style w:type="table" w:styleId="MediumGrid1">
    <w:name w:val="Medium Grid 1"/>
    <w:basedOn w:val="TableNormal"/>
    <w:uiPriority w:val="67"/>
    <w:semiHidden/>
    <w:unhideWhenUsed/>
    <w:rsid w:val="00B632C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2">
    <w:name w:val="Medium Grid 1 Accent 2"/>
    <w:basedOn w:val="TableNormal"/>
    <w:uiPriority w:val="67"/>
    <w:semiHidden/>
    <w:unhideWhenUsed/>
    <w:rsid w:val="00B632CF"/>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insideV w:val="single" w:sz="8" w:space="0" w:color="D300D0" w:themeColor="accent2" w:themeTint="BF"/>
      </w:tblBorders>
    </w:tblPr>
    <w:tcPr>
      <w:shd w:val="clear" w:color="auto" w:fill="FF9CFD" w:themeFill="accent2" w:themeFillTint="3F"/>
    </w:tcPr>
    <w:tblStylePr w:type="firstRow">
      <w:rPr>
        <w:b/>
        <w:bCs/>
      </w:rPr>
    </w:tblStylePr>
    <w:tblStylePr w:type="lastRow">
      <w:rPr>
        <w:b/>
        <w:bCs/>
      </w:rPr>
      <w:tblPr/>
      <w:tcPr>
        <w:tcBorders>
          <w:top w:val="single" w:sz="18" w:space="0" w:color="D300D0" w:themeColor="accent2" w:themeTint="BF"/>
        </w:tcBorders>
      </w:tcPr>
    </w:tblStylePr>
    <w:tblStylePr w:type="firstCol">
      <w:rPr>
        <w:b/>
        <w:bCs/>
      </w:rPr>
    </w:tblStylePr>
    <w:tblStylePr w:type="lastCol">
      <w:rPr>
        <w:b/>
        <w:bCs/>
      </w:rPr>
    </w:tblStylePr>
    <w:tblStylePr w:type="band1Vert">
      <w:tblPr/>
      <w:tcPr>
        <w:shd w:val="clear" w:color="auto" w:fill="FF38FC" w:themeFill="accent2" w:themeFillTint="7F"/>
      </w:tcPr>
    </w:tblStylePr>
    <w:tblStylePr w:type="band1Horz">
      <w:tblPr/>
      <w:tcPr>
        <w:shd w:val="clear" w:color="auto" w:fill="FF38FC" w:themeFill="accent2" w:themeFillTint="7F"/>
      </w:tcPr>
    </w:tblStylePr>
  </w:style>
  <w:style w:type="table" w:styleId="MediumGrid1-Accent3">
    <w:name w:val="Medium Grid 1 Accent 3"/>
    <w:basedOn w:val="TableNormal"/>
    <w:uiPriority w:val="67"/>
    <w:semiHidden/>
    <w:unhideWhenUsed/>
    <w:rsid w:val="00B632CF"/>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insideV w:val="single" w:sz="8" w:space="0" w:color="E15D7B" w:themeColor="accent3" w:themeTint="BF"/>
      </w:tblBorders>
    </w:tblPr>
    <w:tcPr>
      <w:shd w:val="clear" w:color="auto" w:fill="F5C9D3" w:themeFill="accent3" w:themeFillTint="3F"/>
    </w:tcPr>
    <w:tblStylePr w:type="firstRow">
      <w:rPr>
        <w:b/>
        <w:bCs/>
      </w:rPr>
    </w:tblStylePr>
    <w:tblStylePr w:type="lastRow">
      <w:rPr>
        <w:b/>
        <w:bCs/>
      </w:rPr>
      <w:tblPr/>
      <w:tcPr>
        <w:tcBorders>
          <w:top w:val="single" w:sz="18" w:space="0" w:color="E15D7B" w:themeColor="accent3" w:themeTint="BF"/>
        </w:tcBorders>
      </w:tcPr>
    </w:tblStylePr>
    <w:tblStylePr w:type="firstCol">
      <w:rPr>
        <w:b/>
        <w:bCs/>
      </w:rPr>
    </w:tblStylePr>
    <w:tblStylePr w:type="lastCol">
      <w:rPr>
        <w:b/>
        <w:bCs/>
      </w:rPr>
    </w:tblStylePr>
    <w:tblStylePr w:type="band1Vert">
      <w:tblPr/>
      <w:tcPr>
        <w:shd w:val="clear" w:color="auto" w:fill="EB93A7" w:themeFill="accent3" w:themeFillTint="7F"/>
      </w:tcPr>
    </w:tblStylePr>
    <w:tblStylePr w:type="band1Horz">
      <w:tblPr/>
      <w:tcPr>
        <w:shd w:val="clear" w:color="auto" w:fill="EB93A7" w:themeFill="accent3" w:themeFillTint="7F"/>
      </w:tcPr>
    </w:tblStylePr>
  </w:style>
  <w:style w:type="table" w:styleId="MediumGrid1-Accent4">
    <w:name w:val="Medium Grid 1 Accent 4"/>
    <w:basedOn w:val="TableNormal"/>
    <w:uiPriority w:val="67"/>
    <w:semiHidden/>
    <w:unhideWhenUsed/>
    <w:rsid w:val="00B632CF"/>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insideV w:val="single" w:sz="8" w:space="0" w:color="FFB74E" w:themeColor="accent4" w:themeTint="BF"/>
      </w:tblBorders>
    </w:tblPr>
    <w:tcPr>
      <w:shd w:val="clear" w:color="auto" w:fill="FFE7C4" w:themeFill="accent4" w:themeFillTint="3F"/>
    </w:tcPr>
    <w:tblStylePr w:type="firstRow">
      <w:rPr>
        <w:b/>
        <w:bCs/>
      </w:rPr>
    </w:tblStylePr>
    <w:tblStylePr w:type="lastRow">
      <w:rPr>
        <w:b/>
        <w:bCs/>
      </w:rPr>
      <w:tblPr/>
      <w:tcPr>
        <w:tcBorders>
          <w:top w:val="single" w:sz="18" w:space="0" w:color="FFB74E" w:themeColor="accent4" w:themeTint="BF"/>
        </w:tcBorders>
      </w:tcPr>
    </w:tblStylePr>
    <w:tblStylePr w:type="firstCol">
      <w:rPr>
        <w:b/>
        <w:bCs/>
      </w:rPr>
    </w:tblStylePr>
    <w:tblStylePr w:type="lastCol">
      <w:rPr>
        <w:b/>
        <w:bCs/>
      </w:rPr>
    </w:tblStylePr>
    <w:tblStylePr w:type="band1Vert">
      <w:tblPr/>
      <w:tcPr>
        <w:shd w:val="clear" w:color="auto" w:fill="FFCF89" w:themeFill="accent4" w:themeFillTint="7F"/>
      </w:tcPr>
    </w:tblStylePr>
    <w:tblStylePr w:type="band1Horz">
      <w:tblPr/>
      <w:tcPr>
        <w:shd w:val="clear" w:color="auto" w:fill="FFCF89" w:themeFill="accent4" w:themeFillTint="7F"/>
      </w:tcPr>
    </w:tblStylePr>
  </w:style>
  <w:style w:type="table" w:styleId="MediumGrid1-Accent5">
    <w:name w:val="Medium Grid 1 Accent 5"/>
    <w:basedOn w:val="TableNormal"/>
    <w:uiPriority w:val="67"/>
    <w:semiHidden/>
    <w:unhideWhenUsed/>
    <w:rsid w:val="00B632CF"/>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insideV w:val="single" w:sz="8" w:space="0" w:color="00DD96" w:themeColor="accent5" w:themeTint="BF"/>
      </w:tblBorders>
    </w:tblPr>
    <w:tcPr>
      <w:shd w:val="clear" w:color="auto" w:fill="9FFFE0" w:themeFill="accent5" w:themeFillTint="3F"/>
    </w:tcPr>
    <w:tblStylePr w:type="firstRow">
      <w:rPr>
        <w:b/>
        <w:bCs/>
      </w:rPr>
    </w:tblStylePr>
    <w:tblStylePr w:type="lastRow">
      <w:rPr>
        <w:b/>
        <w:bCs/>
      </w:rPr>
      <w:tblPr/>
      <w:tcPr>
        <w:tcBorders>
          <w:top w:val="single" w:sz="18" w:space="0" w:color="00DD96" w:themeColor="accent5" w:themeTint="BF"/>
        </w:tcBorders>
      </w:tcPr>
    </w:tblStylePr>
    <w:tblStylePr w:type="firstCol">
      <w:rPr>
        <w:b/>
        <w:bCs/>
      </w:rPr>
    </w:tblStylePr>
    <w:tblStylePr w:type="lastCol">
      <w:rPr>
        <w:b/>
        <w:bCs/>
      </w:rPr>
    </w:tblStylePr>
    <w:tblStylePr w:type="band1Vert">
      <w:tblPr/>
      <w:tcPr>
        <w:shd w:val="clear" w:color="auto" w:fill="3FFFC1" w:themeFill="accent5" w:themeFillTint="7F"/>
      </w:tcPr>
    </w:tblStylePr>
    <w:tblStylePr w:type="band1Horz">
      <w:tblPr/>
      <w:tcPr>
        <w:shd w:val="clear" w:color="auto" w:fill="3FFFC1" w:themeFill="accent5" w:themeFillTint="7F"/>
      </w:tcPr>
    </w:tblStylePr>
  </w:style>
  <w:style w:type="table" w:styleId="MediumGrid1-Accent6">
    <w:name w:val="Medium Grid 1 Accent 6"/>
    <w:basedOn w:val="TableNormal"/>
    <w:uiPriority w:val="67"/>
    <w:semiHidden/>
    <w:unhideWhenUsed/>
    <w:rsid w:val="00B632CF"/>
    <w:tblPr>
      <w:tblStyleRowBandSize w:val="1"/>
      <w:tblStyleColBandSize w:val="1"/>
      <w:tbl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single" w:sz="8" w:space="0" w:color="D5D5D5" w:themeColor="accent6" w:themeTint="BF"/>
        <w:insideV w:val="single" w:sz="8" w:space="0" w:color="D5D5D5" w:themeColor="accent6" w:themeTint="BF"/>
      </w:tblBorders>
    </w:tblPr>
    <w:tcPr>
      <w:shd w:val="clear" w:color="auto" w:fill="F1F1F1" w:themeFill="accent6" w:themeFillTint="3F"/>
    </w:tcPr>
    <w:tblStylePr w:type="firstRow">
      <w:rPr>
        <w:b/>
        <w:bCs/>
      </w:rPr>
    </w:tblStylePr>
    <w:tblStylePr w:type="lastRow">
      <w:rPr>
        <w:b/>
        <w:bCs/>
      </w:rPr>
      <w:tblPr/>
      <w:tcPr>
        <w:tcBorders>
          <w:top w:val="single" w:sz="18" w:space="0" w:color="D5D5D5" w:themeColor="accent6" w:themeTint="BF"/>
        </w:tcBorders>
      </w:tcPr>
    </w:tblStylePr>
    <w:tblStylePr w:type="firstCol">
      <w:rPr>
        <w:b/>
        <w:bCs/>
      </w:rPr>
    </w:tblStylePr>
    <w:tblStylePr w:type="lastCol">
      <w:rPr>
        <w:b/>
        <w:bCs/>
      </w:rPr>
    </w:tblStylePr>
    <w:tblStylePr w:type="band1Vert">
      <w:tblPr/>
      <w:tcPr>
        <w:shd w:val="clear" w:color="auto" w:fill="E3E3E3" w:themeFill="accent6" w:themeFillTint="7F"/>
      </w:tcPr>
    </w:tblStylePr>
    <w:tblStylePr w:type="band1Horz">
      <w:tblPr/>
      <w:tcPr>
        <w:shd w:val="clear" w:color="auto" w:fill="E3E3E3" w:themeFill="accent6" w:themeFillTint="7F"/>
      </w:tcPr>
    </w:tblStylePr>
  </w:style>
  <w:style w:type="table" w:styleId="MediumGrid2">
    <w:name w:val="Medium Grid 2"/>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insideH w:val="single" w:sz="8" w:space="0" w:color="2314DC" w:themeColor="accent1"/>
        <w:insideV w:val="single" w:sz="8" w:space="0" w:color="2314DC" w:themeColor="accent1"/>
      </w:tblBorders>
    </w:tblPr>
    <w:tcPr>
      <w:shd w:val="clear" w:color="auto" w:fill="C5C1F9" w:themeFill="accent1" w:themeFillTint="3F"/>
    </w:tcPr>
    <w:tblStylePr w:type="firstRow">
      <w:rPr>
        <w:b/>
        <w:bCs/>
        <w:color w:val="000000" w:themeColor="text1"/>
      </w:rPr>
      <w:tblPr/>
      <w:tcPr>
        <w:shd w:val="clear" w:color="auto" w:fill="E8E6FC"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0CDFA" w:themeFill="accent1" w:themeFillTint="33"/>
      </w:tcPr>
    </w:tblStylePr>
    <w:tblStylePr w:type="band1Vert">
      <w:tblPr/>
      <w:tcPr>
        <w:shd w:val="clear" w:color="auto" w:fill="8B83F3" w:themeFill="accent1" w:themeFillTint="7F"/>
      </w:tcPr>
    </w:tblStylePr>
    <w:tblStylePr w:type="band1Horz">
      <w:tblPr/>
      <w:tcPr>
        <w:tcBorders>
          <w:insideH w:val="single" w:sz="6" w:space="0" w:color="2314DC" w:themeColor="accent1"/>
          <w:insideV w:val="single" w:sz="6" w:space="0" w:color="2314DC" w:themeColor="accent1"/>
        </w:tcBorders>
        <w:shd w:val="clear" w:color="auto" w:fill="8B83F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insideH w:val="single" w:sz="8" w:space="0" w:color="6F006E" w:themeColor="accent2"/>
        <w:insideV w:val="single" w:sz="8" w:space="0" w:color="6F006E" w:themeColor="accent2"/>
      </w:tblBorders>
    </w:tblPr>
    <w:tcPr>
      <w:shd w:val="clear" w:color="auto" w:fill="FF9CFD" w:themeFill="accent2" w:themeFillTint="3F"/>
    </w:tcPr>
    <w:tblStylePr w:type="firstRow">
      <w:rPr>
        <w:b/>
        <w:bCs/>
        <w:color w:val="000000" w:themeColor="text1"/>
      </w:rPr>
      <w:tblPr/>
      <w:tcPr>
        <w:shd w:val="clear" w:color="auto" w:fill="FFD7F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AFFE" w:themeFill="accent2" w:themeFillTint="33"/>
      </w:tcPr>
    </w:tblStylePr>
    <w:tblStylePr w:type="band1Vert">
      <w:tblPr/>
      <w:tcPr>
        <w:shd w:val="clear" w:color="auto" w:fill="FF38FC" w:themeFill="accent2" w:themeFillTint="7F"/>
      </w:tcPr>
    </w:tblStylePr>
    <w:tblStylePr w:type="band1Horz">
      <w:tblPr/>
      <w:tcPr>
        <w:tcBorders>
          <w:insideH w:val="single" w:sz="6" w:space="0" w:color="6F006E" w:themeColor="accent2"/>
          <w:insideV w:val="single" w:sz="6" w:space="0" w:color="6F006E" w:themeColor="accent2"/>
        </w:tcBorders>
        <w:shd w:val="clear" w:color="auto" w:fill="FF38F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insideH w:val="single" w:sz="8" w:space="0" w:color="D72850" w:themeColor="accent3"/>
        <w:insideV w:val="single" w:sz="8" w:space="0" w:color="D72850" w:themeColor="accent3"/>
      </w:tblBorders>
    </w:tblPr>
    <w:tcPr>
      <w:shd w:val="clear" w:color="auto" w:fill="F5C9D3" w:themeFill="accent3" w:themeFillTint="3F"/>
    </w:tcPr>
    <w:tblStylePr w:type="firstRow">
      <w:rPr>
        <w:b/>
        <w:bCs/>
        <w:color w:val="000000" w:themeColor="text1"/>
      </w:rPr>
      <w:tblPr/>
      <w:tcPr>
        <w:shd w:val="clear" w:color="auto" w:fill="FBE9ED"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7D4DB" w:themeFill="accent3" w:themeFillTint="33"/>
      </w:tcPr>
    </w:tblStylePr>
    <w:tblStylePr w:type="band1Vert">
      <w:tblPr/>
      <w:tcPr>
        <w:shd w:val="clear" w:color="auto" w:fill="EB93A7" w:themeFill="accent3" w:themeFillTint="7F"/>
      </w:tcPr>
    </w:tblStylePr>
    <w:tblStylePr w:type="band1Horz">
      <w:tblPr/>
      <w:tcPr>
        <w:tcBorders>
          <w:insideH w:val="single" w:sz="6" w:space="0" w:color="D72850" w:themeColor="accent3"/>
          <w:insideV w:val="single" w:sz="6" w:space="0" w:color="D72850" w:themeColor="accent3"/>
        </w:tcBorders>
        <w:shd w:val="clear" w:color="auto" w:fill="EB93A7"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insideH w:val="single" w:sz="8" w:space="0" w:color="FFA014" w:themeColor="accent4"/>
        <w:insideV w:val="single" w:sz="8" w:space="0" w:color="FFA014" w:themeColor="accent4"/>
      </w:tblBorders>
    </w:tblPr>
    <w:tcPr>
      <w:shd w:val="clear" w:color="auto" w:fill="FFE7C4" w:themeFill="accent4" w:themeFillTint="3F"/>
    </w:tcPr>
    <w:tblStylePr w:type="firstRow">
      <w:rPr>
        <w:b/>
        <w:bCs/>
        <w:color w:val="000000" w:themeColor="text1"/>
      </w:rPr>
      <w:tblPr/>
      <w:tcPr>
        <w:shd w:val="clear" w:color="auto" w:fill="FFF5E7"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BD0" w:themeFill="accent4" w:themeFillTint="33"/>
      </w:tcPr>
    </w:tblStylePr>
    <w:tblStylePr w:type="band1Vert">
      <w:tblPr/>
      <w:tcPr>
        <w:shd w:val="clear" w:color="auto" w:fill="FFCF89" w:themeFill="accent4" w:themeFillTint="7F"/>
      </w:tcPr>
    </w:tblStylePr>
    <w:tblStylePr w:type="band1Horz">
      <w:tblPr/>
      <w:tcPr>
        <w:tcBorders>
          <w:insideH w:val="single" w:sz="6" w:space="0" w:color="FFA014" w:themeColor="accent4"/>
          <w:insideV w:val="single" w:sz="6" w:space="0" w:color="FFA014" w:themeColor="accent4"/>
        </w:tcBorders>
        <w:shd w:val="clear" w:color="auto" w:fill="FFCF8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insideH w:val="single" w:sz="8" w:space="0" w:color="007D55" w:themeColor="accent5"/>
        <w:insideV w:val="single" w:sz="8" w:space="0" w:color="007D55" w:themeColor="accent5"/>
      </w:tblBorders>
    </w:tblPr>
    <w:tcPr>
      <w:shd w:val="clear" w:color="auto" w:fill="9FFFE0" w:themeFill="accent5" w:themeFillTint="3F"/>
    </w:tcPr>
    <w:tblStylePr w:type="firstRow">
      <w:rPr>
        <w:b/>
        <w:bCs/>
        <w:color w:val="000000" w:themeColor="text1"/>
      </w:rPr>
      <w:tblPr/>
      <w:tcPr>
        <w:shd w:val="clear" w:color="auto" w:fill="D9FFF2"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2FFE6" w:themeFill="accent5" w:themeFillTint="33"/>
      </w:tcPr>
    </w:tblStylePr>
    <w:tblStylePr w:type="band1Vert">
      <w:tblPr/>
      <w:tcPr>
        <w:shd w:val="clear" w:color="auto" w:fill="3FFFC1" w:themeFill="accent5" w:themeFillTint="7F"/>
      </w:tcPr>
    </w:tblStylePr>
    <w:tblStylePr w:type="band1Horz">
      <w:tblPr/>
      <w:tcPr>
        <w:tcBorders>
          <w:insideH w:val="single" w:sz="6" w:space="0" w:color="007D55" w:themeColor="accent5"/>
          <w:insideV w:val="single" w:sz="6" w:space="0" w:color="007D55" w:themeColor="accent5"/>
        </w:tcBorders>
        <w:shd w:val="clear" w:color="auto" w:fill="3FFFC1"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insideH w:val="single" w:sz="8" w:space="0" w:color="C8C8C8" w:themeColor="accent6"/>
        <w:insideV w:val="single" w:sz="8" w:space="0" w:color="C8C8C8" w:themeColor="accent6"/>
      </w:tblBorders>
    </w:tblPr>
    <w:tcPr>
      <w:shd w:val="clear" w:color="auto" w:fill="F1F1F1" w:themeFill="accent6" w:themeFillTint="3F"/>
    </w:tcPr>
    <w:tblStylePr w:type="firstRow">
      <w:rPr>
        <w:b/>
        <w:bCs/>
        <w:color w:val="000000" w:themeColor="text1"/>
      </w:rPr>
      <w:tblPr/>
      <w:tcPr>
        <w:shd w:val="clear" w:color="auto" w:fill="F9F9F9"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F4F4" w:themeFill="accent6" w:themeFillTint="33"/>
      </w:tcPr>
    </w:tblStylePr>
    <w:tblStylePr w:type="band1Vert">
      <w:tblPr/>
      <w:tcPr>
        <w:shd w:val="clear" w:color="auto" w:fill="E3E3E3" w:themeFill="accent6" w:themeFillTint="7F"/>
      </w:tcPr>
    </w:tblStylePr>
    <w:tblStylePr w:type="band1Horz">
      <w:tblPr/>
      <w:tcPr>
        <w:tcBorders>
          <w:insideH w:val="single" w:sz="6" w:space="0" w:color="C8C8C8" w:themeColor="accent6"/>
          <w:insideV w:val="single" w:sz="6" w:space="0" w:color="C8C8C8" w:themeColor="accent6"/>
        </w:tcBorders>
        <w:shd w:val="clear" w:color="auto" w:fill="E3E3E3"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5C1F9"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2314DC"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2314DC"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2314DC"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2314DC"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B83F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B83F3" w:themeFill="accent1" w:themeFillTint="7F"/>
      </w:tcPr>
    </w:tblStylePr>
  </w:style>
  <w:style w:type="table" w:styleId="MediumGrid3-Accent2">
    <w:name w:val="Medium Grid 3 Accent 2"/>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9CFD"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F006E"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F006E"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F006E"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38F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38FC" w:themeFill="accent2" w:themeFillTint="7F"/>
      </w:tcPr>
    </w:tblStylePr>
  </w:style>
  <w:style w:type="table" w:styleId="MediumGrid3-Accent3">
    <w:name w:val="Medium Grid 3 Accent 3"/>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5C9D3"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72850"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72850"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72850"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B93A7"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B93A7" w:themeFill="accent3" w:themeFillTint="7F"/>
      </w:tcPr>
    </w:tblStylePr>
  </w:style>
  <w:style w:type="table" w:styleId="MediumGrid3-Accent4">
    <w:name w:val="Medium Grid 3 Accent 4"/>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7C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A014"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A014"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A014"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F8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F89" w:themeFill="accent4" w:themeFillTint="7F"/>
      </w:tcPr>
    </w:tblStylePr>
  </w:style>
  <w:style w:type="table" w:styleId="MediumGrid3-Accent5">
    <w:name w:val="Medium Grid 3 Accent 5"/>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9FFFE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D5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D5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D5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3FFFC1"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3FFFC1" w:themeFill="accent5" w:themeFillTint="7F"/>
      </w:tcPr>
    </w:tblStylePr>
  </w:style>
  <w:style w:type="table" w:styleId="MediumGrid3-Accent6">
    <w:name w:val="Medium Grid 3 Accent 6"/>
    <w:basedOn w:val="TableNormal"/>
    <w:uiPriority w:val="69"/>
    <w:semiHidden/>
    <w:unhideWhenUsed/>
    <w:rsid w:val="00B632CF"/>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1F1F1"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8C8C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8C8C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8C8C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8C8C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E3E3E3"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E3E3E3" w:themeFill="accent6" w:themeFillTint="7F"/>
      </w:tcPr>
    </w:tblStylePr>
  </w:style>
  <w:style w:type="table" w:styleId="MediumList1">
    <w:name w:val="Medium List 1"/>
    <w:basedOn w:val="TableNormal"/>
    <w:uiPriority w:val="65"/>
    <w:semiHidden/>
    <w:unhideWhenUsed/>
    <w:rsid w:val="00B632C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33333"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B632CF"/>
    <w:rPr>
      <w:color w:val="000000" w:themeColor="text1"/>
    </w:rPr>
    <w:tblPr>
      <w:tblStyleRowBandSize w:val="1"/>
      <w:tblStyleColBandSize w:val="1"/>
      <w:tblBorders>
        <w:top w:val="single" w:sz="8" w:space="0" w:color="2314DC" w:themeColor="accent1"/>
        <w:bottom w:val="single" w:sz="8" w:space="0" w:color="2314DC" w:themeColor="accent1"/>
      </w:tblBorders>
    </w:tblPr>
    <w:tblStylePr w:type="firstRow">
      <w:rPr>
        <w:rFonts w:asciiTheme="majorHAnsi" w:eastAsiaTheme="majorEastAsia" w:hAnsiTheme="majorHAnsi" w:cstheme="majorBidi"/>
      </w:rPr>
      <w:tblPr/>
      <w:tcPr>
        <w:tcBorders>
          <w:top w:val="nil"/>
          <w:bottom w:val="single" w:sz="8" w:space="0" w:color="2314DC" w:themeColor="accent1"/>
        </w:tcBorders>
      </w:tcPr>
    </w:tblStylePr>
    <w:tblStylePr w:type="lastRow">
      <w:rPr>
        <w:b/>
        <w:bCs/>
        <w:color w:val="333333" w:themeColor="text2"/>
      </w:rPr>
      <w:tblPr/>
      <w:tcPr>
        <w:tcBorders>
          <w:top w:val="single" w:sz="8" w:space="0" w:color="2314DC" w:themeColor="accent1"/>
          <w:bottom w:val="single" w:sz="8" w:space="0" w:color="2314DC" w:themeColor="accent1"/>
        </w:tcBorders>
      </w:tcPr>
    </w:tblStylePr>
    <w:tblStylePr w:type="firstCol">
      <w:rPr>
        <w:b/>
        <w:bCs/>
      </w:rPr>
    </w:tblStylePr>
    <w:tblStylePr w:type="lastCol">
      <w:rPr>
        <w:b/>
        <w:bCs/>
      </w:rPr>
      <w:tblPr/>
      <w:tcPr>
        <w:tcBorders>
          <w:top w:val="single" w:sz="8" w:space="0" w:color="2314DC" w:themeColor="accent1"/>
          <w:bottom w:val="single" w:sz="8" w:space="0" w:color="2314DC" w:themeColor="accent1"/>
        </w:tcBorders>
      </w:tcPr>
    </w:tblStylePr>
    <w:tblStylePr w:type="band1Vert">
      <w:tblPr/>
      <w:tcPr>
        <w:shd w:val="clear" w:color="auto" w:fill="C5C1F9" w:themeFill="accent1" w:themeFillTint="3F"/>
      </w:tcPr>
    </w:tblStylePr>
    <w:tblStylePr w:type="band1Horz">
      <w:tblPr/>
      <w:tcPr>
        <w:shd w:val="clear" w:color="auto" w:fill="C5C1F9" w:themeFill="accent1" w:themeFillTint="3F"/>
      </w:tcPr>
    </w:tblStylePr>
  </w:style>
  <w:style w:type="table" w:styleId="MediumList1-Accent2">
    <w:name w:val="Medium List 1 Accent 2"/>
    <w:basedOn w:val="TableNormal"/>
    <w:uiPriority w:val="65"/>
    <w:semiHidden/>
    <w:unhideWhenUsed/>
    <w:rsid w:val="00B632CF"/>
    <w:rPr>
      <w:color w:val="000000" w:themeColor="text1"/>
    </w:rPr>
    <w:tblPr>
      <w:tblStyleRowBandSize w:val="1"/>
      <w:tblStyleColBandSize w:val="1"/>
      <w:tblBorders>
        <w:top w:val="single" w:sz="8" w:space="0" w:color="6F006E" w:themeColor="accent2"/>
        <w:bottom w:val="single" w:sz="8" w:space="0" w:color="6F006E" w:themeColor="accent2"/>
      </w:tblBorders>
    </w:tblPr>
    <w:tblStylePr w:type="firstRow">
      <w:rPr>
        <w:rFonts w:asciiTheme="majorHAnsi" w:eastAsiaTheme="majorEastAsia" w:hAnsiTheme="majorHAnsi" w:cstheme="majorBidi"/>
      </w:rPr>
      <w:tblPr/>
      <w:tcPr>
        <w:tcBorders>
          <w:top w:val="nil"/>
          <w:bottom w:val="single" w:sz="8" w:space="0" w:color="6F006E" w:themeColor="accent2"/>
        </w:tcBorders>
      </w:tcPr>
    </w:tblStylePr>
    <w:tblStylePr w:type="lastRow">
      <w:rPr>
        <w:b/>
        <w:bCs/>
        <w:color w:val="333333" w:themeColor="text2"/>
      </w:rPr>
      <w:tblPr/>
      <w:tcPr>
        <w:tcBorders>
          <w:top w:val="single" w:sz="8" w:space="0" w:color="6F006E" w:themeColor="accent2"/>
          <w:bottom w:val="single" w:sz="8" w:space="0" w:color="6F006E" w:themeColor="accent2"/>
        </w:tcBorders>
      </w:tcPr>
    </w:tblStylePr>
    <w:tblStylePr w:type="firstCol">
      <w:rPr>
        <w:b/>
        <w:bCs/>
      </w:rPr>
    </w:tblStylePr>
    <w:tblStylePr w:type="lastCol">
      <w:rPr>
        <w:b/>
        <w:bCs/>
      </w:rPr>
      <w:tblPr/>
      <w:tcPr>
        <w:tcBorders>
          <w:top w:val="single" w:sz="8" w:space="0" w:color="6F006E" w:themeColor="accent2"/>
          <w:bottom w:val="single" w:sz="8" w:space="0" w:color="6F006E" w:themeColor="accent2"/>
        </w:tcBorders>
      </w:tcPr>
    </w:tblStylePr>
    <w:tblStylePr w:type="band1Vert">
      <w:tblPr/>
      <w:tcPr>
        <w:shd w:val="clear" w:color="auto" w:fill="FF9CFD" w:themeFill="accent2" w:themeFillTint="3F"/>
      </w:tcPr>
    </w:tblStylePr>
    <w:tblStylePr w:type="band1Horz">
      <w:tblPr/>
      <w:tcPr>
        <w:shd w:val="clear" w:color="auto" w:fill="FF9CFD" w:themeFill="accent2" w:themeFillTint="3F"/>
      </w:tcPr>
    </w:tblStylePr>
  </w:style>
  <w:style w:type="table" w:styleId="MediumList1-Accent3">
    <w:name w:val="Medium List 1 Accent 3"/>
    <w:basedOn w:val="TableNormal"/>
    <w:uiPriority w:val="65"/>
    <w:semiHidden/>
    <w:unhideWhenUsed/>
    <w:rsid w:val="00B632CF"/>
    <w:rPr>
      <w:color w:val="000000" w:themeColor="text1"/>
    </w:rPr>
    <w:tblPr>
      <w:tblStyleRowBandSize w:val="1"/>
      <w:tblStyleColBandSize w:val="1"/>
      <w:tblBorders>
        <w:top w:val="single" w:sz="8" w:space="0" w:color="D72850" w:themeColor="accent3"/>
        <w:bottom w:val="single" w:sz="8" w:space="0" w:color="D72850" w:themeColor="accent3"/>
      </w:tblBorders>
    </w:tblPr>
    <w:tblStylePr w:type="firstRow">
      <w:rPr>
        <w:rFonts w:asciiTheme="majorHAnsi" w:eastAsiaTheme="majorEastAsia" w:hAnsiTheme="majorHAnsi" w:cstheme="majorBidi"/>
      </w:rPr>
      <w:tblPr/>
      <w:tcPr>
        <w:tcBorders>
          <w:top w:val="nil"/>
          <w:bottom w:val="single" w:sz="8" w:space="0" w:color="D72850" w:themeColor="accent3"/>
        </w:tcBorders>
      </w:tcPr>
    </w:tblStylePr>
    <w:tblStylePr w:type="lastRow">
      <w:rPr>
        <w:b/>
        <w:bCs/>
        <w:color w:val="333333" w:themeColor="text2"/>
      </w:rPr>
      <w:tblPr/>
      <w:tcPr>
        <w:tcBorders>
          <w:top w:val="single" w:sz="8" w:space="0" w:color="D72850" w:themeColor="accent3"/>
          <w:bottom w:val="single" w:sz="8" w:space="0" w:color="D72850" w:themeColor="accent3"/>
        </w:tcBorders>
      </w:tcPr>
    </w:tblStylePr>
    <w:tblStylePr w:type="firstCol">
      <w:rPr>
        <w:b/>
        <w:bCs/>
      </w:rPr>
    </w:tblStylePr>
    <w:tblStylePr w:type="lastCol">
      <w:rPr>
        <w:b/>
        <w:bCs/>
      </w:rPr>
      <w:tblPr/>
      <w:tcPr>
        <w:tcBorders>
          <w:top w:val="single" w:sz="8" w:space="0" w:color="D72850" w:themeColor="accent3"/>
          <w:bottom w:val="single" w:sz="8" w:space="0" w:color="D72850" w:themeColor="accent3"/>
        </w:tcBorders>
      </w:tcPr>
    </w:tblStylePr>
    <w:tblStylePr w:type="band1Vert">
      <w:tblPr/>
      <w:tcPr>
        <w:shd w:val="clear" w:color="auto" w:fill="F5C9D3" w:themeFill="accent3" w:themeFillTint="3F"/>
      </w:tcPr>
    </w:tblStylePr>
    <w:tblStylePr w:type="band1Horz">
      <w:tblPr/>
      <w:tcPr>
        <w:shd w:val="clear" w:color="auto" w:fill="F5C9D3" w:themeFill="accent3" w:themeFillTint="3F"/>
      </w:tcPr>
    </w:tblStylePr>
  </w:style>
  <w:style w:type="table" w:styleId="MediumList1-Accent4">
    <w:name w:val="Medium List 1 Accent 4"/>
    <w:basedOn w:val="TableNormal"/>
    <w:uiPriority w:val="65"/>
    <w:semiHidden/>
    <w:unhideWhenUsed/>
    <w:rsid w:val="00B632CF"/>
    <w:rPr>
      <w:color w:val="000000" w:themeColor="text1"/>
    </w:rPr>
    <w:tblPr>
      <w:tblStyleRowBandSize w:val="1"/>
      <w:tblStyleColBandSize w:val="1"/>
      <w:tblBorders>
        <w:top w:val="single" w:sz="8" w:space="0" w:color="FFA014" w:themeColor="accent4"/>
        <w:bottom w:val="single" w:sz="8" w:space="0" w:color="FFA014" w:themeColor="accent4"/>
      </w:tblBorders>
    </w:tblPr>
    <w:tblStylePr w:type="firstRow">
      <w:rPr>
        <w:rFonts w:asciiTheme="majorHAnsi" w:eastAsiaTheme="majorEastAsia" w:hAnsiTheme="majorHAnsi" w:cstheme="majorBidi"/>
      </w:rPr>
      <w:tblPr/>
      <w:tcPr>
        <w:tcBorders>
          <w:top w:val="nil"/>
          <w:bottom w:val="single" w:sz="8" w:space="0" w:color="FFA014" w:themeColor="accent4"/>
        </w:tcBorders>
      </w:tcPr>
    </w:tblStylePr>
    <w:tblStylePr w:type="lastRow">
      <w:rPr>
        <w:b/>
        <w:bCs/>
        <w:color w:val="333333" w:themeColor="text2"/>
      </w:rPr>
      <w:tblPr/>
      <w:tcPr>
        <w:tcBorders>
          <w:top w:val="single" w:sz="8" w:space="0" w:color="FFA014" w:themeColor="accent4"/>
          <w:bottom w:val="single" w:sz="8" w:space="0" w:color="FFA014" w:themeColor="accent4"/>
        </w:tcBorders>
      </w:tcPr>
    </w:tblStylePr>
    <w:tblStylePr w:type="firstCol">
      <w:rPr>
        <w:b/>
        <w:bCs/>
      </w:rPr>
    </w:tblStylePr>
    <w:tblStylePr w:type="lastCol">
      <w:rPr>
        <w:b/>
        <w:bCs/>
      </w:rPr>
      <w:tblPr/>
      <w:tcPr>
        <w:tcBorders>
          <w:top w:val="single" w:sz="8" w:space="0" w:color="FFA014" w:themeColor="accent4"/>
          <w:bottom w:val="single" w:sz="8" w:space="0" w:color="FFA014" w:themeColor="accent4"/>
        </w:tcBorders>
      </w:tcPr>
    </w:tblStylePr>
    <w:tblStylePr w:type="band1Vert">
      <w:tblPr/>
      <w:tcPr>
        <w:shd w:val="clear" w:color="auto" w:fill="FFE7C4" w:themeFill="accent4" w:themeFillTint="3F"/>
      </w:tcPr>
    </w:tblStylePr>
    <w:tblStylePr w:type="band1Horz">
      <w:tblPr/>
      <w:tcPr>
        <w:shd w:val="clear" w:color="auto" w:fill="FFE7C4" w:themeFill="accent4" w:themeFillTint="3F"/>
      </w:tcPr>
    </w:tblStylePr>
  </w:style>
  <w:style w:type="table" w:styleId="MediumList1-Accent5">
    <w:name w:val="Medium List 1 Accent 5"/>
    <w:basedOn w:val="TableNormal"/>
    <w:uiPriority w:val="65"/>
    <w:semiHidden/>
    <w:unhideWhenUsed/>
    <w:rsid w:val="00B632CF"/>
    <w:rPr>
      <w:color w:val="000000" w:themeColor="text1"/>
    </w:rPr>
    <w:tblPr>
      <w:tblStyleRowBandSize w:val="1"/>
      <w:tblStyleColBandSize w:val="1"/>
      <w:tblBorders>
        <w:top w:val="single" w:sz="8" w:space="0" w:color="007D55" w:themeColor="accent5"/>
        <w:bottom w:val="single" w:sz="8" w:space="0" w:color="007D55" w:themeColor="accent5"/>
      </w:tblBorders>
    </w:tblPr>
    <w:tblStylePr w:type="firstRow">
      <w:rPr>
        <w:rFonts w:asciiTheme="majorHAnsi" w:eastAsiaTheme="majorEastAsia" w:hAnsiTheme="majorHAnsi" w:cstheme="majorBidi"/>
      </w:rPr>
      <w:tblPr/>
      <w:tcPr>
        <w:tcBorders>
          <w:top w:val="nil"/>
          <w:bottom w:val="single" w:sz="8" w:space="0" w:color="007D55" w:themeColor="accent5"/>
        </w:tcBorders>
      </w:tcPr>
    </w:tblStylePr>
    <w:tblStylePr w:type="lastRow">
      <w:rPr>
        <w:b/>
        <w:bCs/>
        <w:color w:val="333333" w:themeColor="text2"/>
      </w:rPr>
      <w:tblPr/>
      <w:tcPr>
        <w:tcBorders>
          <w:top w:val="single" w:sz="8" w:space="0" w:color="007D55" w:themeColor="accent5"/>
          <w:bottom w:val="single" w:sz="8" w:space="0" w:color="007D55" w:themeColor="accent5"/>
        </w:tcBorders>
      </w:tcPr>
    </w:tblStylePr>
    <w:tblStylePr w:type="firstCol">
      <w:rPr>
        <w:b/>
        <w:bCs/>
      </w:rPr>
    </w:tblStylePr>
    <w:tblStylePr w:type="lastCol">
      <w:rPr>
        <w:b/>
        <w:bCs/>
      </w:rPr>
      <w:tblPr/>
      <w:tcPr>
        <w:tcBorders>
          <w:top w:val="single" w:sz="8" w:space="0" w:color="007D55" w:themeColor="accent5"/>
          <w:bottom w:val="single" w:sz="8" w:space="0" w:color="007D55" w:themeColor="accent5"/>
        </w:tcBorders>
      </w:tcPr>
    </w:tblStylePr>
    <w:tblStylePr w:type="band1Vert">
      <w:tblPr/>
      <w:tcPr>
        <w:shd w:val="clear" w:color="auto" w:fill="9FFFE0" w:themeFill="accent5" w:themeFillTint="3F"/>
      </w:tcPr>
    </w:tblStylePr>
    <w:tblStylePr w:type="band1Horz">
      <w:tblPr/>
      <w:tcPr>
        <w:shd w:val="clear" w:color="auto" w:fill="9FFFE0" w:themeFill="accent5" w:themeFillTint="3F"/>
      </w:tcPr>
    </w:tblStylePr>
  </w:style>
  <w:style w:type="table" w:styleId="MediumList1-Accent6">
    <w:name w:val="Medium List 1 Accent 6"/>
    <w:basedOn w:val="TableNormal"/>
    <w:uiPriority w:val="65"/>
    <w:semiHidden/>
    <w:unhideWhenUsed/>
    <w:rsid w:val="00B632CF"/>
    <w:rPr>
      <w:color w:val="000000" w:themeColor="text1"/>
    </w:rPr>
    <w:tblPr>
      <w:tblStyleRowBandSize w:val="1"/>
      <w:tblStyleColBandSize w:val="1"/>
      <w:tblBorders>
        <w:top w:val="single" w:sz="8" w:space="0" w:color="C8C8C8" w:themeColor="accent6"/>
        <w:bottom w:val="single" w:sz="8" w:space="0" w:color="C8C8C8" w:themeColor="accent6"/>
      </w:tblBorders>
    </w:tblPr>
    <w:tblStylePr w:type="firstRow">
      <w:rPr>
        <w:rFonts w:asciiTheme="majorHAnsi" w:eastAsiaTheme="majorEastAsia" w:hAnsiTheme="majorHAnsi" w:cstheme="majorBidi"/>
      </w:rPr>
      <w:tblPr/>
      <w:tcPr>
        <w:tcBorders>
          <w:top w:val="nil"/>
          <w:bottom w:val="single" w:sz="8" w:space="0" w:color="C8C8C8" w:themeColor="accent6"/>
        </w:tcBorders>
      </w:tcPr>
    </w:tblStylePr>
    <w:tblStylePr w:type="lastRow">
      <w:rPr>
        <w:b/>
        <w:bCs/>
        <w:color w:val="333333" w:themeColor="text2"/>
      </w:rPr>
      <w:tblPr/>
      <w:tcPr>
        <w:tcBorders>
          <w:top w:val="single" w:sz="8" w:space="0" w:color="C8C8C8" w:themeColor="accent6"/>
          <w:bottom w:val="single" w:sz="8" w:space="0" w:color="C8C8C8" w:themeColor="accent6"/>
        </w:tcBorders>
      </w:tcPr>
    </w:tblStylePr>
    <w:tblStylePr w:type="firstCol">
      <w:rPr>
        <w:b/>
        <w:bCs/>
      </w:rPr>
    </w:tblStylePr>
    <w:tblStylePr w:type="lastCol">
      <w:rPr>
        <w:b/>
        <w:bCs/>
      </w:rPr>
      <w:tblPr/>
      <w:tcPr>
        <w:tcBorders>
          <w:top w:val="single" w:sz="8" w:space="0" w:color="C8C8C8" w:themeColor="accent6"/>
          <w:bottom w:val="single" w:sz="8" w:space="0" w:color="C8C8C8" w:themeColor="accent6"/>
        </w:tcBorders>
      </w:tcPr>
    </w:tblStylePr>
    <w:tblStylePr w:type="band1Vert">
      <w:tblPr/>
      <w:tcPr>
        <w:shd w:val="clear" w:color="auto" w:fill="F1F1F1" w:themeFill="accent6" w:themeFillTint="3F"/>
      </w:tcPr>
    </w:tblStylePr>
    <w:tblStylePr w:type="band1Horz">
      <w:tblPr/>
      <w:tcPr>
        <w:shd w:val="clear" w:color="auto" w:fill="F1F1F1" w:themeFill="accent6" w:themeFillTint="3F"/>
      </w:tcPr>
    </w:tblStylePr>
  </w:style>
  <w:style w:type="table" w:styleId="MediumList2-Accent1">
    <w:name w:val="Medium List 2 Accent 1"/>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2314DC" w:themeColor="accent1"/>
        <w:left w:val="single" w:sz="8" w:space="0" w:color="2314DC" w:themeColor="accent1"/>
        <w:bottom w:val="single" w:sz="8" w:space="0" w:color="2314DC" w:themeColor="accent1"/>
        <w:right w:val="single" w:sz="8" w:space="0" w:color="2314DC" w:themeColor="accent1"/>
      </w:tblBorders>
    </w:tblPr>
    <w:tblStylePr w:type="firstRow">
      <w:rPr>
        <w:sz w:val="24"/>
        <w:szCs w:val="24"/>
      </w:rPr>
      <w:tblPr/>
      <w:tcPr>
        <w:tcBorders>
          <w:top w:val="nil"/>
          <w:left w:val="nil"/>
          <w:bottom w:val="single" w:sz="24" w:space="0" w:color="2314DC" w:themeColor="accent1"/>
          <w:right w:val="nil"/>
          <w:insideH w:val="nil"/>
          <w:insideV w:val="nil"/>
        </w:tcBorders>
        <w:shd w:val="clear" w:color="auto" w:fill="FFFFFF" w:themeFill="background1"/>
      </w:tcPr>
    </w:tblStylePr>
    <w:tblStylePr w:type="lastRow">
      <w:tblPr/>
      <w:tcPr>
        <w:tcBorders>
          <w:top w:val="single" w:sz="8" w:space="0" w:color="2314DC"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2314DC" w:themeColor="accent1"/>
          <w:insideH w:val="nil"/>
          <w:insideV w:val="nil"/>
        </w:tcBorders>
        <w:shd w:val="clear" w:color="auto" w:fill="FFFFFF" w:themeFill="background1"/>
      </w:tcPr>
    </w:tblStylePr>
    <w:tblStylePr w:type="lastCol">
      <w:tblPr/>
      <w:tcPr>
        <w:tcBorders>
          <w:top w:val="nil"/>
          <w:left w:val="single" w:sz="8" w:space="0" w:color="2314DC"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5C1F9" w:themeFill="accent1" w:themeFillTint="3F"/>
      </w:tcPr>
    </w:tblStylePr>
    <w:tblStylePr w:type="band1Horz">
      <w:tblPr/>
      <w:tcPr>
        <w:tcBorders>
          <w:top w:val="nil"/>
          <w:bottom w:val="nil"/>
          <w:insideH w:val="nil"/>
          <w:insideV w:val="nil"/>
        </w:tcBorders>
        <w:shd w:val="clear" w:color="auto" w:fill="C5C1F9"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6F006E" w:themeColor="accent2"/>
        <w:left w:val="single" w:sz="8" w:space="0" w:color="6F006E" w:themeColor="accent2"/>
        <w:bottom w:val="single" w:sz="8" w:space="0" w:color="6F006E" w:themeColor="accent2"/>
        <w:right w:val="single" w:sz="8" w:space="0" w:color="6F006E" w:themeColor="accent2"/>
      </w:tblBorders>
    </w:tblPr>
    <w:tblStylePr w:type="firstRow">
      <w:rPr>
        <w:sz w:val="24"/>
        <w:szCs w:val="24"/>
      </w:rPr>
      <w:tblPr/>
      <w:tcPr>
        <w:tcBorders>
          <w:top w:val="nil"/>
          <w:left w:val="nil"/>
          <w:bottom w:val="single" w:sz="24" w:space="0" w:color="6F006E" w:themeColor="accent2"/>
          <w:right w:val="nil"/>
          <w:insideH w:val="nil"/>
          <w:insideV w:val="nil"/>
        </w:tcBorders>
        <w:shd w:val="clear" w:color="auto" w:fill="FFFFFF" w:themeFill="background1"/>
      </w:tcPr>
    </w:tblStylePr>
    <w:tblStylePr w:type="lastRow">
      <w:tblPr/>
      <w:tcPr>
        <w:tcBorders>
          <w:top w:val="single" w:sz="8" w:space="0" w:color="6F006E"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F006E" w:themeColor="accent2"/>
          <w:insideH w:val="nil"/>
          <w:insideV w:val="nil"/>
        </w:tcBorders>
        <w:shd w:val="clear" w:color="auto" w:fill="FFFFFF" w:themeFill="background1"/>
      </w:tcPr>
    </w:tblStylePr>
    <w:tblStylePr w:type="lastCol">
      <w:tblPr/>
      <w:tcPr>
        <w:tcBorders>
          <w:top w:val="nil"/>
          <w:left w:val="single" w:sz="8" w:space="0" w:color="6F006E"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9CFD" w:themeFill="accent2" w:themeFillTint="3F"/>
      </w:tcPr>
    </w:tblStylePr>
    <w:tblStylePr w:type="band1Horz">
      <w:tblPr/>
      <w:tcPr>
        <w:tcBorders>
          <w:top w:val="nil"/>
          <w:bottom w:val="nil"/>
          <w:insideH w:val="nil"/>
          <w:insideV w:val="nil"/>
        </w:tcBorders>
        <w:shd w:val="clear" w:color="auto" w:fill="FF9CFD"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D72850" w:themeColor="accent3"/>
        <w:left w:val="single" w:sz="8" w:space="0" w:color="D72850" w:themeColor="accent3"/>
        <w:bottom w:val="single" w:sz="8" w:space="0" w:color="D72850" w:themeColor="accent3"/>
        <w:right w:val="single" w:sz="8" w:space="0" w:color="D72850" w:themeColor="accent3"/>
      </w:tblBorders>
    </w:tblPr>
    <w:tblStylePr w:type="firstRow">
      <w:rPr>
        <w:sz w:val="24"/>
        <w:szCs w:val="24"/>
      </w:rPr>
      <w:tblPr/>
      <w:tcPr>
        <w:tcBorders>
          <w:top w:val="nil"/>
          <w:left w:val="nil"/>
          <w:bottom w:val="single" w:sz="24" w:space="0" w:color="D72850" w:themeColor="accent3"/>
          <w:right w:val="nil"/>
          <w:insideH w:val="nil"/>
          <w:insideV w:val="nil"/>
        </w:tcBorders>
        <w:shd w:val="clear" w:color="auto" w:fill="FFFFFF" w:themeFill="background1"/>
      </w:tcPr>
    </w:tblStylePr>
    <w:tblStylePr w:type="lastRow">
      <w:tblPr/>
      <w:tcPr>
        <w:tcBorders>
          <w:top w:val="single" w:sz="8" w:space="0" w:color="D72850"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72850" w:themeColor="accent3"/>
          <w:insideH w:val="nil"/>
          <w:insideV w:val="nil"/>
        </w:tcBorders>
        <w:shd w:val="clear" w:color="auto" w:fill="FFFFFF" w:themeFill="background1"/>
      </w:tcPr>
    </w:tblStylePr>
    <w:tblStylePr w:type="lastCol">
      <w:tblPr/>
      <w:tcPr>
        <w:tcBorders>
          <w:top w:val="nil"/>
          <w:left w:val="single" w:sz="8" w:space="0" w:color="D72850"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5C9D3" w:themeFill="accent3" w:themeFillTint="3F"/>
      </w:tcPr>
    </w:tblStylePr>
    <w:tblStylePr w:type="band1Horz">
      <w:tblPr/>
      <w:tcPr>
        <w:tcBorders>
          <w:top w:val="nil"/>
          <w:bottom w:val="nil"/>
          <w:insideH w:val="nil"/>
          <w:insideV w:val="nil"/>
        </w:tcBorders>
        <w:shd w:val="clear" w:color="auto" w:fill="F5C9D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FFA014" w:themeColor="accent4"/>
        <w:left w:val="single" w:sz="8" w:space="0" w:color="FFA014" w:themeColor="accent4"/>
        <w:bottom w:val="single" w:sz="8" w:space="0" w:color="FFA014" w:themeColor="accent4"/>
        <w:right w:val="single" w:sz="8" w:space="0" w:color="FFA014" w:themeColor="accent4"/>
      </w:tblBorders>
    </w:tblPr>
    <w:tblStylePr w:type="firstRow">
      <w:rPr>
        <w:sz w:val="24"/>
        <w:szCs w:val="24"/>
      </w:rPr>
      <w:tblPr/>
      <w:tcPr>
        <w:tcBorders>
          <w:top w:val="nil"/>
          <w:left w:val="nil"/>
          <w:bottom w:val="single" w:sz="24" w:space="0" w:color="FFA014" w:themeColor="accent4"/>
          <w:right w:val="nil"/>
          <w:insideH w:val="nil"/>
          <w:insideV w:val="nil"/>
        </w:tcBorders>
        <w:shd w:val="clear" w:color="auto" w:fill="FFFFFF" w:themeFill="background1"/>
      </w:tcPr>
    </w:tblStylePr>
    <w:tblStylePr w:type="lastRow">
      <w:tblPr/>
      <w:tcPr>
        <w:tcBorders>
          <w:top w:val="single" w:sz="8" w:space="0" w:color="FFA014"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A014" w:themeColor="accent4"/>
          <w:insideH w:val="nil"/>
          <w:insideV w:val="nil"/>
        </w:tcBorders>
        <w:shd w:val="clear" w:color="auto" w:fill="FFFFFF" w:themeFill="background1"/>
      </w:tcPr>
    </w:tblStylePr>
    <w:tblStylePr w:type="lastCol">
      <w:tblPr/>
      <w:tcPr>
        <w:tcBorders>
          <w:top w:val="nil"/>
          <w:left w:val="single" w:sz="8" w:space="0" w:color="FFA014"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7C4" w:themeFill="accent4" w:themeFillTint="3F"/>
      </w:tcPr>
    </w:tblStylePr>
    <w:tblStylePr w:type="band1Horz">
      <w:tblPr/>
      <w:tcPr>
        <w:tcBorders>
          <w:top w:val="nil"/>
          <w:bottom w:val="nil"/>
          <w:insideH w:val="nil"/>
          <w:insideV w:val="nil"/>
        </w:tcBorders>
        <w:shd w:val="clear" w:color="auto" w:fill="FFE7C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007D55" w:themeColor="accent5"/>
        <w:left w:val="single" w:sz="8" w:space="0" w:color="007D55" w:themeColor="accent5"/>
        <w:bottom w:val="single" w:sz="8" w:space="0" w:color="007D55" w:themeColor="accent5"/>
        <w:right w:val="single" w:sz="8" w:space="0" w:color="007D55" w:themeColor="accent5"/>
      </w:tblBorders>
    </w:tblPr>
    <w:tblStylePr w:type="firstRow">
      <w:rPr>
        <w:sz w:val="24"/>
        <w:szCs w:val="24"/>
      </w:rPr>
      <w:tblPr/>
      <w:tcPr>
        <w:tcBorders>
          <w:top w:val="nil"/>
          <w:left w:val="nil"/>
          <w:bottom w:val="single" w:sz="24" w:space="0" w:color="007D55" w:themeColor="accent5"/>
          <w:right w:val="nil"/>
          <w:insideH w:val="nil"/>
          <w:insideV w:val="nil"/>
        </w:tcBorders>
        <w:shd w:val="clear" w:color="auto" w:fill="FFFFFF" w:themeFill="background1"/>
      </w:tcPr>
    </w:tblStylePr>
    <w:tblStylePr w:type="lastRow">
      <w:tblPr/>
      <w:tcPr>
        <w:tcBorders>
          <w:top w:val="single" w:sz="8" w:space="0" w:color="007D5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D55" w:themeColor="accent5"/>
          <w:insideH w:val="nil"/>
          <w:insideV w:val="nil"/>
        </w:tcBorders>
        <w:shd w:val="clear" w:color="auto" w:fill="FFFFFF" w:themeFill="background1"/>
      </w:tcPr>
    </w:tblStylePr>
    <w:tblStylePr w:type="lastCol">
      <w:tblPr/>
      <w:tcPr>
        <w:tcBorders>
          <w:top w:val="nil"/>
          <w:left w:val="single" w:sz="8" w:space="0" w:color="007D5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9FFFE0" w:themeFill="accent5" w:themeFillTint="3F"/>
      </w:tcPr>
    </w:tblStylePr>
    <w:tblStylePr w:type="band1Horz">
      <w:tblPr/>
      <w:tcPr>
        <w:tcBorders>
          <w:top w:val="nil"/>
          <w:bottom w:val="nil"/>
          <w:insideH w:val="nil"/>
          <w:insideV w:val="nil"/>
        </w:tcBorders>
        <w:shd w:val="clear" w:color="auto" w:fill="9FFFE0"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B632CF"/>
    <w:rPr>
      <w:rFonts w:asciiTheme="majorHAnsi" w:eastAsiaTheme="majorEastAsia" w:hAnsiTheme="majorHAnsi" w:cstheme="majorBidi"/>
      <w:color w:val="000000" w:themeColor="text1"/>
    </w:rPr>
    <w:tblPr>
      <w:tblStyleRowBandSize w:val="1"/>
      <w:tblStyleColBandSize w:val="1"/>
      <w:tblBorders>
        <w:top w:val="single" w:sz="8" w:space="0" w:color="C8C8C8" w:themeColor="accent6"/>
        <w:left w:val="single" w:sz="8" w:space="0" w:color="C8C8C8" w:themeColor="accent6"/>
        <w:bottom w:val="single" w:sz="8" w:space="0" w:color="C8C8C8" w:themeColor="accent6"/>
        <w:right w:val="single" w:sz="8" w:space="0" w:color="C8C8C8" w:themeColor="accent6"/>
      </w:tblBorders>
    </w:tblPr>
    <w:tblStylePr w:type="firstRow">
      <w:rPr>
        <w:sz w:val="24"/>
        <w:szCs w:val="24"/>
      </w:rPr>
      <w:tblPr/>
      <w:tcPr>
        <w:tcBorders>
          <w:top w:val="nil"/>
          <w:left w:val="nil"/>
          <w:bottom w:val="single" w:sz="24" w:space="0" w:color="C8C8C8" w:themeColor="accent6"/>
          <w:right w:val="nil"/>
          <w:insideH w:val="nil"/>
          <w:insideV w:val="nil"/>
        </w:tcBorders>
        <w:shd w:val="clear" w:color="auto" w:fill="FFFFFF" w:themeFill="background1"/>
      </w:tcPr>
    </w:tblStylePr>
    <w:tblStylePr w:type="lastRow">
      <w:tblPr/>
      <w:tcPr>
        <w:tcBorders>
          <w:top w:val="single" w:sz="8" w:space="0" w:color="C8C8C8"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8C8C8" w:themeColor="accent6"/>
          <w:insideH w:val="nil"/>
          <w:insideV w:val="nil"/>
        </w:tcBorders>
        <w:shd w:val="clear" w:color="auto" w:fill="FFFFFF" w:themeFill="background1"/>
      </w:tcPr>
    </w:tblStylePr>
    <w:tblStylePr w:type="lastCol">
      <w:tblPr/>
      <w:tcPr>
        <w:tcBorders>
          <w:top w:val="nil"/>
          <w:left w:val="single" w:sz="8" w:space="0" w:color="C8C8C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1F1F1" w:themeFill="accent6" w:themeFillTint="3F"/>
      </w:tcPr>
    </w:tblStylePr>
    <w:tblStylePr w:type="band1Horz">
      <w:tblPr/>
      <w:tcPr>
        <w:tcBorders>
          <w:top w:val="nil"/>
          <w:bottom w:val="nil"/>
          <w:insideH w:val="nil"/>
          <w:insideV w:val="nil"/>
        </w:tcBorders>
        <w:shd w:val="clear" w:color="auto" w:fill="F1F1F1"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B632CF"/>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B632CF"/>
    <w:tblPr>
      <w:tblStyleRowBandSize w:val="1"/>
      <w:tblStyleColBandSize w:val="1"/>
      <w:tbl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single" w:sz="8" w:space="0" w:color="5245EE" w:themeColor="accent1" w:themeTint="BF"/>
      </w:tblBorders>
    </w:tblPr>
    <w:tblStylePr w:type="firstRow">
      <w:pPr>
        <w:spacing w:before="0" w:after="0" w:line="240" w:lineRule="auto"/>
      </w:pPr>
      <w:rPr>
        <w:b/>
        <w:bCs/>
        <w:color w:val="FFFFFF" w:themeColor="background1"/>
      </w:rPr>
      <w:tblPr/>
      <w:tcPr>
        <w:tcBorders>
          <w:top w:val="single" w:sz="8"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nil"/>
          <w:insideV w:val="nil"/>
        </w:tcBorders>
        <w:shd w:val="clear" w:color="auto" w:fill="2314DC" w:themeFill="accent1"/>
      </w:tcPr>
    </w:tblStylePr>
    <w:tblStylePr w:type="lastRow">
      <w:pPr>
        <w:spacing w:before="0" w:after="0" w:line="240" w:lineRule="auto"/>
      </w:pPr>
      <w:rPr>
        <w:b/>
        <w:bCs/>
      </w:rPr>
      <w:tblPr/>
      <w:tcPr>
        <w:tcBorders>
          <w:top w:val="double" w:sz="6" w:space="0" w:color="5245EE" w:themeColor="accent1" w:themeTint="BF"/>
          <w:left w:val="single" w:sz="8" w:space="0" w:color="5245EE" w:themeColor="accent1" w:themeTint="BF"/>
          <w:bottom w:val="single" w:sz="8" w:space="0" w:color="5245EE" w:themeColor="accent1" w:themeTint="BF"/>
          <w:right w:val="single" w:sz="8" w:space="0" w:color="5245EE" w:themeColor="accent1" w:themeTint="BF"/>
          <w:insideH w:val="nil"/>
          <w:insideV w:val="nil"/>
        </w:tcBorders>
      </w:tcPr>
    </w:tblStylePr>
    <w:tblStylePr w:type="firstCol">
      <w:rPr>
        <w:b/>
        <w:bCs/>
      </w:rPr>
    </w:tblStylePr>
    <w:tblStylePr w:type="lastCol">
      <w:rPr>
        <w:b/>
        <w:bCs/>
      </w:rPr>
    </w:tblStylePr>
    <w:tblStylePr w:type="band1Vert">
      <w:tblPr/>
      <w:tcPr>
        <w:shd w:val="clear" w:color="auto" w:fill="C5C1F9" w:themeFill="accent1" w:themeFillTint="3F"/>
      </w:tcPr>
    </w:tblStylePr>
    <w:tblStylePr w:type="band1Horz">
      <w:tblPr/>
      <w:tcPr>
        <w:tcBorders>
          <w:insideH w:val="nil"/>
          <w:insideV w:val="nil"/>
        </w:tcBorders>
        <w:shd w:val="clear" w:color="auto" w:fill="C5C1F9"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B632CF"/>
    <w:tblPr>
      <w:tblStyleRowBandSize w:val="1"/>
      <w:tblStyleColBandSize w:val="1"/>
      <w:tbl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single" w:sz="8" w:space="0" w:color="D300D0" w:themeColor="accent2" w:themeTint="BF"/>
      </w:tblBorders>
    </w:tblPr>
    <w:tblStylePr w:type="firstRow">
      <w:pPr>
        <w:spacing w:before="0" w:after="0" w:line="240" w:lineRule="auto"/>
      </w:pPr>
      <w:rPr>
        <w:b/>
        <w:bCs/>
        <w:color w:val="FFFFFF" w:themeColor="background1"/>
      </w:rPr>
      <w:tblPr/>
      <w:tcPr>
        <w:tcBorders>
          <w:top w:val="single" w:sz="8"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shd w:val="clear" w:color="auto" w:fill="6F006E" w:themeFill="accent2"/>
      </w:tcPr>
    </w:tblStylePr>
    <w:tblStylePr w:type="lastRow">
      <w:pPr>
        <w:spacing w:before="0" w:after="0" w:line="240" w:lineRule="auto"/>
      </w:pPr>
      <w:rPr>
        <w:b/>
        <w:bCs/>
      </w:rPr>
      <w:tblPr/>
      <w:tcPr>
        <w:tcBorders>
          <w:top w:val="double" w:sz="6" w:space="0" w:color="D300D0" w:themeColor="accent2" w:themeTint="BF"/>
          <w:left w:val="single" w:sz="8" w:space="0" w:color="D300D0" w:themeColor="accent2" w:themeTint="BF"/>
          <w:bottom w:val="single" w:sz="8" w:space="0" w:color="D300D0" w:themeColor="accent2" w:themeTint="BF"/>
          <w:right w:val="single" w:sz="8" w:space="0" w:color="D300D0" w:themeColor="accent2" w:themeTint="BF"/>
          <w:insideH w:val="nil"/>
          <w:insideV w:val="nil"/>
        </w:tcBorders>
      </w:tcPr>
    </w:tblStylePr>
    <w:tblStylePr w:type="firstCol">
      <w:rPr>
        <w:b/>
        <w:bCs/>
      </w:rPr>
    </w:tblStylePr>
    <w:tblStylePr w:type="lastCol">
      <w:rPr>
        <w:b/>
        <w:bCs/>
      </w:rPr>
    </w:tblStylePr>
    <w:tblStylePr w:type="band1Vert">
      <w:tblPr/>
      <w:tcPr>
        <w:shd w:val="clear" w:color="auto" w:fill="FF9CFD" w:themeFill="accent2" w:themeFillTint="3F"/>
      </w:tcPr>
    </w:tblStylePr>
    <w:tblStylePr w:type="band1Horz">
      <w:tblPr/>
      <w:tcPr>
        <w:tcBorders>
          <w:insideH w:val="nil"/>
          <w:insideV w:val="nil"/>
        </w:tcBorders>
        <w:shd w:val="clear" w:color="auto" w:fill="FF9CFD"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B632CF"/>
    <w:tblPr>
      <w:tblStyleRowBandSize w:val="1"/>
      <w:tblStyleColBandSize w:val="1"/>
      <w:tbl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single" w:sz="8" w:space="0" w:color="E15D7B" w:themeColor="accent3" w:themeTint="BF"/>
      </w:tblBorders>
    </w:tblPr>
    <w:tblStylePr w:type="firstRow">
      <w:pPr>
        <w:spacing w:before="0" w:after="0" w:line="240" w:lineRule="auto"/>
      </w:pPr>
      <w:rPr>
        <w:b/>
        <w:bCs/>
        <w:color w:val="FFFFFF" w:themeColor="background1"/>
      </w:rPr>
      <w:tblPr/>
      <w:tcPr>
        <w:tcBorders>
          <w:top w:val="single" w:sz="8"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shd w:val="clear" w:color="auto" w:fill="D72850" w:themeFill="accent3"/>
      </w:tcPr>
    </w:tblStylePr>
    <w:tblStylePr w:type="lastRow">
      <w:pPr>
        <w:spacing w:before="0" w:after="0" w:line="240" w:lineRule="auto"/>
      </w:pPr>
      <w:rPr>
        <w:b/>
        <w:bCs/>
      </w:rPr>
      <w:tblPr/>
      <w:tcPr>
        <w:tcBorders>
          <w:top w:val="double" w:sz="6" w:space="0" w:color="E15D7B" w:themeColor="accent3" w:themeTint="BF"/>
          <w:left w:val="single" w:sz="8" w:space="0" w:color="E15D7B" w:themeColor="accent3" w:themeTint="BF"/>
          <w:bottom w:val="single" w:sz="8" w:space="0" w:color="E15D7B" w:themeColor="accent3" w:themeTint="BF"/>
          <w:right w:val="single" w:sz="8" w:space="0" w:color="E15D7B" w:themeColor="accent3" w:themeTint="BF"/>
          <w:insideH w:val="nil"/>
          <w:insideV w:val="nil"/>
        </w:tcBorders>
      </w:tcPr>
    </w:tblStylePr>
    <w:tblStylePr w:type="firstCol">
      <w:rPr>
        <w:b/>
        <w:bCs/>
      </w:rPr>
    </w:tblStylePr>
    <w:tblStylePr w:type="lastCol">
      <w:rPr>
        <w:b/>
        <w:bCs/>
      </w:rPr>
    </w:tblStylePr>
    <w:tblStylePr w:type="band1Vert">
      <w:tblPr/>
      <w:tcPr>
        <w:shd w:val="clear" w:color="auto" w:fill="F5C9D3" w:themeFill="accent3" w:themeFillTint="3F"/>
      </w:tcPr>
    </w:tblStylePr>
    <w:tblStylePr w:type="band1Horz">
      <w:tblPr/>
      <w:tcPr>
        <w:tcBorders>
          <w:insideH w:val="nil"/>
          <w:insideV w:val="nil"/>
        </w:tcBorders>
        <w:shd w:val="clear" w:color="auto" w:fill="F5C9D3"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B632CF"/>
    <w:tblPr>
      <w:tblStyleRowBandSize w:val="1"/>
      <w:tblStyleColBandSize w:val="1"/>
      <w:tbl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single" w:sz="8" w:space="0" w:color="FFB74E" w:themeColor="accent4" w:themeTint="BF"/>
      </w:tblBorders>
    </w:tblPr>
    <w:tblStylePr w:type="firstRow">
      <w:pPr>
        <w:spacing w:before="0" w:after="0" w:line="240" w:lineRule="auto"/>
      </w:pPr>
      <w:rPr>
        <w:b/>
        <w:bCs/>
        <w:color w:val="FFFFFF" w:themeColor="background1"/>
      </w:rPr>
      <w:tblPr/>
      <w:tcPr>
        <w:tcBorders>
          <w:top w:val="single" w:sz="8"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shd w:val="clear" w:color="auto" w:fill="FFA014" w:themeFill="accent4"/>
      </w:tcPr>
    </w:tblStylePr>
    <w:tblStylePr w:type="lastRow">
      <w:pPr>
        <w:spacing w:before="0" w:after="0" w:line="240" w:lineRule="auto"/>
      </w:pPr>
      <w:rPr>
        <w:b/>
        <w:bCs/>
      </w:rPr>
      <w:tblPr/>
      <w:tcPr>
        <w:tcBorders>
          <w:top w:val="double" w:sz="6" w:space="0" w:color="FFB74E" w:themeColor="accent4" w:themeTint="BF"/>
          <w:left w:val="single" w:sz="8" w:space="0" w:color="FFB74E" w:themeColor="accent4" w:themeTint="BF"/>
          <w:bottom w:val="single" w:sz="8" w:space="0" w:color="FFB74E" w:themeColor="accent4" w:themeTint="BF"/>
          <w:right w:val="single" w:sz="8" w:space="0" w:color="FFB74E"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7C4" w:themeFill="accent4" w:themeFillTint="3F"/>
      </w:tcPr>
    </w:tblStylePr>
    <w:tblStylePr w:type="band1Horz">
      <w:tblPr/>
      <w:tcPr>
        <w:tcBorders>
          <w:insideH w:val="nil"/>
          <w:insideV w:val="nil"/>
        </w:tcBorders>
        <w:shd w:val="clear" w:color="auto" w:fill="FFE7C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B632CF"/>
    <w:tblPr>
      <w:tblStyleRowBandSize w:val="1"/>
      <w:tblStyleColBandSize w:val="1"/>
      <w:tbl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single" w:sz="8" w:space="0" w:color="00DD96" w:themeColor="accent5" w:themeTint="BF"/>
      </w:tblBorders>
    </w:tblPr>
    <w:tblStylePr w:type="firstRow">
      <w:pPr>
        <w:spacing w:before="0" w:after="0" w:line="240" w:lineRule="auto"/>
      </w:pPr>
      <w:rPr>
        <w:b/>
        <w:bCs/>
        <w:color w:val="FFFFFF" w:themeColor="background1"/>
      </w:rPr>
      <w:tblPr/>
      <w:tcPr>
        <w:tcBorders>
          <w:top w:val="single" w:sz="8"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shd w:val="clear" w:color="auto" w:fill="007D55" w:themeFill="accent5"/>
      </w:tcPr>
    </w:tblStylePr>
    <w:tblStylePr w:type="lastRow">
      <w:pPr>
        <w:spacing w:before="0" w:after="0" w:line="240" w:lineRule="auto"/>
      </w:pPr>
      <w:rPr>
        <w:b/>
        <w:bCs/>
      </w:rPr>
      <w:tblPr/>
      <w:tcPr>
        <w:tcBorders>
          <w:top w:val="double" w:sz="6" w:space="0" w:color="00DD96" w:themeColor="accent5" w:themeTint="BF"/>
          <w:left w:val="single" w:sz="8" w:space="0" w:color="00DD96" w:themeColor="accent5" w:themeTint="BF"/>
          <w:bottom w:val="single" w:sz="8" w:space="0" w:color="00DD96" w:themeColor="accent5" w:themeTint="BF"/>
          <w:right w:val="single" w:sz="8" w:space="0" w:color="00DD96" w:themeColor="accent5" w:themeTint="BF"/>
          <w:insideH w:val="nil"/>
          <w:insideV w:val="nil"/>
        </w:tcBorders>
      </w:tcPr>
    </w:tblStylePr>
    <w:tblStylePr w:type="firstCol">
      <w:rPr>
        <w:b/>
        <w:bCs/>
      </w:rPr>
    </w:tblStylePr>
    <w:tblStylePr w:type="lastCol">
      <w:rPr>
        <w:b/>
        <w:bCs/>
      </w:rPr>
    </w:tblStylePr>
    <w:tblStylePr w:type="band1Vert">
      <w:tblPr/>
      <w:tcPr>
        <w:shd w:val="clear" w:color="auto" w:fill="9FFFE0" w:themeFill="accent5" w:themeFillTint="3F"/>
      </w:tcPr>
    </w:tblStylePr>
    <w:tblStylePr w:type="band1Horz">
      <w:tblPr/>
      <w:tcPr>
        <w:tcBorders>
          <w:insideH w:val="nil"/>
          <w:insideV w:val="nil"/>
        </w:tcBorders>
        <w:shd w:val="clear" w:color="auto" w:fill="9FFFE0"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B632CF"/>
    <w:tblPr>
      <w:tblStyleRowBandSize w:val="1"/>
      <w:tblStyleColBandSize w:val="1"/>
      <w:tbl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single" w:sz="8" w:space="0" w:color="D5D5D5" w:themeColor="accent6" w:themeTint="BF"/>
      </w:tblBorders>
    </w:tblPr>
    <w:tblStylePr w:type="firstRow">
      <w:pPr>
        <w:spacing w:before="0" w:after="0" w:line="240" w:lineRule="auto"/>
      </w:pPr>
      <w:rPr>
        <w:b/>
        <w:bCs/>
        <w:color w:val="FFFFFF" w:themeColor="background1"/>
      </w:rPr>
      <w:tblPr/>
      <w:tcPr>
        <w:tcBorders>
          <w:top w:val="single" w:sz="8"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nil"/>
          <w:insideV w:val="nil"/>
        </w:tcBorders>
        <w:shd w:val="clear" w:color="auto" w:fill="C8C8C8" w:themeFill="accent6"/>
      </w:tcPr>
    </w:tblStylePr>
    <w:tblStylePr w:type="lastRow">
      <w:pPr>
        <w:spacing w:before="0" w:after="0" w:line="240" w:lineRule="auto"/>
      </w:pPr>
      <w:rPr>
        <w:b/>
        <w:bCs/>
      </w:rPr>
      <w:tblPr/>
      <w:tcPr>
        <w:tcBorders>
          <w:top w:val="double" w:sz="6" w:space="0" w:color="D5D5D5" w:themeColor="accent6" w:themeTint="BF"/>
          <w:left w:val="single" w:sz="8" w:space="0" w:color="D5D5D5" w:themeColor="accent6" w:themeTint="BF"/>
          <w:bottom w:val="single" w:sz="8" w:space="0" w:color="D5D5D5" w:themeColor="accent6" w:themeTint="BF"/>
          <w:right w:val="single" w:sz="8" w:space="0" w:color="D5D5D5" w:themeColor="accent6" w:themeTint="BF"/>
          <w:insideH w:val="nil"/>
          <w:insideV w:val="nil"/>
        </w:tcBorders>
      </w:tcPr>
    </w:tblStylePr>
    <w:tblStylePr w:type="firstCol">
      <w:rPr>
        <w:b/>
        <w:bCs/>
      </w:rPr>
    </w:tblStylePr>
    <w:tblStylePr w:type="lastCol">
      <w:rPr>
        <w:b/>
        <w:bCs/>
      </w:rPr>
    </w:tblStylePr>
    <w:tblStylePr w:type="band1Vert">
      <w:tblPr/>
      <w:tcPr>
        <w:shd w:val="clear" w:color="auto" w:fill="F1F1F1" w:themeFill="accent6" w:themeFillTint="3F"/>
      </w:tcPr>
    </w:tblStylePr>
    <w:tblStylePr w:type="band1Horz">
      <w:tblPr/>
      <w:tcPr>
        <w:tcBorders>
          <w:insideH w:val="nil"/>
          <w:insideV w:val="nil"/>
        </w:tcBorders>
        <w:shd w:val="clear" w:color="auto" w:fill="F1F1F1"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2314DC"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2314DC" w:themeFill="accent1"/>
      </w:tcPr>
    </w:tblStylePr>
    <w:tblStylePr w:type="lastCol">
      <w:rPr>
        <w:b/>
        <w:bCs/>
        <w:color w:val="FFFFFF" w:themeColor="background1"/>
      </w:rPr>
      <w:tblPr/>
      <w:tcPr>
        <w:tcBorders>
          <w:left w:val="nil"/>
          <w:right w:val="nil"/>
          <w:insideH w:val="nil"/>
          <w:insideV w:val="nil"/>
        </w:tcBorders>
        <w:shd w:val="clear" w:color="auto" w:fill="2314DC"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F006E"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6F006E" w:themeFill="accent2"/>
      </w:tcPr>
    </w:tblStylePr>
    <w:tblStylePr w:type="lastCol">
      <w:rPr>
        <w:b/>
        <w:bCs/>
        <w:color w:val="FFFFFF" w:themeColor="background1"/>
      </w:rPr>
      <w:tblPr/>
      <w:tcPr>
        <w:tcBorders>
          <w:left w:val="nil"/>
          <w:right w:val="nil"/>
          <w:insideH w:val="nil"/>
          <w:insideV w:val="nil"/>
        </w:tcBorders>
        <w:shd w:val="clear" w:color="auto" w:fill="6F006E"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D72850"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D72850" w:themeFill="accent3"/>
      </w:tcPr>
    </w:tblStylePr>
    <w:tblStylePr w:type="lastCol">
      <w:rPr>
        <w:b/>
        <w:bCs/>
        <w:color w:val="FFFFFF" w:themeColor="background1"/>
      </w:rPr>
      <w:tblPr/>
      <w:tcPr>
        <w:tcBorders>
          <w:left w:val="nil"/>
          <w:right w:val="nil"/>
          <w:insideH w:val="nil"/>
          <w:insideV w:val="nil"/>
        </w:tcBorders>
        <w:shd w:val="clear" w:color="auto" w:fill="D72850"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A014"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A014" w:themeFill="accent4"/>
      </w:tcPr>
    </w:tblStylePr>
    <w:tblStylePr w:type="lastCol">
      <w:rPr>
        <w:b/>
        <w:bCs/>
        <w:color w:val="FFFFFF" w:themeColor="background1"/>
      </w:rPr>
      <w:tblPr/>
      <w:tcPr>
        <w:tcBorders>
          <w:left w:val="nil"/>
          <w:right w:val="nil"/>
          <w:insideH w:val="nil"/>
          <w:insideV w:val="nil"/>
        </w:tcBorders>
        <w:shd w:val="clear" w:color="auto" w:fill="FFA014"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D5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D55" w:themeFill="accent5"/>
      </w:tcPr>
    </w:tblStylePr>
    <w:tblStylePr w:type="lastCol">
      <w:rPr>
        <w:b/>
        <w:bCs/>
        <w:color w:val="FFFFFF" w:themeColor="background1"/>
      </w:rPr>
      <w:tblPr/>
      <w:tcPr>
        <w:tcBorders>
          <w:left w:val="nil"/>
          <w:right w:val="nil"/>
          <w:insideH w:val="nil"/>
          <w:insideV w:val="nil"/>
        </w:tcBorders>
        <w:shd w:val="clear" w:color="auto" w:fill="007D5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unhideWhenUsed/>
    <w:rsid w:val="00B632C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8C8C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8C8C8" w:themeFill="accent6"/>
      </w:tcPr>
    </w:tblStylePr>
    <w:tblStylePr w:type="lastCol">
      <w:rPr>
        <w:b/>
        <w:bCs/>
        <w:color w:val="FFFFFF" w:themeColor="background1"/>
      </w:rPr>
      <w:tblPr/>
      <w:tcPr>
        <w:tcBorders>
          <w:left w:val="nil"/>
          <w:right w:val="nil"/>
          <w:insideH w:val="nil"/>
          <w:insideV w:val="nil"/>
        </w:tcBorders>
        <w:shd w:val="clear" w:color="auto" w:fill="C8C8C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Mention">
    <w:name w:val="Mention"/>
    <w:basedOn w:val="DefaultParagraphFont"/>
    <w:uiPriority w:val="99"/>
    <w:semiHidden/>
    <w:unhideWhenUsed/>
    <w:rsid w:val="00B632CF"/>
    <w:rPr>
      <w:color w:val="2B579A"/>
      <w:shd w:val="clear" w:color="auto" w:fill="E1DFDD"/>
    </w:rPr>
  </w:style>
  <w:style w:type="paragraph" w:styleId="MessageHeader">
    <w:name w:val="Message Header"/>
    <w:basedOn w:val="Normal"/>
    <w:link w:val="MessageHeaderChar"/>
    <w:uiPriority w:val="99"/>
    <w:semiHidden/>
    <w:unhideWhenUsed/>
    <w:rsid w:val="00B632C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B632CF"/>
    <w:rPr>
      <w:rFonts w:asciiTheme="majorHAnsi" w:eastAsiaTheme="majorEastAsia" w:hAnsiTheme="majorHAnsi" w:cstheme="majorBidi"/>
      <w:shd w:val="pct20" w:color="auto" w:fill="auto"/>
    </w:rPr>
  </w:style>
  <w:style w:type="paragraph" w:styleId="NoSpacing">
    <w:name w:val="No Spacing"/>
    <w:uiPriority w:val="1"/>
    <w:semiHidden/>
    <w:rsid w:val="00B632CF"/>
    <w:rPr>
      <w:rFonts w:ascii="Jacobs Chronos" w:hAnsi="Jacobs Chronos" w:cs="Jacobs Chronos"/>
      <w:sz w:val="20"/>
    </w:rPr>
  </w:style>
  <w:style w:type="paragraph" w:styleId="NormalWeb">
    <w:name w:val="Normal (Web)"/>
    <w:basedOn w:val="Normal"/>
    <w:uiPriority w:val="99"/>
    <w:semiHidden/>
    <w:unhideWhenUsed/>
    <w:rsid w:val="00B632CF"/>
    <w:rPr>
      <w:rFonts w:ascii="Times New Roman" w:hAnsi="Times New Roman" w:cs="Times New Roman"/>
      <w:sz w:val="24"/>
    </w:rPr>
  </w:style>
  <w:style w:type="paragraph" w:styleId="NormalIndent">
    <w:name w:val="Normal Indent"/>
    <w:basedOn w:val="Normal"/>
    <w:uiPriority w:val="99"/>
    <w:semiHidden/>
    <w:unhideWhenUsed/>
    <w:rsid w:val="00B632CF"/>
    <w:pPr>
      <w:ind w:left="720"/>
    </w:pPr>
  </w:style>
  <w:style w:type="paragraph" w:styleId="NoteHeading">
    <w:name w:val="Note Heading"/>
    <w:basedOn w:val="Normal"/>
    <w:next w:val="Normal"/>
    <w:link w:val="NoteHeadingChar"/>
    <w:uiPriority w:val="99"/>
    <w:semiHidden/>
    <w:unhideWhenUsed/>
    <w:rsid w:val="00B632CF"/>
    <w:pPr>
      <w:spacing w:after="0" w:line="240" w:lineRule="auto"/>
    </w:pPr>
  </w:style>
  <w:style w:type="character" w:customStyle="1" w:styleId="NoteHeadingChar">
    <w:name w:val="Note Heading Char"/>
    <w:basedOn w:val="DefaultParagraphFont"/>
    <w:link w:val="NoteHeading"/>
    <w:uiPriority w:val="99"/>
    <w:semiHidden/>
    <w:rsid w:val="00B632CF"/>
    <w:rPr>
      <w:rFonts w:ascii="Jacobs Chronos" w:hAnsi="Jacobs Chronos" w:cs="Jacobs Chronos"/>
      <w:sz w:val="20"/>
    </w:rPr>
  </w:style>
  <w:style w:type="character" w:styleId="PlaceholderText">
    <w:name w:val="Placeholder Text"/>
    <w:basedOn w:val="DefaultParagraphFont"/>
    <w:uiPriority w:val="99"/>
    <w:semiHidden/>
    <w:rsid w:val="00B632CF"/>
    <w:rPr>
      <w:color w:val="808080"/>
    </w:rPr>
  </w:style>
  <w:style w:type="table" w:styleId="PlainTable1">
    <w:name w:val="Plain Table 1"/>
    <w:basedOn w:val="TableNormal"/>
    <w:uiPriority w:val="41"/>
    <w:rsid w:val="00B632C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B632CF"/>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B632CF"/>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B632CF"/>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B632CF"/>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B632CF"/>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B632CF"/>
    <w:rPr>
      <w:rFonts w:ascii="Consolas" w:hAnsi="Consolas" w:cs="Jacobs Chronos"/>
      <w:sz w:val="21"/>
      <w:szCs w:val="21"/>
    </w:rPr>
  </w:style>
  <w:style w:type="paragraph" w:styleId="Salutation">
    <w:name w:val="Salutation"/>
    <w:basedOn w:val="Normal"/>
    <w:next w:val="Normal"/>
    <w:link w:val="SalutationChar"/>
    <w:uiPriority w:val="99"/>
    <w:semiHidden/>
    <w:unhideWhenUsed/>
    <w:rsid w:val="00B632CF"/>
  </w:style>
  <w:style w:type="character" w:customStyle="1" w:styleId="SalutationChar">
    <w:name w:val="Salutation Char"/>
    <w:basedOn w:val="DefaultParagraphFont"/>
    <w:link w:val="Salutation"/>
    <w:uiPriority w:val="99"/>
    <w:semiHidden/>
    <w:rsid w:val="00B632CF"/>
    <w:rPr>
      <w:rFonts w:ascii="Jacobs Chronos" w:hAnsi="Jacobs Chronos" w:cs="Jacobs Chronos"/>
      <w:sz w:val="20"/>
    </w:rPr>
  </w:style>
  <w:style w:type="paragraph" w:styleId="Signature">
    <w:name w:val="Signature"/>
    <w:basedOn w:val="Normal"/>
    <w:link w:val="SignatureChar"/>
    <w:uiPriority w:val="99"/>
    <w:semiHidden/>
    <w:unhideWhenUsed/>
    <w:rsid w:val="00B632CF"/>
    <w:pPr>
      <w:spacing w:after="0" w:line="240" w:lineRule="auto"/>
      <w:ind w:left="4252"/>
    </w:pPr>
  </w:style>
  <w:style w:type="character" w:customStyle="1" w:styleId="SignatureChar">
    <w:name w:val="Signature Char"/>
    <w:basedOn w:val="DefaultParagraphFont"/>
    <w:link w:val="Signature"/>
    <w:uiPriority w:val="99"/>
    <w:semiHidden/>
    <w:rsid w:val="00B632CF"/>
    <w:rPr>
      <w:rFonts w:ascii="Jacobs Chronos" w:hAnsi="Jacobs Chronos" w:cs="Jacobs Chronos"/>
      <w:sz w:val="20"/>
    </w:rPr>
  </w:style>
  <w:style w:type="character" w:styleId="SmartHyperlink">
    <w:name w:val="Smart Hyperlink"/>
    <w:basedOn w:val="DefaultParagraphFont"/>
    <w:uiPriority w:val="99"/>
    <w:semiHidden/>
    <w:unhideWhenUsed/>
    <w:rsid w:val="00B632CF"/>
    <w:rPr>
      <w:u w:val="dotted"/>
    </w:rPr>
  </w:style>
  <w:style w:type="character" w:customStyle="1" w:styleId="SmartLink1">
    <w:name w:val="SmartLink1"/>
    <w:basedOn w:val="DefaultParagraphFont"/>
    <w:uiPriority w:val="99"/>
    <w:semiHidden/>
    <w:unhideWhenUsed/>
    <w:rsid w:val="00B632CF"/>
    <w:rPr>
      <w:color w:val="2314DC" w:themeColor="hyperlink"/>
      <w:u w:val="single"/>
      <w:shd w:val="clear" w:color="auto" w:fill="E1DFDD"/>
    </w:rPr>
  </w:style>
  <w:style w:type="character" w:customStyle="1" w:styleId="SmartLinkError">
    <w:name w:val="Smart Link Error"/>
    <w:basedOn w:val="DefaultParagraphFont"/>
    <w:uiPriority w:val="99"/>
    <w:semiHidden/>
    <w:unhideWhenUsed/>
    <w:rsid w:val="00B632CF"/>
    <w:rPr>
      <w:color w:val="FF0000"/>
    </w:rPr>
  </w:style>
  <w:style w:type="character" w:styleId="Strong">
    <w:name w:val="Strong"/>
    <w:basedOn w:val="DefaultParagraphFont"/>
    <w:uiPriority w:val="22"/>
    <w:rsid w:val="00B632CF"/>
    <w:rPr>
      <w:b/>
      <w:bCs/>
    </w:rPr>
  </w:style>
  <w:style w:type="character" w:styleId="SubtleEmphasis">
    <w:name w:val="Subtle Emphasis"/>
    <w:basedOn w:val="DefaultParagraphFont"/>
    <w:uiPriority w:val="19"/>
    <w:rsid w:val="00B632CF"/>
    <w:rPr>
      <w:i/>
      <w:iCs/>
      <w:color w:val="404040" w:themeColor="text1" w:themeTint="BF"/>
    </w:rPr>
  </w:style>
  <w:style w:type="character" w:styleId="SubtleReference">
    <w:name w:val="Subtle Reference"/>
    <w:basedOn w:val="DefaultParagraphFont"/>
    <w:uiPriority w:val="31"/>
    <w:rsid w:val="00B632CF"/>
    <w:rPr>
      <w:smallCaps/>
      <w:color w:val="5A5A5A" w:themeColor="text1" w:themeTint="A5"/>
    </w:rPr>
  </w:style>
  <w:style w:type="table" w:styleId="Table3Deffects1">
    <w:name w:val="Table 3D effects 1"/>
    <w:basedOn w:val="TableNormal"/>
    <w:uiPriority w:val="99"/>
    <w:semiHidden/>
    <w:unhideWhenUsed/>
    <w:rsid w:val="00B632CF"/>
    <w:pPr>
      <w:spacing w:after="220"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B632CF"/>
    <w:pPr>
      <w:spacing w:after="220"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B632CF"/>
    <w:pPr>
      <w:spacing w:after="220"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B632CF"/>
    <w:pPr>
      <w:spacing w:after="220"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B632CF"/>
    <w:pPr>
      <w:spacing w:after="220"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B632CF"/>
    <w:pPr>
      <w:spacing w:after="220"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B632CF"/>
    <w:pPr>
      <w:spacing w:after="220"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B632CF"/>
    <w:pPr>
      <w:spacing w:after="220"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B632CF"/>
    <w:pPr>
      <w:spacing w:after="220"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B632CF"/>
    <w:pPr>
      <w:spacing w:after="220"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B632CF"/>
    <w:pPr>
      <w:spacing w:after="220"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B632CF"/>
    <w:pPr>
      <w:spacing w:after="220"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B632CF"/>
    <w:pPr>
      <w:spacing w:after="220"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B632CF"/>
    <w:pPr>
      <w:spacing w:after="220"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B632CF"/>
    <w:pPr>
      <w:spacing w:after="220"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B632CF"/>
    <w:pPr>
      <w:spacing w:after="220"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B632CF"/>
    <w:pPr>
      <w:spacing w:after="220"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B632CF"/>
    <w:pPr>
      <w:spacing w:after="220"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B632CF"/>
    <w:pPr>
      <w:spacing w:after="220"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B632CF"/>
    <w:pPr>
      <w:spacing w:after="220"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B632CF"/>
    <w:pPr>
      <w:spacing w:after="220"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B632CF"/>
    <w:pPr>
      <w:spacing w:after="220"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B632C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B632CF"/>
    <w:pPr>
      <w:spacing w:after="220"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B632CF"/>
    <w:pPr>
      <w:spacing w:after="220"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B632CF"/>
    <w:pPr>
      <w:spacing w:after="220"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B632CF"/>
    <w:pPr>
      <w:spacing w:after="220"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B632CF"/>
    <w:pPr>
      <w:spacing w:after="220"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B632CF"/>
    <w:pPr>
      <w:spacing w:after="220"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B632CF"/>
    <w:pPr>
      <w:spacing w:after="0"/>
      <w:ind w:left="200" w:hanging="200"/>
    </w:pPr>
  </w:style>
  <w:style w:type="paragraph" w:styleId="TableofFigures">
    <w:name w:val="table of figures"/>
    <w:basedOn w:val="Normal"/>
    <w:next w:val="Normal"/>
    <w:uiPriority w:val="99"/>
    <w:semiHidden/>
    <w:unhideWhenUsed/>
    <w:rsid w:val="00B632CF"/>
    <w:pPr>
      <w:spacing w:after="0"/>
    </w:pPr>
  </w:style>
  <w:style w:type="table" w:styleId="TableProfessional">
    <w:name w:val="Table Professional"/>
    <w:basedOn w:val="TableNormal"/>
    <w:uiPriority w:val="99"/>
    <w:semiHidden/>
    <w:unhideWhenUsed/>
    <w:rsid w:val="00B632CF"/>
    <w:pPr>
      <w:spacing w:after="220"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B632CF"/>
    <w:pPr>
      <w:spacing w:after="220"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B632CF"/>
    <w:pPr>
      <w:spacing w:after="220"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B632CF"/>
    <w:pPr>
      <w:spacing w:after="220"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B632CF"/>
    <w:pPr>
      <w:spacing w:after="220"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B632CF"/>
    <w:pPr>
      <w:spacing w:after="220"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B632CF"/>
    <w:pPr>
      <w:spacing w:after="220"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B632CF"/>
    <w:pPr>
      <w:spacing w:after="220"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B632CF"/>
    <w:pPr>
      <w:spacing w:after="220"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B632CF"/>
    <w:pPr>
      <w:spacing w:after="220"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uiPriority w:val="10"/>
    <w:rsid w:val="00B632C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632CF"/>
    <w:rPr>
      <w:rFonts w:asciiTheme="majorHAnsi" w:eastAsiaTheme="majorEastAsia" w:hAnsiTheme="majorHAnsi" w:cstheme="majorBidi"/>
      <w:spacing w:val="-10"/>
      <w:kern w:val="28"/>
      <w:sz w:val="56"/>
      <w:szCs w:val="56"/>
    </w:rPr>
  </w:style>
  <w:style w:type="paragraph" w:styleId="TOAHeading">
    <w:name w:val="toa heading"/>
    <w:basedOn w:val="Normal"/>
    <w:next w:val="Normal"/>
    <w:uiPriority w:val="99"/>
    <w:semiHidden/>
    <w:unhideWhenUsed/>
    <w:rsid w:val="00B632CF"/>
    <w:pPr>
      <w:spacing w:before="120"/>
    </w:pPr>
    <w:rPr>
      <w:rFonts w:asciiTheme="majorHAnsi" w:eastAsiaTheme="majorEastAsia" w:hAnsiTheme="majorHAnsi" w:cstheme="majorBidi"/>
      <w:b/>
      <w:bCs/>
      <w:sz w:val="24"/>
    </w:rPr>
  </w:style>
  <w:style w:type="character" w:styleId="UnresolvedMention">
    <w:name w:val="Unresolved Mention"/>
    <w:basedOn w:val="DefaultParagraphFont"/>
    <w:uiPriority w:val="99"/>
    <w:semiHidden/>
    <w:unhideWhenUsed/>
    <w:rsid w:val="00B632CF"/>
    <w:rPr>
      <w:color w:val="605E5C"/>
      <w:shd w:val="clear" w:color="auto" w:fill="E1DFDD"/>
    </w:rPr>
  </w:style>
  <w:style w:type="character" w:customStyle="1" w:styleId="SmartLink2">
    <w:name w:val="SmartLink2"/>
    <w:basedOn w:val="DefaultParagraphFont"/>
    <w:uiPriority w:val="99"/>
    <w:semiHidden/>
    <w:unhideWhenUsed/>
    <w:rsid w:val="00BA3E2E"/>
    <w:rPr>
      <w:color w:val="2314DC" w:themeColor="hyperlink"/>
      <w:u w:val="single"/>
      <w:shd w:val="clear" w:color="auto" w:fill="E1DFDD"/>
    </w:rPr>
  </w:style>
  <w:style w:type="paragraph" w:customStyle="1" w:styleId="Bodynarrowbullet">
    <w:name w:val="Body narrow bullet"/>
    <w:basedOn w:val="Normal"/>
    <w:uiPriority w:val="10"/>
    <w:qFormat/>
    <w:rsid w:val="00A752B2"/>
    <w:pPr>
      <w:numPr>
        <w:numId w:val="71"/>
      </w:numPr>
      <w:spacing w:before="60" w:after="60"/>
    </w:pPr>
  </w:style>
  <w:style w:type="character" w:customStyle="1" w:styleId="CoverTitleChar">
    <w:name w:val="Cover Title Char"/>
    <w:basedOn w:val="DefaultParagraphFont"/>
    <w:link w:val="CoverTitle"/>
    <w:rsid w:val="00032E15"/>
    <w:rPr>
      <w:rFonts w:ascii="Jacobs Chronos" w:hAnsi="Jacobs Chronos" w:cs="Jacobs Chronos"/>
      <w:b/>
    </w:rPr>
  </w:style>
  <w:style w:type="paragraph" w:customStyle="1" w:styleId="Bodynarrowarrow">
    <w:name w:val="Body narrow arrow"/>
    <w:basedOn w:val="Bodynarrowbullet"/>
    <w:uiPriority w:val="10"/>
    <w:qFormat/>
    <w:rsid w:val="00D61A6B"/>
    <w:pPr>
      <w:numPr>
        <w:numId w:val="0"/>
      </w:numPr>
      <w:spacing w:before="40"/>
      <w:ind w:left="3799" w:hanging="3601"/>
    </w:pPr>
    <w:rPr>
      <w:rFonts w:ascii="Arial" w:hAnsi="Arial" w:cstheme="minorBidi"/>
      <w:lang w:val="en-GB"/>
    </w:rPr>
  </w:style>
  <w:style w:type="numbering" w:customStyle="1" w:styleId="SKMBulletList1">
    <w:name w:val="SKM Bullet List 1"/>
    <w:uiPriority w:val="99"/>
    <w:rsid w:val="00D61A6B"/>
    <w:pPr>
      <w:numPr>
        <w:numId w:val="72"/>
      </w:numPr>
    </w:pPr>
  </w:style>
  <w:style w:type="character" w:customStyle="1" w:styleId="Para0bulletChar">
    <w:name w:val="Para 0 bullet Char"/>
    <w:basedOn w:val="DefaultParagraphFont"/>
    <w:link w:val="Para0bullet"/>
    <w:rsid w:val="00D61A6B"/>
    <w:rPr>
      <w:rFonts w:ascii="Jacobs Chronos" w:hAnsi="Jacobs Chronos" w:cs="Jacobs Chronos"/>
      <w:sz w:val="20"/>
    </w:rPr>
  </w:style>
  <w:style w:type="numbering" w:customStyle="1" w:styleId="SKMTableItem">
    <w:name w:val="SKM Table Item"/>
    <w:uiPriority w:val="99"/>
    <w:rsid w:val="00D61A6B"/>
    <w:pPr>
      <w:numPr>
        <w:numId w:val="74"/>
      </w:numPr>
    </w:pPr>
  </w:style>
  <w:style w:type="numbering" w:customStyle="1" w:styleId="SKMSmallTableNumberedList1">
    <w:name w:val="SKM Small Table Numbered List 1"/>
    <w:uiPriority w:val="99"/>
    <w:rsid w:val="009B4F8F"/>
    <w:pPr>
      <w:numPr>
        <w:numId w:val="76"/>
      </w:numPr>
    </w:pPr>
  </w:style>
  <w:style w:type="numbering" w:customStyle="1" w:styleId="SKMBulletList2">
    <w:name w:val="SKM Bullet List 2"/>
    <w:uiPriority w:val="99"/>
    <w:rsid w:val="009B4F8F"/>
    <w:pPr>
      <w:numPr>
        <w:numId w:val="79"/>
      </w:numPr>
    </w:pPr>
  </w:style>
  <w:style w:type="paragraph" w:customStyle="1" w:styleId="Sidebarheading">
    <w:name w:val="Sidebar heading"/>
    <w:basedOn w:val="Normal"/>
    <w:next w:val="Sidebartext"/>
    <w:uiPriority w:val="11"/>
    <w:qFormat/>
    <w:rsid w:val="00EF769B"/>
    <w:pPr>
      <w:framePr w:hSpace="181" w:wrap="around" w:hAnchor="margin" w:x="109" w:y="182"/>
      <w:spacing w:before="40" w:after="120"/>
    </w:pPr>
    <w:rPr>
      <w:rFonts w:ascii="Arial" w:hAnsi="Arial" w:cstheme="minorBidi"/>
      <w:b/>
      <w:caps/>
      <w:color w:val="00338D"/>
      <w:sz w:val="18"/>
      <w:lang w:val="en-GB"/>
    </w:rPr>
  </w:style>
  <w:style w:type="paragraph" w:customStyle="1" w:styleId="Sidebartext">
    <w:name w:val="Sidebar text"/>
    <w:basedOn w:val="Sidebarheading"/>
    <w:uiPriority w:val="12"/>
    <w:qFormat/>
    <w:rsid w:val="00EF769B"/>
    <w:pPr>
      <w:framePr w:wrap="around"/>
    </w:pPr>
    <w:rPr>
      <w:b w:val="0"/>
      <w:caps w:val="0"/>
      <w:color w:val="auto"/>
    </w:rPr>
  </w:style>
  <w:style w:type="paragraph" w:customStyle="1" w:styleId="Sidebarbullet">
    <w:name w:val="Sidebar bullet"/>
    <w:basedOn w:val="Sidebartext"/>
    <w:uiPriority w:val="12"/>
    <w:qFormat/>
    <w:rsid w:val="00EF769B"/>
    <w:pPr>
      <w:framePr w:wrap="around"/>
      <w:numPr>
        <w:numId w:val="80"/>
      </w:numPr>
      <w:spacing w:after="60"/>
    </w:pPr>
  </w:style>
  <w:style w:type="paragraph" w:customStyle="1" w:styleId="Bodynarrow">
    <w:name w:val="Body narrow"/>
    <w:basedOn w:val="Normal"/>
    <w:uiPriority w:val="10"/>
    <w:qFormat/>
    <w:rsid w:val="00EF769B"/>
    <w:pPr>
      <w:spacing w:before="40" w:after="120"/>
      <w:ind w:left="3402"/>
    </w:pPr>
    <w:rPr>
      <w:rFonts w:ascii="Arial" w:hAnsi="Arial" w:cstheme="minorBidi"/>
      <w:lang w:val="en-GB"/>
    </w:rPr>
  </w:style>
  <w:style w:type="paragraph" w:customStyle="1" w:styleId="CVName">
    <w:name w:val="CVName"/>
    <w:basedOn w:val="Normal"/>
    <w:semiHidden/>
    <w:rsid w:val="00EF769B"/>
    <w:rPr>
      <w:rFonts w:ascii="Arial" w:hAnsi="Arial" w:cstheme="minorBidi"/>
      <w:lang w:val="en-GB"/>
    </w:rPr>
  </w:style>
  <w:style w:type="paragraph" w:customStyle="1" w:styleId="Bodyheading">
    <w:name w:val="Body heading"/>
    <w:basedOn w:val="Collateralheading"/>
    <w:next w:val="Bodynarrow"/>
    <w:uiPriority w:val="9"/>
    <w:qFormat/>
    <w:rsid w:val="00EF769B"/>
    <w:pPr>
      <w:widowControl w:val="0"/>
      <w:ind w:left="3402"/>
    </w:pPr>
    <w:rPr>
      <w:rFonts w:ascii="Arial Black" w:hAnsi="Arial Black" w:cstheme="minorBidi"/>
      <w:b w:val="0"/>
      <w:color w:val="00338D"/>
      <w:lang w:val="en-GB"/>
    </w:rPr>
  </w:style>
  <w:style w:type="paragraph" w:customStyle="1" w:styleId="Bodysubheading">
    <w:name w:val="Body sub heading"/>
    <w:basedOn w:val="Bodynarrow"/>
    <w:next w:val="Bodynarrow"/>
    <w:uiPriority w:val="9"/>
    <w:qFormat/>
    <w:rsid w:val="00EF769B"/>
    <w:pPr>
      <w:spacing w:before="120"/>
    </w:pPr>
    <w:rPr>
      <w:b/>
    </w:rPr>
  </w:style>
  <w:style w:type="paragraph" w:customStyle="1" w:styleId="CVTitle">
    <w:name w:val="CVTitle"/>
    <w:basedOn w:val="Projectrole1"/>
    <w:semiHidden/>
    <w:rsid w:val="00EF769B"/>
    <w:rPr>
      <w:rFonts w:ascii="Arial" w:hAnsi="Arial" w:cstheme="minorBidi"/>
      <w:color w:val="00338D"/>
      <w:lang w:val="en-GB"/>
    </w:rPr>
  </w:style>
  <w:style w:type="paragraph" w:customStyle="1" w:styleId="CVHead">
    <w:name w:val="CVHead"/>
    <w:basedOn w:val="Collateralheading"/>
    <w:semiHidden/>
    <w:rsid w:val="00EF769B"/>
    <w:rPr>
      <w:rFonts w:ascii="Arial Black" w:hAnsi="Arial Black" w:cstheme="minorBidi"/>
      <w:b w:val="0"/>
      <w:color w:val="00338D"/>
      <w:lang w:val="en-GB"/>
    </w:rPr>
  </w:style>
  <w:style w:type="character" w:customStyle="1" w:styleId="Bodynarrowbold">
    <w:name w:val="Body narrow bold"/>
    <w:uiPriority w:val="10"/>
    <w:rsid w:val="00EF769B"/>
    <w:rPr>
      <w:rFonts w:ascii="Arial" w:hAnsi="Arial"/>
      <w:b/>
      <w:sz w:val="20"/>
    </w:rPr>
  </w:style>
  <w:style w:type="numbering" w:customStyle="1" w:styleId="JacobsSidebarList">
    <w:name w:val="Jacobs Sidebar List"/>
    <w:uiPriority w:val="99"/>
    <w:rsid w:val="00EF769B"/>
    <w:pPr>
      <w:numPr>
        <w:numId w:val="80"/>
      </w:numPr>
    </w:pPr>
  </w:style>
  <w:style w:type="paragraph" w:customStyle="1" w:styleId="CVName0">
    <w:name w:val="CV Name"/>
    <w:basedOn w:val="Name1"/>
    <w:uiPriority w:val="2"/>
    <w:rsid w:val="00EF769B"/>
    <w:pPr>
      <w:ind w:left="3402"/>
      <w:jc w:val="left"/>
    </w:pPr>
    <w:rPr>
      <w:rFonts w:ascii="Arial Black" w:hAnsi="Arial Black" w:cstheme="minorBidi"/>
      <w:b w:val="0"/>
      <w:color w:val="00338D"/>
      <w:lang w:val="en-GB"/>
    </w:rPr>
  </w:style>
  <w:style w:type="paragraph" w:customStyle="1" w:styleId="CVRole">
    <w:name w:val="CV Role"/>
    <w:basedOn w:val="Projectrole1"/>
    <w:next w:val="Bodynarrow"/>
    <w:uiPriority w:val="2"/>
    <w:rsid w:val="00EF769B"/>
    <w:pPr>
      <w:ind w:left="3402"/>
      <w:jc w:val="left"/>
    </w:pPr>
    <w:rPr>
      <w:rFonts w:ascii="Arial" w:hAnsi="Arial" w:cstheme="minorBidi"/>
      <w:color w:val="00338D"/>
      <w:lang w:val="en-GB"/>
    </w:rPr>
  </w:style>
  <w:style w:type="paragraph" w:customStyle="1" w:styleId="PDLocation">
    <w:name w:val="PD Location"/>
    <w:basedOn w:val="Normal"/>
    <w:rsid w:val="00EF769B"/>
    <w:pPr>
      <w:spacing w:after="160"/>
      <w:ind w:left="3402"/>
    </w:pPr>
    <w:rPr>
      <w:rFonts w:ascii="Arial" w:hAnsi="Arial" w:cstheme="minorBidi"/>
      <w:caps/>
      <w:color w:val="00338D"/>
      <w:lang w:val="en-GB"/>
    </w:rPr>
  </w:style>
  <w:style w:type="paragraph" w:customStyle="1" w:styleId="PDName">
    <w:name w:val="PD Name"/>
    <w:basedOn w:val="Normal"/>
    <w:rsid w:val="00EF769B"/>
    <w:pPr>
      <w:spacing w:after="160" w:line="400" w:lineRule="exact"/>
      <w:ind w:left="3402"/>
    </w:pPr>
    <w:rPr>
      <w:rFonts w:ascii="Arial Black" w:hAnsi="Arial Black" w:cstheme="minorBidi"/>
      <w:color w:val="00338D"/>
      <w:sz w:val="36"/>
      <w:lang w:val="en-GB"/>
    </w:rPr>
  </w:style>
  <w:style w:type="numbering" w:customStyle="1" w:styleId="SKMTableList1">
    <w:name w:val="SKM Table List 1"/>
    <w:uiPriority w:val="99"/>
    <w:rsid w:val="00EF769B"/>
    <w:pPr>
      <w:numPr>
        <w:numId w:val="82"/>
      </w:numPr>
    </w:pPr>
  </w:style>
  <w:style w:type="numbering" w:customStyle="1" w:styleId="SKMNarrowList">
    <w:name w:val="SKM Narrow List"/>
    <w:uiPriority w:val="99"/>
    <w:rsid w:val="00EF769B"/>
    <w:pPr>
      <w:numPr>
        <w:numId w:val="81"/>
      </w:numPr>
    </w:pPr>
  </w:style>
  <w:style w:type="numbering" w:customStyle="1" w:styleId="SKMTablesmallitem">
    <w:name w:val="SKM Table small item"/>
    <w:uiPriority w:val="99"/>
    <w:rsid w:val="00EF769B"/>
    <w:pPr>
      <w:numPr>
        <w:numId w:val="83"/>
      </w:numPr>
    </w:pPr>
  </w:style>
  <w:style w:type="numbering" w:customStyle="1" w:styleId="SKMSmallTableNumberedList2">
    <w:name w:val="SKM Small Table Numbered List 2"/>
    <w:uiPriority w:val="99"/>
    <w:rsid w:val="00EF769B"/>
    <w:pPr>
      <w:numPr>
        <w:numId w:val="84"/>
      </w:numPr>
    </w:pPr>
  </w:style>
  <w:style w:type="table" w:customStyle="1" w:styleId="TableGrid10">
    <w:name w:val="Table Grid1"/>
    <w:basedOn w:val="TableNormal"/>
    <w:uiPriority w:val="59"/>
    <w:rsid w:val="00EF769B"/>
    <w:rPr>
      <w:rFonts w:eastAsiaTheme="minorHAnsi"/>
      <w:sz w:val="22"/>
      <w:szCs w:val="22"/>
      <w:lang w:val="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KMSmallTableList1">
    <w:name w:val="SKM Small Table List 1"/>
    <w:uiPriority w:val="99"/>
    <w:rsid w:val="00EF769B"/>
    <w:pPr>
      <w:numPr>
        <w:numId w:val="87"/>
      </w:numPr>
    </w:pPr>
  </w:style>
  <w:style w:type="paragraph" w:customStyle="1" w:styleId="msonormal0">
    <w:name w:val="msonormal"/>
    <w:basedOn w:val="Normal"/>
    <w:rsid w:val="00EF769B"/>
    <w:pPr>
      <w:spacing w:before="100" w:beforeAutospacing="1" w:after="100" w:afterAutospacing="1" w:line="240" w:lineRule="auto"/>
    </w:pPr>
    <w:rPr>
      <w:rFonts w:ascii="Times New Roman" w:eastAsia="Times New Roman" w:hAnsi="Times New Roman" w:cs="Times New Roman"/>
      <w:sz w:val="24"/>
      <w:lang w:val="en-AU" w:eastAsia="en-AU"/>
    </w:rPr>
  </w:style>
  <w:style w:type="paragraph" w:customStyle="1" w:styleId="font5">
    <w:name w:val="font5"/>
    <w:basedOn w:val="Normal"/>
    <w:rsid w:val="00EF769B"/>
    <w:pPr>
      <w:spacing w:before="100" w:beforeAutospacing="1" w:after="100" w:afterAutospacing="1" w:line="240" w:lineRule="auto"/>
    </w:pPr>
    <w:rPr>
      <w:rFonts w:ascii="Calibri" w:eastAsia="Times New Roman" w:hAnsi="Calibri" w:cs="Times New Roman"/>
      <w:color w:val="000000"/>
      <w:sz w:val="18"/>
      <w:szCs w:val="18"/>
      <w:lang w:val="en-AU" w:eastAsia="en-AU"/>
    </w:rPr>
  </w:style>
  <w:style w:type="paragraph" w:customStyle="1" w:styleId="font6">
    <w:name w:val="font6"/>
    <w:basedOn w:val="Normal"/>
    <w:rsid w:val="00EF769B"/>
    <w:pPr>
      <w:spacing w:before="100" w:beforeAutospacing="1" w:after="100" w:afterAutospacing="1" w:line="240" w:lineRule="auto"/>
    </w:pPr>
    <w:rPr>
      <w:rFonts w:ascii="Arial" w:eastAsia="Times New Roman" w:hAnsi="Arial" w:cs="Arial"/>
      <w:b/>
      <w:bCs/>
      <w:color w:val="000000"/>
      <w:sz w:val="16"/>
      <w:szCs w:val="16"/>
      <w:lang w:val="en-AU" w:eastAsia="en-AU"/>
    </w:rPr>
  </w:style>
  <w:style w:type="paragraph" w:customStyle="1" w:styleId="font7">
    <w:name w:val="font7"/>
    <w:basedOn w:val="Normal"/>
    <w:rsid w:val="00EF769B"/>
    <w:pPr>
      <w:spacing w:before="100" w:beforeAutospacing="1" w:after="100" w:afterAutospacing="1" w:line="240" w:lineRule="auto"/>
    </w:pPr>
    <w:rPr>
      <w:rFonts w:ascii="Arial" w:eastAsia="Times New Roman" w:hAnsi="Arial" w:cs="Arial"/>
      <w:color w:val="000000"/>
      <w:sz w:val="16"/>
      <w:szCs w:val="16"/>
      <w:lang w:val="en-AU" w:eastAsia="en-AU"/>
    </w:rPr>
  </w:style>
  <w:style w:type="paragraph" w:customStyle="1" w:styleId="font8">
    <w:name w:val="font8"/>
    <w:basedOn w:val="Normal"/>
    <w:rsid w:val="00EF769B"/>
    <w:pPr>
      <w:spacing w:before="100" w:beforeAutospacing="1" w:after="100" w:afterAutospacing="1" w:line="240" w:lineRule="auto"/>
    </w:pPr>
    <w:rPr>
      <w:rFonts w:ascii="Calibri" w:eastAsia="Times New Roman" w:hAnsi="Calibri" w:cs="Times New Roman"/>
      <w:color w:val="000000"/>
      <w:sz w:val="16"/>
      <w:szCs w:val="16"/>
      <w:lang w:val="en-AU" w:eastAsia="en-AU"/>
    </w:rPr>
  </w:style>
  <w:style w:type="paragraph" w:customStyle="1" w:styleId="font9">
    <w:name w:val="font9"/>
    <w:basedOn w:val="Normal"/>
    <w:rsid w:val="00EF769B"/>
    <w:pPr>
      <w:spacing w:before="100" w:beforeAutospacing="1" w:after="100" w:afterAutospacing="1" w:line="240" w:lineRule="auto"/>
    </w:pPr>
    <w:rPr>
      <w:rFonts w:ascii="Calibri" w:eastAsia="Times New Roman" w:hAnsi="Calibri" w:cs="Times New Roman"/>
      <w:color w:val="000000"/>
      <w:sz w:val="18"/>
      <w:szCs w:val="18"/>
      <w:lang w:val="en-AU" w:eastAsia="en-AU"/>
    </w:rPr>
  </w:style>
  <w:style w:type="paragraph" w:customStyle="1" w:styleId="xl63">
    <w:name w:val="xl63"/>
    <w:basedOn w:val="Normal"/>
    <w:rsid w:val="00EF769B"/>
    <w:pPr>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64">
    <w:name w:val="xl64"/>
    <w:basedOn w:val="Normal"/>
    <w:rsid w:val="00EF769B"/>
    <w:pPr>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65">
    <w:name w:val="xl65"/>
    <w:basedOn w:val="Normal"/>
    <w:rsid w:val="00EF769B"/>
    <w:pPr>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66">
    <w:name w:val="xl66"/>
    <w:basedOn w:val="Normal"/>
    <w:rsid w:val="00EF769B"/>
    <w:pPr>
      <w:shd w:val="clear" w:color="000000" w:fill="4472C4"/>
      <w:spacing w:before="100" w:beforeAutospacing="1" w:after="100" w:afterAutospacing="1" w:line="240" w:lineRule="auto"/>
      <w:jc w:val="center"/>
      <w:textAlignment w:val="center"/>
    </w:pPr>
    <w:rPr>
      <w:rFonts w:ascii="Arial" w:eastAsia="Times New Roman" w:hAnsi="Arial" w:cs="Arial"/>
      <w:b/>
      <w:bCs/>
      <w:color w:val="FFFFFF"/>
      <w:sz w:val="16"/>
      <w:szCs w:val="16"/>
      <w:lang w:val="en-AU" w:eastAsia="en-AU"/>
    </w:rPr>
  </w:style>
  <w:style w:type="paragraph" w:customStyle="1" w:styleId="xl67">
    <w:name w:val="xl67"/>
    <w:basedOn w:val="Normal"/>
    <w:rsid w:val="00EF769B"/>
    <w:pPr>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68">
    <w:name w:val="xl68"/>
    <w:basedOn w:val="Normal"/>
    <w:rsid w:val="00EF769B"/>
    <w:pPr>
      <w:shd w:val="clear" w:color="000000" w:fill="FFF2CC"/>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69">
    <w:name w:val="xl69"/>
    <w:basedOn w:val="Normal"/>
    <w:rsid w:val="00EF769B"/>
    <w:pPr>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70">
    <w:name w:val="xl70"/>
    <w:basedOn w:val="Normal"/>
    <w:rsid w:val="00EF769B"/>
    <w:pPr>
      <w:shd w:val="clear" w:color="000000" w:fill="FFF2CC"/>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71">
    <w:name w:val="xl71"/>
    <w:basedOn w:val="Normal"/>
    <w:rsid w:val="00EF769B"/>
    <w:pPr>
      <w:shd w:val="clear" w:color="000000" w:fill="4472C4"/>
      <w:spacing w:before="100" w:beforeAutospacing="1" w:after="100" w:afterAutospacing="1" w:line="240" w:lineRule="auto"/>
      <w:textAlignment w:val="center"/>
    </w:pPr>
    <w:rPr>
      <w:rFonts w:ascii="Arial" w:eastAsia="Times New Roman" w:hAnsi="Arial" w:cs="Arial"/>
      <w:b/>
      <w:bCs/>
      <w:color w:val="FFFFFF"/>
      <w:sz w:val="16"/>
      <w:szCs w:val="16"/>
      <w:lang w:val="en-AU" w:eastAsia="en-AU"/>
    </w:rPr>
  </w:style>
  <w:style w:type="paragraph" w:customStyle="1" w:styleId="xl72">
    <w:name w:val="xl72"/>
    <w:basedOn w:val="Normal"/>
    <w:rsid w:val="00EF769B"/>
    <w:pPr>
      <w:shd w:val="clear" w:color="000000" w:fill="FCE4D6"/>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73">
    <w:name w:val="xl73"/>
    <w:basedOn w:val="Normal"/>
    <w:rsid w:val="00EF769B"/>
    <w:pPr>
      <w:shd w:val="clear" w:color="000000" w:fill="FFF2CC"/>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74">
    <w:name w:val="xl74"/>
    <w:basedOn w:val="Normal"/>
    <w:rsid w:val="00EF769B"/>
    <w:pPr>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75">
    <w:name w:val="xl75"/>
    <w:basedOn w:val="Normal"/>
    <w:rsid w:val="00EF769B"/>
    <w:pPr>
      <w:spacing w:before="100" w:beforeAutospacing="1" w:after="100" w:afterAutospacing="1" w:line="240" w:lineRule="auto"/>
      <w:textAlignment w:val="center"/>
    </w:pPr>
    <w:rPr>
      <w:rFonts w:ascii="Times New Roman" w:eastAsia="Times New Roman" w:hAnsi="Times New Roman" w:cs="Times New Roman"/>
      <w:sz w:val="18"/>
      <w:szCs w:val="18"/>
      <w:lang w:val="en-AU" w:eastAsia="en-AU"/>
    </w:rPr>
  </w:style>
  <w:style w:type="paragraph" w:customStyle="1" w:styleId="xl76">
    <w:name w:val="xl76"/>
    <w:basedOn w:val="Normal"/>
    <w:rsid w:val="00EF769B"/>
    <w:pP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77">
    <w:name w:val="xl77"/>
    <w:basedOn w:val="Normal"/>
    <w:rsid w:val="00EF769B"/>
    <w:pPr>
      <w:shd w:val="clear" w:color="000000" w:fill="FCE4D6"/>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78">
    <w:name w:val="xl78"/>
    <w:basedOn w:val="Normal"/>
    <w:rsid w:val="00EF769B"/>
    <w:pP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79">
    <w:name w:val="xl79"/>
    <w:basedOn w:val="Normal"/>
    <w:rsid w:val="00EF769B"/>
    <w:pPr>
      <w:shd w:val="clear" w:color="000000" w:fill="C6E0B4"/>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80">
    <w:name w:val="xl80"/>
    <w:basedOn w:val="Normal"/>
    <w:rsid w:val="00EF769B"/>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81">
    <w:name w:val="xl81"/>
    <w:basedOn w:val="Normal"/>
    <w:rsid w:val="00EF769B"/>
    <w:pP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82">
    <w:name w:val="xl82"/>
    <w:basedOn w:val="Normal"/>
    <w:rsid w:val="00EF769B"/>
    <w:pPr>
      <w:shd w:val="clear" w:color="000000" w:fill="A9D08E"/>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83">
    <w:name w:val="xl83"/>
    <w:basedOn w:val="Normal"/>
    <w:rsid w:val="00EF769B"/>
    <w:pPr>
      <w:shd w:val="clear" w:color="000000" w:fill="A9D08E"/>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84">
    <w:name w:val="xl84"/>
    <w:basedOn w:val="Normal"/>
    <w:rsid w:val="00EF769B"/>
    <w:pPr>
      <w:shd w:val="clear" w:color="000000" w:fill="E2EFDA"/>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85">
    <w:name w:val="xl85"/>
    <w:basedOn w:val="Normal"/>
    <w:rsid w:val="00EF769B"/>
    <w:pPr>
      <w:shd w:val="clear" w:color="000000" w:fill="D0CECE"/>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86">
    <w:name w:val="xl86"/>
    <w:basedOn w:val="Normal"/>
    <w:rsid w:val="00EF769B"/>
    <w:pPr>
      <w:shd w:val="clear" w:color="000000" w:fill="FFF2CC"/>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87">
    <w:name w:val="xl87"/>
    <w:basedOn w:val="Normal"/>
    <w:rsid w:val="00EF769B"/>
    <w:pPr>
      <w:shd w:val="clear" w:color="000000" w:fill="D0CECE"/>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88">
    <w:name w:val="xl88"/>
    <w:basedOn w:val="Normal"/>
    <w:rsid w:val="00EF769B"/>
    <w:pPr>
      <w:shd w:val="clear" w:color="000000" w:fill="D0CECE"/>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89">
    <w:name w:val="xl89"/>
    <w:basedOn w:val="Normal"/>
    <w:rsid w:val="00EF769B"/>
    <w:pPr>
      <w:shd w:val="clear" w:color="000000" w:fill="D0CECE"/>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90">
    <w:name w:val="xl90"/>
    <w:basedOn w:val="Normal"/>
    <w:rsid w:val="00EF769B"/>
    <w:pPr>
      <w:shd w:val="clear" w:color="000000" w:fill="E2EFDA"/>
      <w:spacing w:before="100" w:beforeAutospacing="1" w:after="100" w:afterAutospacing="1" w:line="240" w:lineRule="auto"/>
      <w:textAlignment w:val="top"/>
    </w:pPr>
    <w:rPr>
      <w:rFonts w:ascii="Arial" w:eastAsia="Times New Roman" w:hAnsi="Arial" w:cs="Arial"/>
      <w:i/>
      <w:iCs/>
      <w:sz w:val="16"/>
      <w:szCs w:val="16"/>
      <w:lang w:val="en-AU" w:eastAsia="en-AU"/>
    </w:rPr>
  </w:style>
  <w:style w:type="paragraph" w:customStyle="1" w:styleId="xl91">
    <w:name w:val="xl91"/>
    <w:basedOn w:val="Normal"/>
    <w:rsid w:val="00EF769B"/>
    <w:pPr>
      <w:shd w:val="clear" w:color="000000" w:fill="E2EFDA"/>
      <w:spacing w:before="100" w:beforeAutospacing="1" w:after="100" w:afterAutospacing="1" w:line="240" w:lineRule="auto"/>
      <w:textAlignment w:val="center"/>
    </w:pPr>
    <w:rPr>
      <w:rFonts w:ascii="Arial" w:eastAsia="Times New Roman" w:hAnsi="Arial" w:cs="Arial"/>
      <w:i/>
      <w:iCs/>
      <w:sz w:val="16"/>
      <w:szCs w:val="16"/>
      <w:lang w:val="en-AU" w:eastAsia="en-AU"/>
    </w:rPr>
  </w:style>
  <w:style w:type="paragraph" w:customStyle="1" w:styleId="xl92">
    <w:name w:val="xl92"/>
    <w:basedOn w:val="Normal"/>
    <w:rsid w:val="00EF769B"/>
    <w:pPr>
      <w:shd w:val="clear" w:color="000000" w:fill="D0CECE"/>
      <w:spacing w:before="100" w:beforeAutospacing="1" w:after="100" w:afterAutospacing="1" w:line="240" w:lineRule="auto"/>
    </w:pPr>
    <w:rPr>
      <w:rFonts w:ascii="Times New Roman" w:eastAsia="Times New Roman" w:hAnsi="Times New Roman" w:cs="Times New Roman"/>
      <w:sz w:val="18"/>
      <w:szCs w:val="18"/>
      <w:lang w:val="en-AU" w:eastAsia="en-AU"/>
    </w:rPr>
  </w:style>
  <w:style w:type="paragraph" w:customStyle="1" w:styleId="xl93">
    <w:name w:val="xl93"/>
    <w:basedOn w:val="Normal"/>
    <w:rsid w:val="00EF769B"/>
    <w:pPr>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94">
    <w:name w:val="xl94"/>
    <w:basedOn w:val="Normal"/>
    <w:rsid w:val="00EF769B"/>
    <w:pPr>
      <w:shd w:val="clear" w:color="000000" w:fill="70AD47"/>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95">
    <w:name w:val="xl95"/>
    <w:basedOn w:val="Normal"/>
    <w:rsid w:val="00EF769B"/>
    <w:pPr>
      <w:shd w:val="clear" w:color="000000" w:fill="70AD47"/>
      <w:spacing w:before="100" w:beforeAutospacing="1" w:after="100" w:afterAutospacing="1" w:line="240" w:lineRule="auto"/>
      <w:textAlignment w:val="center"/>
    </w:pPr>
    <w:rPr>
      <w:rFonts w:ascii="Arial" w:eastAsia="Times New Roman" w:hAnsi="Arial" w:cs="Arial"/>
      <w:b/>
      <w:bCs/>
      <w:sz w:val="16"/>
      <w:szCs w:val="16"/>
      <w:lang w:val="en-AU" w:eastAsia="en-AU"/>
    </w:rPr>
  </w:style>
  <w:style w:type="paragraph" w:customStyle="1" w:styleId="xl96">
    <w:name w:val="xl96"/>
    <w:basedOn w:val="Normal"/>
    <w:rsid w:val="00EF769B"/>
    <w:pPr>
      <w:shd w:val="clear" w:color="000000" w:fill="FCE4D6"/>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97">
    <w:name w:val="xl97"/>
    <w:basedOn w:val="Normal"/>
    <w:rsid w:val="00EF769B"/>
    <w:pPr>
      <w:shd w:val="clear" w:color="000000" w:fill="E2EFDA"/>
      <w:spacing w:before="100" w:beforeAutospacing="1" w:after="100" w:afterAutospacing="1" w:line="240" w:lineRule="auto"/>
      <w:textAlignment w:val="center"/>
    </w:pPr>
    <w:rPr>
      <w:rFonts w:ascii="Arial" w:eastAsia="Times New Roman" w:hAnsi="Arial" w:cs="Arial"/>
      <w:i/>
      <w:iCs/>
      <w:sz w:val="16"/>
      <w:szCs w:val="16"/>
      <w:lang w:val="en-AU" w:eastAsia="en-AU"/>
    </w:rPr>
  </w:style>
  <w:style w:type="paragraph" w:customStyle="1" w:styleId="xl98">
    <w:name w:val="xl98"/>
    <w:basedOn w:val="Normal"/>
    <w:rsid w:val="00EF769B"/>
    <w:pPr>
      <w:shd w:val="clear" w:color="000000" w:fill="E2EFDA"/>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99">
    <w:name w:val="xl99"/>
    <w:basedOn w:val="Normal"/>
    <w:rsid w:val="00EF769B"/>
    <w:pP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100">
    <w:name w:val="xl100"/>
    <w:basedOn w:val="Normal"/>
    <w:rsid w:val="00EF769B"/>
    <w:pPr>
      <w:shd w:val="clear" w:color="000000" w:fill="FFFF00"/>
      <w:spacing w:before="100" w:beforeAutospacing="1" w:after="100" w:afterAutospacing="1" w:line="240" w:lineRule="auto"/>
      <w:textAlignment w:val="center"/>
    </w:pPr>
    <w:rPr>
      <w:rFonts w:ascii="Arial" w:eastAsia="Times New Roman" w:hAnsi="Arial" w:cs="Arial"/>
      <w:sz w:val="16"/>
      <w:szCs w:val="16"/>
      <w:lang w:val="en-AU" w:eastAsia="en-AU"/>
    </w:rPr>
  </w:style>
  <w:style w:type="paragraph" w:customStyle="1" w:styleId="xl101">
    <w:name w:val="xl101"/>
    <w:basedOn w:val="Normal"/>
    <w:rsid w:val="00EF769B"/>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102">
    <w:name w:val="xl102"/>
    <w:basedOn w:val="Normal"/>
    <w:rsid w:val="00EF769B"/>
    <w:pPr>
      <w:shd w:val="clear" w:color="000000" w:fill="FFFF00"/>
      <w:spacing w:before="100" w:beforeAutospacing="1" w:after="100" w:afterAutospacing="1" w:line="240" w:lineRule="auto"/>
      <w:textAlignment w:val="top"/>
    </w:pPr>
    <w:rPr>
      <w:rFonts w:ascii="Arial" w:eastAsia="Times New Roman" w:hAnsi="Arial" w:cs="Arial"/>
      <w:sz w:val="16"/>
      <w:szCs w:val="16"/>
      <w:lang w:val="en-AU" w:eastAsia="en-AU"/>
    </w:rPr>
  </w:style>
  <w:style w:type="paragraph" w:customStyle="1" w:styleId="xl103">
    <w:name w:val="xl103"/>
    <w:basedOn w:val="Normal"/>
    <w:rsid w:val="00EF769B"/>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18"/>
      <w:szCs w:val="18"/>
      <w:lang w:val="en-AU" w:eastAsia="en-AU"/>
    </w:rPr>
  </w:style>
  <w:style w:type="paragraph" w:customStyle="1" w:styleId="xl104">
    <w:name w:val="xl104"/>
    <w:basedOn w:val="Normal"/>
    <w:rsid w:val="00EF769B"/>
    <w:pPr>
      <w:shd w:val="clear" w:color="000000" w:fill="FFFF00"/>
      <w:spacing w:before="100" w:beforeAutospacing="1" w:after="100" w:afterAutospacing="1" w:line="240" w:lineRule="auto"/>
      <w:textAlignment w:val="center"/>
    </w:pPr>
    <w:rPr>
      <w:rFonts w:ascii="Arial" w:eastAsia="Times New Roman" w:hAnsi="Arial" w:cs="Arial"/>
      <w:sz w:val="16"/>
      <w:szCs w:val="16"/>
      <w:lang w:val="en-AU"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7521846">
      <w:bodyDiv w:val="1"/>
      <w:marLeft w:val="0"/>
      <w:marRight w:val="0"/>
      <w:marTop w:val="0"/>
      <w:marBottom w:val="0"/>
      <w:divBdr>
        <w:top w:val="none" w:sz="0" w:space="0" w:color="auto"/>
        <w:left w:val="none" w:sz="0" w:space="0" w:color="auto"/>
        <w:bottom w:val="none" w:sz="0" w:space="0" w:color="auto"/>
        <w:right w:val="none" w:sz="0" w:space="0" w:color="auto"/>
      </w:divBdr>
    </w:div>
    <w:div w:id="818159203">
      <w:bodyDiv w:val="1"/>
      <w:marLeft w:val="0"/>
      <w:marRight w:val="0"/>
      <w:marTop w:val="0"/>
      <w:marBottom w:val="0"/>
      <w:divBdr>
        <w:top w:val="none" w:sz="0" w:space="0" w:color="auto"/>
        <w:left w:val="none" w:sz="0" w:space="0" w:color="auto"/>
        <w:bottom w:val="none" w:sz="0" w:space="0" w:color="auto"/>
        <w:right w:val="none" w:sz="0" w:space="0" w:color="auto"/>
      </w:divBdr>
    </w:div>
    <w:div w:id="15639810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3.xml"/><Relationship Id="rId26" Type="http://schemas.openxmlformats.org/officeDocument/2006/relationships/footer" Target="footer5.xml"/><Relationship Id="rId39" Type="http://schemas.openxmlformats.org/officeDocument/2006/relationships/image" Target="media/image13.png"/><Relationship Id="rId21" Type="http://schemas.openxmlformats.org/officeDocument/2006/relationships/header" Target="header5.xm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header" Target="header9.xml"/><Relationship Id="rId68" Type="http://schemas.openxmlformats.org/officeDocument/2006/relationships/footer" Target="footer11.xml"/><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footer" Target="footer12.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header" Target="header7.xml"/><Relationship Id="rId11" Type="http://schemas.openxmlformats.org/officeDocument/2006/relationships/image" Target="media/image1.png"/><Relationship Id="rId24" Type="http://schemas.openxmlformats.org/officeDocument/2006/relationships/image" Target="media/image50.wmf"/><Relationship Id="rId32" Type="http://schemas.openxmlformats.org/officeDocument/2006/relationships/footer" Target="footer8.xm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footer" Target="footer10.xml"/><Relationship Id="rId74" Type="http://schemas.openxmlformats.org/officeDocument/2006/relationships/footer" Target="footer14.xml"/><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image" Target="media/image5.wmf"/><Relationship Id="rId28" Type="http://schemas.openxmlformats.org/officeDocument/2006/relationships/image" Target="media/image6.png"/><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png"/><Relationship Id="rId61" Type="http://schemas.openxmlformats.org/officeDocument/2006/relationships/image" Target="media/image35.png"/><Relationship Id="rId10" Type="http://schemas.openxmlformats.org/officeDocument/2006/relationships/endnotes" Target="endnotes.xml"/><Relationship Id="rId19" Type="http://schemas.openxmlformats.org/officeDocument/2006/relationships/header" Target="header4.xml"/><Relationship Id="rId31" Type="http://schemas.openxmlformats.org/officeDocument/2006/relationships/header" Target="header8.xml"/><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footer" Target="footer9.xml"/><Relationship Id="rId73" Type="http://schemas.openxmlformats.org/officeDocument/2006/relationships/header" Target="header1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footer" Target="footer4.xml"/><Relationship Id="rId27" Type="http://schemas.openxmlformats.org/officeDocument/2006/relationships/footer" Target="footer6.xml"/><Relationship Id="rId30" Type="http://schemas.openxmlformats.org/officeDocument/2006/relationships/footer" Target="footer7.xml"/><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header" Target="header10.xml"/><Relationship Id="rId69" Type="http://schemas.openxmlformats.org/officeDocument/2006/relationships/header" Target="header12.xml"/><Relationship Id="rId8" Type="http://schemas.openxmlformats.org/officeDocument/2006/relationships/webSettings" Target="webSettings.xml"/><Relationship Id="rId51" Type="http://schemas.openxmlformats.org/officeDocument/2006/relationships/image" Target="media/image25.png"/><Relationship Id="rId72" Type="http://schemas.openxmlformats.org/officeDocument/2006/relationships/footer" Target="footer1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header" Target="header6.xm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header" Target="header11.xml"/><Relationship Id="rId20" Type="http://schemas.openxmlformats.org/officeDocument/2006/relationships/footer" Target="footer3.xm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hyperlink" Target="http://www.data.vic.gov.au" TargetMode="External"/><Relationship Id="rId70" Type="http://schemas.openxmlformats.org/officeDocument/2006/relationships/header" Target="header13.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1.png"/></Relationships>
</file>

<file path=word/_rels/header11.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4.jpg"/></Relationships>
</file>

<file path=word/_rels/header13.xml.rels><?xml version="1.0" encoding="UTF-8" standalone="yes"?>
<Relationships xmlns="http://schemas.openxmlformats.org/package/2006/relationships"><Relationship Id="rId1" Type="http://schemas.openxmlformats.org/officeDocument/2006/relationships/image" Target="media/image1.png"/></Relationships>
</file>

<file path=word/_rels/header14.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4.jp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Corporate%20Templates\Templates\Report.dotm" TargetMode="External"/></Relationships>
</file>

<file path=word/theme/theme1.xml><?xml version="1.0" encoding="utf-8"?>
<a:theme xmlns:a="http://schemas.openxmlformats.org/drawingml/2006/main" name="Jacobs">
  <a:themeElements>
    <a:clrScheme name="Jacobs">
      <a:dk1>
        <a:srgbClr val="000000"/>
      </a:dk1>
      <a:lt1>
        <a:srgbClr val="FFFFFF"/>
      </a:lt1>
      <a:dk2>
        <a:srgbClr val="333333"/>
      </a:dk2>
      <a:lt2>
        <a:srgbClr val="E5E5E5"/>
      </a:lt2>
      <a:accent1>
        <a:srgbClr val="2314DC"/>
      </a:accent1>
      <a:accent2>
        <a:srgbClr val="6F006E"/>
      </a:accent2>
      <a:accent3>
        <a:srgbClr val="D72850"/>
      </a:accent3>
      <a:accent4>
        <a:srgbClr val="FFA014"/>
      </a:accent4>
      <a:accent5>
        <a:srgbClr val="007D55"/>
      </a:accent5>
      <a:accent6>
        <a:srgbClr val="C8C8C8"/>
      </a:accent6>
      <a:hlink>
        <a:srgbClr val="2314DC"/>
      </a:hlink>
      <a:folHlink>
        <a:srgbClr val="FF8714"/>
      </a:folHlink>
    </a:clrScheme>
    <a:fontScheme name="Jacobs">
      <a:majorFont>
        <a:latin typeface="Jacobs Chronos"/>
        <a:ea typeface=""/>
        <a:cs typeface=""/>
      </a:majorFont>
      <a:minorFont>
        <a:latin typeface="Jacobs Chrono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2641FA6CE735684CBA8CD822179E2FC0" ma:contentTypeVersion="6" ma:contentTypeDescription="Create a new document." ma:contentTypeScope="" ma:versionID="c9938d598a21c5d3bce73180680f1d58">
  <xsd:schema xmlns:xsd="http://www.w3.org/2001/XMLSchema" xmlns:xs="http://www.w3.org/2001/XMLSchema" xmlns:p="http://schemas.microsoft.com/office/2006/metadata/properties" xmlns:ns2="3bc26ed7-be16-412d-973b-f27d86850363" xmlns:ns3="04ac68ae-80ef-4f46-aa3b-fd7784473956" targetNamespace="http://schemas.microsoft.com/office/2006/metadata/properties" ma:root="true" ma:fieldsID="dab753eaa75d43a738a74b0f4675f287" ns2:_="" ns3:_="">
    <xsd:import namespace="3bc26ed7-be16-412d-973b-f27d86850363"/>
    <xsd:import namespace="04ac68ae-80ef-4f46-aa3b-fd778447395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c26ed7-be16-412d-973b-f27d8685036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4ac68ae-80ef-4f46-aa3b-fd7784473956"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DDD3FB5-CA75-48A9-B03C-0BFBB96E6190}">
  <ds:schemaRefs>
    <ds:schemaRef ds:uri="http://schemas.microsoft.com/sharepoint/v3/contenttype/forms"/>
  </ds:schemaRefs>
</ds:datastoreItem>
</file>

<file path=customXml/itemProps2.xml><?xml version="1.0" encoding="utf-8"?>
<ds:datastoreItem xmlns:ds="http://schemas.openxmlformats.org/officeDocument/2006/customXml" ds:itemID="{1E57A6EC-AFFB-464C-8271-CBADBF0619FF}">
  <ds:schemaRefs>
    <ds:schemaRef ds:uri="http://schemas.openxmlformats.org/officeDocument/2006/bibliography"/>
  </ds:schemaRefs>
</ds:datastoreItem>
</file>

<file path=customXml/itemProps3.xml><?xml version="1.0" encoding="utf-8"?>
<ds:datastoreItem xmlns:ds="http://schemas.openxmlformats.org/officeDocument/2006/customXml" ds:itemID="{FE9F7EA4-FE37-4C6F-91A5-F9BDA0B233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c26ed7-be16-412d-973b-f27d86850363"/>
    <ds:schemaRef ds:uri="04ac68ae-80ef-4f46-aa3b-fd778447395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85E065D-D5BB-4B48-8EC5-FCCEB58EDFF3}">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Report.dotm</Template>
  <TotalTime>460</TotalTime>
  <Pages>92</Pages>
  <Words>36687</Words>
  <Characters>203000</Characters>
  <Application>Microsoft Office Word</Application>
  <DocSecurity>0</DocSecurity>
  <Lines>5301</Lines>
  <Paragraphs>2979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237064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Clifton, Craig A</dc:creator>
  <cp:lastModifiedBy>Nicholas M Bauer (DELWP)</cp:lastModifiedBy>
  <cp:revision>16</cp:revision>
  <cp:lastPrinted>2021-06-07T01:51:00Z</cp:lastPrinted>
  <dcterms:created xsi:type="dcterms:W3CDTF">2020-01-30T05:24:00Z</dcterms:created>
  <dcterms:modified xsi:type="dcterms:W3CDTF">2021-06-07T02:16:00Z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ver Heading">
    <vt:lpwstr>Audit of timber harvesting operations in Victoria's State forests</vt:lpwstr>
  </property>
  <property fmtid="{D5CDD505-2E9C-101B-9397-08002B2CF9AE}" pid="3" name="Cover Subheading">
    <vt:lpwstr>Report of the 2018-19 Forest Audit Program</vt:lpwstr>
  </property>
  <property fmtid="{D5CDD505-2E9C-101B-9397-08002B2CF9AE}" pid="4" name="Cover Date">
    <vt:lpwstr>February 21, 2020</vt:lpwstr>
  </property>
  <property fmtid="{D5CDD505-2E9C-101B-9397-08002B2CF9AE}" pid="5" name="Project Name">
    <vt:lpwstr>Audit of timber harvesting operations in Victoria's State forests</vt:lpwstr>
  </property>
  <property fmtid="{D5CDD505-2E9C-101B-9397-08002B2CF9AE}" pid="6" name="NewDocument">
    <vt:lpwstr>False</vt:lpwstr>
  </property>
  <property fmtid="{D5CDD505-2E9C-101B-9397-08002B2CF9AE}" pid="7" name="DocumentGroup">
    <vt:lpwstr>ProposalReport</vt:lpwstr>
  </property>
  <property fmtid="{D5CDD505-2E9C-101B-9397-08002B2CF9AE}" pid="8" name="DocumentSubGroup">
    <vt:lpwstr>Report</vt:lpwstr>
  </property>
  <property fmtid="{D5CDD505-2E9C-101B-9397-08002B2CF9AE}" pid="9" name="Document Title">
    <vt:lpwstr>Report of the 2018-19 Forest Audit Program</vt:lpwstr>
  </property>
  <property fmtid="{D5CDD505-2E9C-101B-9397-08002B2CF9AE}" pid="10" name="Date">
    <vt:lpwstr>February 21, 2020</vt:lpwstr>
  </property>
  <property fmtid="{D5CDD505-2E9C-101B-9397-08002B2CF9AE}" pid="11" name="Prepared By">
    <vt:lpwstr>Craig Clifton and Drew King</vt:lpwstr>
  </property>
  <property fmtid="{D5CDD505-2E9C-101B-9397-08002B2CF9AE}" pid="12" name="Approved By">
    <vt:lpwstr>David Endersby</vt:lpwstr>
  </property>
  <property fmtid="{D5CDD505-2E9C-101B-9397-08002B2CF9AE}" pid="13" name="Document Number">
    <vt:lpwstr>IS284400-RP-002</vt:lpwstr>
  </property>
  <property fmtid="{D5CDD505-2E9C-101B-9397-08002B2CF9AE}" pid="14" name="Revision">
    <vt:lpwstr>RevC</vt:lpwstr>
  </property>
  <property fmtid="{D5CDD505-2E9C-101B-9397-08002B2CF9AE}" pid="15" name="Cover Reference">
    <vt:lpwstr>Contract 341868</vt:lpwstr>
  </property>
  <property fmtid="{D5CDD505-2E9C-101B-9397-08002B2CF9AE}" pid="16" name="Project Manager">
    <vt:lpwstr>Craig Clifton</vt:lpwstr>
  </property>
  <property fmtid="{D5CDD505-2E9C-101B-9397-08002B2CF9AE}" pid="17" name="Client Name">
    <vt:lpwstr>Department of Environment, Land, Water and Planning</vt:lpwstr>
  </property>
  <property fmtid="{D5CDD505-2E9C-101B-9397-08002B2CF9AE}" pid="18" name="Project Number">
    <vt:lpwstr>IS284400</vt:lpwstr>
  </property>
  <property fmtid="{D5CDD505-2E9C-101B-9397-08002B2CF9AE}" pid="19" name="Client Reference">
    <vt:lpwstr>Contract 341868</vt:lpwstr>
  </property>
  <property fmtid="{D5CDD505-2E9C-101B-9397-08002B2CF9AE}" pid="20" name="CVHeading">
    <vt:lpwstr>Resume</vt:lpwstr>
  </property>
  <property fmtid="{D5CDD505-2E9C-101B-9397-08002B2CF9AE}" pid="21" name="PHHeading">
    <vt:lpwstr>Project Description</vt:lpwstr>
  </property>
  <property fmtid="{D5CDD505-2E9C-101B-9397-08002B2CF9AE}" pid="22" name="ContentTypeId">
    <vt:lpwstr>0x0101002641FA6CE735684CBA8CD822179E2FC0</vt:lpwstr>
  </property>
  <property fmtid="{D5CDD505-2E9C-101B-9397-08002B2CF9AE}" pid="23" name="DocSuitability">
    <vt:lpwstr>&lt;DocSuitability&gt;</vt:lpwstr>
  </property>
  <property fmtid="{D5CDD505-2E9C-101B-9397-08002B2CF9AE}" pid="24" name="RevisionNumber1">
    <vt:lpwstr>&lt;RevisionNumber1&gt;</vt:lpwstr>
  </property>
  <property fmtid="{D5CDD505-2E9C-101B-9397-08002B2CF9AE}" pid="25" name="RevisionNumber2">
    <vt:lpwstr>&lt;RevisionNumber2&gt;</vt:lpwstr>
  </property>
  <property fmtid="{D5CDD505-2E9C-101B-9397-08002B2CF9AE}" pid="26" name="RevisionNumber4">
    <vt:lpwstr>&lt;RevisionNumber4&gt;</vt:lpwstr>
  </property>
  <property fmtid="{D5CDD505-2E9C-101B-9397-08002B2CF9AE}" pid="27" name="RevisionNumber5">
    <vt:lpwstr>&lt;RevisionNumber5&gt;</vt:lpwstr>
  </property>
  <property fmtid="{D5CDD505-2E9C-101B-9397-08002B2CF9AE}" pid="28" name="RevisionNumber6">
    <vt:lpwstr>&lt;RevisionNumber6&gt;</vt:lpwstr>
  </property>
  <property fmtid="{D5CDD505-2E9C-101B-9397-08002B2CF9AE}" pid="29" name="RevisionNumber3">
    <vt:lpwstr>&lt;RevisionNumber3&gt;</vt:lpwstr>
  </property>
  <property fmtid="{D5CDD505-2E9C-101B-9397-08002B2CF9AE}" pid="30" name="RevisionDescription1">
    <vt:lpwstr>&lt;RevisionDescription1&gt;</vt:lpwstr>
  </property>
  <property fmtid="{D5CDD505-2E9C-101B-9397-08002B2CF9AE}" pid="31" name="RevisionDescription2">
    <vt:lpwstr>&lt;RevisionDescription2&gt;</vt:lpwstr>
  </property>
  <property fmtid="{D5CDD505-2E9C-101B-9397-08002B2CF9AE}" pid="32" name="RevisionDescription3">
    <vt:lpwstr>&lt;RevisionDescription3&gt;</vt:lpwstr>
  </property>
  <property fmtid="{D5CDD505-2E9C-101B-9397-08002B2CF9AE}" pid="33" name="RevisionDescription4">
    <vt:lpwstr>&lt;RevisionDescription4&gt;</vt:lpwstr>
  </property>
  <property fmtid="{D5CDD505-2E9C-101B-9397-08002B2CF9AE}" pid="34" name="RevisionDescription5">
    <vt:lpwstr>&lt;RevisionDescription5&gt;</vt:lpwstr>
  </property>
  <property fmtid="{D5CDD505-2E9C-101B-9397-08002B2CF9AE}" pid="35" name="RevisionDescription6">
    <vt:lpwstr>&lt;RevisionDescription6&gt;</vt:lpwstr>
  </property>
  <property fmtid="{D5CDD505-2E9C-101B-9397-08002B2CF9AE}" pid="36" name="RevisionBy1">
    <vt:lpwstr>&lt;RevisionBy1&gt;</vt:lpwstr>
  </property>
  <property fmtid="{D5CDD505-2E9C-101B-9397-08002B2CF9AE}" pid="37" name="RevisionBy2">
    <vt:lpwstr>&lt;RevisionBy2&gt;</vt:lpwstr>
  </property>
  <property fmtid="{D5CDD505-2E9C-101B-9397-08002B2CF9AE}" pid="38" name="RevisionBy3">
    <vt:lpwstr>&lt;RevisionBy3&gt;</vt:lpwstr>
  </property>
  <property fmtid="{D5CDD505-2E9C-101B-9397-08002B2CF9AE}" pid="39" name="RevisionBy4">
    <vt:lpwstr>&lt;RevisionBy4&gt;</vt:lpwstr>
  </property>
  <property fmtid="{D5CDD505-2E9C-101B-9397-08002B2CF9AE}" pid="40" name="RevisionBy6">
    <vt:lpwstr>&lt;RevisionBy6&gt;</vt:lpwstr>
  </property>
  <property fmtid="{D5CDD505-2E9C-101B-9397-08002B2CF9AE}" pid="41" name="RevisionCheck1">
    <vt:lpwstr>&lt;RevisionCheck1&gt;</vt:lpwstr>
  </property>
  <property fmtid="{D5CDD505-2E9C-101B-9397-08002B2CF9AE}" pid="42" name="RevisionCheck2">
    <vt:lpwstr>&lt;RevisionCheck2&gt;</vt:lpwstr>
  </property>
  <property fmtid="{D5CDD505-2E9C-101B-9397-08002B2CF9AE}" pid="43" name="RevisionCheck3">
    <vt:lpwstr>&lt;RevisionCheck3&gt;</vt:lpwstr>
  </property>
  <property fmtid="{D5CDD505-2E9C-101B-9397-08002B2CF9AE}" pid="44" name="RevisionCheck4">
    <vt:lpwstr>&lt;RevisionCheck4&gt;</vt:lpwstr>
  </property>
  <property fmtid="{D5CDD505-2E9C-101B-9397-08002B2CF9AE}" pid="45" name="RevisionCheck5">
    <vt:lpwstr>&lt;RevisionCheck5&gt;</vt:lpwstr>
  </property>
  <property fmtid="{D5CDD505-2E9C-101B-9397-08002B2CF9AE}" pid="46" name="RevisionCheck6">
    <vt:lpwstr>&lt;RevisionCheck6&gt;</vt:lpwstr>
  </property>
  <property fmtid="{D5CDD505-2E9C-101B-9397-08002B2CF9AE}" pid="47" name="RevisionRev1">
    <vt:lpwstr>&lt;RevisionRev1&gt;</vt:lpwstr>
  </property>
  <property fmtid="{D5CDD505-2E9C-101B-9397-08002B2CF9AE}" pid="48" name="RevisionRev2">
    <vt:lpwstr>&lt;RevisionRev2&gt;</vt:lpwstr>
  </property>
  <property fmtid="{D5CDD505-2E9C-101B-9397-08002B2CF9AE}" pid="49" name="RevisionRev3">
    <vt:lpwstr>&lt;RevisionRev3&gt;</vt:lpwstr>
  </property>
  <property fmtid="{D5CDD505-2E9C-101B-9397-08002B2CF9AE}" pid="50" name="RevisionRev4">
    <vt:lpwstr>&lt;RevisionRev4&gt;</vt:lpwstr>
  </property>
  <property fmtid="{D5CDD505-2E9C-101B-9397-08002B2CF9AE}" pid="51" name="RevisionRev5">
    <vt:lpwstr>&lt;RevisionRev5&gt;</vt:lpwstr>
  </property>
  <property fmtid="{D5CDD505-2E9C-101B-9397-08002B2CF9AE}" pid="52" name="RevisionApproved1">
    <vt:lpwstr>&lt;RevisionApproved1&gt;</vt:lpwstr>
  </property>
  <property fmtid="{D5CDD505-2E9C-101B-9397-08002B2CF9AE}" pid="53" name="RevisionApproved2">
    <vt:lpwstr>&lt;RevisionApproved2&gt;</vt:lpwstr>
  </property>
  <property fmtid="{D5CDD505-2E9C-101B-9397-08002B2CF9AE}" pid="54" name="RevisionApproved3">
    <vt:lpwstr>&lt;RevisionApproved3&gt;</vt:lpwstr>
  </property>
  <property fmtid="{D5CDD505-2E9C-101B-9397-08002B2CF9AE}" pid="55" name="RevisionApproved4">
    <vt:lpwstr>&lt;RevisionApproved4&gt;</vt:lpwstr>
  </property>
  <property fmtid="{D5CDD505-2E9C-101B-9397-08002B2CF9AE}" pid="56" name="RevisionApproved5">
    <vt:lpwstr>&lt;RevisionApproved5&gt;</vt:lpwstr>
  </property>
  <property fmtid="{D5CDD505-2E9C-101B-9397-08002B2CF9AE}" pid="57" name="RevisionApproved6">
    <vt:lpwstr>&lt;RevisionApproved6&gt;</vt:lpwstr>
  </property>
  <property fmtid="{D5CDD505-2E9C-101B-9397-08002B2CF9AE}" pid="58" name="RevisionBy5">
    <vt:lpwstr>&lt;RevisionBy5&gt;</vt:lpwstr>
  </property>
  <property fmtid="{D5CDD505-2E9C-101B-9397-08002B2CF9AE}" pid="59" name="RevisionRev6">
    <vt:lpwstr>&lt;RevisionRev6&gt;</vt:lpwstr>
  </property>
  <property fmtid="{D5CDD505-2E9C-101B-9397-08002B2CF9AE}" pid="60" name="RevisionDate1">
    <vt:lpwstr>&lt;RevisionDate1&gt;</vt:lpwstr>
  </property>
  <property fmtid="{D5CDD505-2E9C-101B-9397-08002B2CF9AE}" pid="61" name="RevisionDate2">
    <vt:lpwstr>&lt;RevisionDate2&gt;</vt:lpwstr>
  </property>
  <property fmtid="{D5CDD505-2E9C-101B-9397-08002B2CF9AE}" pid="62" name="RevisionDate3">
    <vt:lpwstr>&lt;RevisionDate3&gt;</vt:lpwstr>
  </property>
  <property fmtid="{D5CDD505-2E9C-101B-9397-08002B2CF9AE}" pid="63" name="RevisionDate4">
    <vt:lpwstr>&lt;RevisionDate4&gt;</vt:lpwstr>
  </property>
  <property fmtid="{D5CDD505-2E9C-101B-9397-08002B2CF9AE}" pid="64" name="RevisionDate5">
    <vt:lpwstr>&lt;RevisionDate5&gt;</vt:lpwstr>
  </property>
  <property fmtid="{D5CDD505-2E9C-101B-9397-08002B2CF9AE}" pid="65" name="RevisionDate6">
    <vt:lpwstr>&lt;RevisionDate6&gt;</vt:lpwstr>
  </property>
  <property fmtid="{D5CDD505-2E9C-101B-9397-08002B2CF9AE}" pid="66" name="Document Type">
    <vt:lpwstr>Report</vt:lpwstr>
  </property>
  <property fmtid="{D5CDD505-2E9C-101B-9397-08002B2CF9AE}" pid="67" name="MSIP_Label_4257e2ab-f512-40e2-9c9a-c64247360765_Enabled">
    <vt:lpwstr>true</vt:lpwstr>
  </property>
  <property fmtid="{D5CDD505-2E9C-101B-9397-08002B2CF9AE}" pid="68" name="MSIP_Label_4257e2ab-f512-40e2-9c9a-c64247360765_SetDate">
    <vt:lpwstr>2021-06-07T01:43:25Z</vt:lpwstr>
  </property>
  <property fmtid="{D5CDD505-2E9C-101B-9397-08002B2CF9AE}" pid="69" name="MSIP_Label_4257e2ab-f512-40e2-9c9a-c64247360765_Method">
    <vt:lpwstr>Privileged</vt:lpwstr>
  </property>
  <property fmtid="{D5CDD505-2E9C-101B-9397-08002B2CF9AE}" pid="70" name="MSIP_Label_4257e2ab-f512-40e2-9c9a-c64247360765_Name">
    <vt:lpwstr>OFFICIAL</vt:lpwstr>
  </property>
  <property fmtid="{D5CDD505-2E9C-101B-9397-08002B2CF9AE}" pid="71" name="MSIP_Label_4257e2ab-f512-40e2-9c9a-c64247360765_SiteId">
    <vt:lpwstr>e8bdd6f7-fc18-4e48-a554-7f547927223b</vt:lpwstr>
  </property>
  <property fmtid="{D5CDD505-2E9C-101B-9397-08002B2CF9AE}" pid="72" name="MSIP_Label_4257e2ab-f512-40e2-9c9a-c64247360765_ActionId">
    <vt:lpwstr>bc84f084-49e4-4867-91f7-12ad17e49ac7</vt:lpwstr>
  </property>
  <property fmtid="{D5CDD505-2E9C-101B-9397-08002B2CF9AE}" pid="73" name="MSIP_Label_4257e2ab-f512-40e2-9c9a-c64247360765_ContentBits">
    <vt:lpwstr>2</vt:lpwstr>
  </property>
</Properties>
</file>