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6E32D" w14:textId="77777777" w:rsidR="001E349B" w:rsidRPr="00A419C1" w:rsidRDefault="008B20E8" w:rsidP="00DD2D34">
      <w:pPr>
        <w:pStyle w:val="BodyCopyNEW"/>
      </w:pPr>
      <w:r w:rsidRPr="00A419C1">
        <w:rPr>
          <w:noProof/>
          <w:lang w:eastAsia="en-AU"/>
        </w:rPr>
        <w:drawing>
          <wp:anchor distT="0" distB="0" distL="114300" distR="114300" simplePos="0" relativeHeight="251658243" behindDoc="0" locked="0" layoutInCell="1" allowOverlap="1" wp14:anchorId="121F2EDF" wp14:editId="60E6D1D3">
            <wp:simplePos x="0" y="0"/>
            <wp:positionH relativeFrom="page">
              <wp:posOffset>431800</wp:posOffset>
            </wp:positionH>
            <wp:positionV relativeFrom="page">
              <wp:posOffset>431800</wp:posOffset>
            </wp:positionV>
            <wp:extent cx="3185786" cy="914400"/>
            <wp:effectExtent l="0" t="0" r="0" b="0"/>
            <wp:wrapNone/>
            <wp:docPr id="1" name="Frontpage_Logo_Negativ"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page_Logo_Negativ" hidden="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5786"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637E0" w14:textId="74FF9D0E" w:rsidR="001E349B" w:rsidRPr="00A419C1" w:rsidRDefault="001E349B" w:rsidP="001E349B">
      <w:r w:rsidRPr="00A419C1">
        <w:rPr>
          <w:noProof/>
          <w:lang w:eastAsia="en-AU"/>
        </w:rPr>
        <mc:AlternateContent>
          <mc:Choice Requires="wps">
            <w:drawing>
              <wp:anchor distT="0" distB="0" distL="114300" distR="114300" simplePos="0" relativeHeight="251658241" behindDoc="1" locked="1" layoutInCell="1" allowOverlap="1" wp14:anchorId="66ED7840" wp14:editId="120C7095">
                <wp:simplePos x="0" y="0"/>
                <wp:positionH relativeFrom="page">
                  <wp:posOffset>3838575</wp:posOffset>
                </wp:positionH>
                <wp:positionV relativeFrom="page">
                  <wp:posOffset>702310</wp:posOffset>
                </wp:positionV>
                <wp:extent cx="7595870" cy="10727690"/>
                <wp:effectExtent l="0" t="0" r="5080" b="0"/>
                <wp:wrapNone/>
                <wp:docPr id="35" name="Frontpag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5870" cy="1072769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62D9D" w14:textId="3E2FC7D6" w:rsidR="00FC517B" w:rsidRDefault="00FC517B" w:rsidP="00F12E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D7840" id="FrontpageBackground" o:spid="_x0000_s1026" alt="&quot;&quot;" style="position:absolute;margin-left:302.25pt;margin-top:55.3pt;width:598.1pt;height:844.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NpowIAAJkFAAAOAAAAZHJzL2Uyb0RvYy54bWysVFtP2zAUfp+0/2D5fSTtKIWKFHWgTpMQ&#10;oMHEs+s4TTTHxzt2m3S/fsfOhY6hPUzLg3Ps85375fKqrTXbK3QVmIxPTlLOlJGQV2ab8W9P6w/n&#10;nDkvTC40GJXxg3L8avn+3WVjF2oKJehcISMlxi0am/HSe7tIEidLVQt3AlYZYhaAtfB0xW2So2hI&#10;e62TaZqeJQ1gbhGkco5ebzomX0b9RaGkvy8KpzzTGSfffDwxnptwJstLsdiisGUlezfEP3hRi8qQ&#10;0VHVjfCC7bD6Q1VdSQQHhT+RUCdQFJVUMQaKZpK+iuaxFFbFWCg5zo5pcv9PrbzbPyCr8ox/nHFm&#10;RE01WiMYb8VWfRLy+xZhZ/KQp8a6BcEf7QP2N0dkCLotsA5/Coe1MbeHMbeq9UzS43x2MTufUwkk&#10;8SbpfDo/u4jpT17kLTr/WUHNApFxpOrFpIr9rfNkk6ADJJhzoKt8XWkdL7jdXGtke0GVXscvOE0i&#10;v8G0CWADQaxjh5ckxNZFEyl/0CrgtPmqCsoO+T+NnsS+VKMdIaUyftKxSpGrzvwspW+wHjo5SERf&#10;osKguSD7o+5ewYDslAy6Oy97fBBVsa1H4fRvjnXCo0S0TMUdhevKAL6lQFNUveUOPySpS03Ikm83&#10;LUECuYH8QG2E0M2Xs3JdUQlvhfMPAmmgqO60JPw9HYWGJuPQU5yVgD/feg946nPictbQgGbc/dgJ&#10;VJzpL4Ym4GJyehomOl5OZ/MpXfCYsznmmF19DdQZE1pHVkYy4L0eyAKhfqZdsgpWiSWMJNsZ9wN5&#10;7bu1QbtIqtUqgmiGrfC35tHKoDqkNzToU/ss0PZd7GkC7mAYZbF41cwdNkgaWO08FFXs9Jes9omn&#10;+Y8d1O+qsGCO7xH1slGXvwAAAP//AwBQSwMEFAAGAAgAAAAhANJEh0TdAAAADQEAAA8AAABkcnMv&#10;ZG93bnJldi54bWxMj8FOwzAMhu9IvENkJG4sKYJ2Kk0nhAQndqBw4eY1pq2WOFWTbeHtycQBbrb+&#10;T78/N5vkrDjSEibPGoqVAkHcezPxoOHj/flmDSJEZIPWM2n4pgCb9vKiwdr4E7/RsYuDyCUcatQw&#10;xjjXUoZ+JIdh5WfinH35xWHM6zJIs+Aplzsrb5UqpcOJ84URZ3oaqd93B6dB7qvXfltGV6H9TOlF&#10;VsW2W7S+vkqPDyAipfgHw1k/q0ObnXb+wCYIq6FUd/cZzUGhShBnYq1UBWL3OymQbSP/f9H+AAAA&#10;//8DAFBLAQItABQABgAIAAAAIQC2gziS/gAAAOEBAAATAAAAAAAAAAAAAAAAAAAAAABbQ29udGVu&#10;dF9UeXBlc10ueG1sUEsBAi0AFAAGAAgAAAAhADj9If/WAAAAlAEAAAsAAAAAAAAAAAAAAAAALwEA&#10;AF9yZWxzLy5yZWxzUEsBAi0AFAAGAAgAAAAhACAnE2mjAgAAmQUAAA4AAAAAAAAAAAAAAAAALgIA&#10;AGRycy9lMm9Eb2MueG1sUEsBAi0AFAAGAAgAAAAhANJEh0TdAAAADQEAAA8AAAAAAAAAAAAAAAAA&#10;/QQAAGRycy9kb3ducmV2LnhtbFBLBQYAAAAABAAEAPMAAAAHBgAAAAA=&#10;" stroked="f" strokeweight="2pt">
                <v:textbox>
                  <w:txbxContent>
                    <w:p w14:paraId="60A62D9D" w14:textId="3E2FC7D6" w:rsidR="00FC517B" w:rsidRDefault="00FC517B" w:rsidP="00F12EFB">
                      <w:pPr>
                        <w:jc w:val="center"/>
                      </w:pPr>
                    </w:p>
                  </w:txbxContent>
                </v:textbox>
                <w10:wrap anchorx="page" anchory="page"/>
                <w10:anchorlock/>
              </v:rect>
            </w:pict>
          </mc:Fallback>
        </mc:AlternateContent>
      </w:r>
      <w:r w:rsidRPr="00A419C1">
        <w:rPr>
          <w:noProof/>
          <w:lang w:eastAsia="en-AU"/>
        </w:rPr>
        <mc:AlternateContent>
          <mc:Choice Requires="wps">
            <w:drawing>
              <wp:anchor distT="0" distB="0" distL="114300" distR="114300" simplePos="0" relativeHeight="251658242" behindDoc="0" locked="1" layoutInCell="1" allowOverlap="1" wp14:anchorId="731F30F8" wp14:editId="0A4E6742">
                <wp:simplePos x="0" y="0"/>
                <wp:positionH relativeFrom="margin">
                  <wp:align>left</wp:align>
                </wp:positionH>
                <wp:positionV relativeFrom="page">
                  <wp:posOffset>685165</wp:posOffset>
                </wp:positionV>
                <wp:extent cx="6746875" cy="9420225"/>
                <wp:effectExtent l="0" t="0" r="0" b="9525"/>
                <wp:wrapNone/>
                <wp:docPr id="36" name="Logo and frontpag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46875" cy="9420225"/>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FC517B" w:rsidRPr="00AA1B91" w14:paraId="382C16BD" w14:textId="77777777" w:rsidTr="00267CD1">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03ADA8A9" w14:textId="4A123D66" w:rsidR="00FC517B" w:rsidRPr="00AA1B91" w:rsidRDefault="00FC517B" w:rsidP="00267CD1">
                                  <w:r>
                                    <w:rPr>
                                      <w:noProof/>
                                    </w:rPr>
                                    <w:drawing>
                                      <wp:inline distT="0" distB="0" distL="0" distR="0" wp14:anchorId="38CA5808" wp14:editId="0247D14F">
                                        <wp:extent cx="2085975" cy="914400"/>
                                        <wp:effectExtent l="0" t="0" r="0" b="0"/>
                                        <wp:docPr id="1630120638"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30120638" name="Frontpage_Logo_Positiv">
                                                  <a:extLst>
                                                    <a:ext uri="{C183D7F6-B498-43B3-948B-1728B52AA6E4}">
                                                      <adec:decorative xmlns:adec="http://schemas.microsoft.com/office/drawing/2017/decorative" val="1"/>
                                                    </a:ext>
                                                  </a:extLst>
                                                </pic:cNvPr>
                                                <pic:cNvPicPr/>
                                              </pic:nvPicPr>
                                              <pic:blipFill>
                                                <a:blip r:embed="rId13"/>
                                                <a:srcRect/>
                                                <a:stretch/>
                                              </pic:blipFill>
                                              <pic:spPr>
                                                <a:xfrm>
                                                  <a:off x="0" y="0"/>
                                                  <a:ext cx="2085975" cy="914400"/>
                                                </a:xfrm>
                                                <a:prstGeom prst="rect">
                                                  <a:avLst/>
                                                </a:prstGeom>
                                              </pic:spPr>
                                            </pic:pic>
                                          </a:graphicData>
                                        </a:graphic>
                                      </wp:inline>
                                    </w:drawing>
                                  </w:r>
                                </w:p>
                              </w:tc>
                            </w:tr>
                            <w:tr w:rsidR="00FC517B" w:rsidRPr="00AA1B91" w14:paraId="25A94B7C" w14:textId="77777777" w:rsidTr="00981018">
                              <w:trPr>
                                <w:trHeight w:hRule="exact" w:val="10603"/>
                              </w:trPr>
                              <w:tc>
                                <w:tcPr>
                                  <w:tcW w:w="10603" w:type="dxa"/>
                                </w:tcPr>
                                <w:p w14:paraId="0E71251C" w14:textId="2C7EB345" w:rsidR="00FC517B" w:rsidRPr="00AA1B91" w:rsidRDefault="00FC517B" w:rsidP="00267CD1">
                                  <w:pPr>
                                    <w:pStyle w:val="FPPicture"/>
                                  </w:pPr>
                                  <w:r w:rsidRPr="00FC24D4">
                                    <w:rPr>
                                      <w:noProof/>
                                      <w:lang w:eastAsia="en-AU"/>
                                    </w:rPr>
                                    <w:drawing>
                                      <wp:inline distT="0" distB="0" distL="0" distR="0" wp14:anchorId="62B28E5F" wp14:editId="18357AA0">
                                        <wp:extent cx="6732905" cy="6282690"/>
                                        <wp:effectExtent l="0" t="0" r="0" b="3810"/>
                                        <wp:docPr id="19" name="Picture Placeholde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laceholder 8">
                                                  <a:extLst>
                                                    <a:ext uri="{C183D7F6-B498-43B3-948B-1728B52AA6E4}">
                                                      <adec:decorative xmlns:adec="http://schemas.microsoft.com/office/drawing/2017/decorative" val="1"/>
                                                    </a:ext>
                                                  </a:extLst>
                                                </pic:cNvPr>
                                                <pic:cNvPicPr>
                                                  <a:picLocks noChangeAspect="1"/>
                                                </pic:cNvPicPr>
                                              </pic:nvPicPr>
                                              <pic:blipFill rotWithShape="1">
                                                <a:blip r:embed="rId14">
                                                  <a:extLst>
                                                    <a:ext uri="{28A0092B-C50C-407E-A947-70E740481C1C}">
                                                      <a14:useLocalDpi xmlns:a14="http://schemas.microsoft.com/office/drawing/2010/main" val="0"/>
                                                    </a:ext>
                                                  </a:extLst>
                                                </a:blip>
                                                <a:srcRect t="5713"/>
                                                <a:stretch/>
                                              </pic:blipFill>
                                              <pic:spPr>
                                                <a:xfrm>
                                                  <a:off x="0" y="0"/>
                                                  <a:ext cx="6732905" cy="6282690"/>
                                                </a:xfrm>
                                                <a:prstGeom prst="rect">
                                                  <a:avLst/>
                                                </a:prstGeom>
                                                <a:solidFill>
                                                  <a:schemeClr val="bg1"/>
                                                </a:solidFill>
                                              </pic:spPr>
                                            </pic:pic>
                                          </a:graphicData>
                                        </a:graphic>
                                      </wp:inline>
                                    </w:drawing>
                                  </w:r>
                                </w:p>
                              </w:tc>
                            </w:tr>
                          </w:tbl>
                          <w:p w14:paraId="6AC1A33E" w14:textId="77777777" w:rsidR="00FC517B" w:rsidRDefault="00FC517B" w:rsidP="00981018">
                            <w:pPr>
                              <w:pStyle w:val="NoSpacing"/>
                            </w:pPr>
                          </w:p>
                          <w:p w14:paraId="21A08181" w14:textId="77777777" w:rsidR="00FC517B" w:rsidRPr="00AA1B91" w:rsidRDefault="00FC517B"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FC517B" w14:paraId="18ED8772" w14:textId="77777777" w:rsidTr="00267CD1">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bookmarkStart w:id="0" w:name="start" w:displacedByCustomXml="next"/>
                                <w:sdt>
                                  <w:sdt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p w14:paraId="2594EEA2" w14:textId="65C83AC8" w:rsidR="00FC517B" w:rsidRPr="00A96769" w:rsidRDefault="00FC517B" w:rsidP="00267CD1">
                                      <w:pPr>
                                        <w:pStyle w:val="Documenttitle"/>
                                      </w:pPr>
                                      <w:r>
                                        <w:t>Proposed Petroleum Regulations - Regulatory Impact Statement</w:t>
                                      </w:r>
                                    </w:p>
                                  </w:sdtContent>
                                </w:sdt>
                                <w:bookmarkEnd w:id="0" w:displacedByCustomXml="prev"/>
                                <w:p w14:paraId="5D937C3D" w14:textId="17ACDBF7" w:rsidR="00FC517B" w:rsidRDefault="00FC517B" w:rsidP="005D3CA2">
                                  <w:pPr>
                                    <w:pStyle w:val="Documentsubtitle"/>
                                  </w:pPr>
                                  <w:r>
                                    <w:t>Proposed Petroleum Regulations 2021</w:t>
                                  </w:r>
                                </w:p>
                                <w:p w14:paraId="7E12239F" w14:textId="05DA6015" w:rsidR="00FC517B" w:rsidRDefault="00FC517B" w:rsidP="005D3CA2">
                                  <w:pPr>
                                    <w:pStyle w:val="Documentdate"/>
                                  </w:pPr>
                                  <w:r>
                                    <w:t>May 2021</w:t>
                                  </w:r>
                                </w:p>
                              </w:tc>
                            </w:tr>
                          </w:tbl>
                          <w:p w14:paraId="6B71DD7A" w14:textId="77777777" w:rsidR="00FC517B" w:rsidRPr="00AA1B91" w:rsidRDefault="00FC517B" w:rsidP="001E34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F30F8" id="_x0000_t202" coordsize="21600,21600" o:spt="202" path="m,l,21600r21600,l21600,xe">
                <v:stroke joinstyle="miter"/>
                <v:path gradientshapeok="t" o:connecttype="rect"/>
              </v:shapetype>
              <v:shape id="Logo and frontpagepicture" o:spid="_x0000_s1027" type="#_x0000_t202" alt="&quot;&quot;" style="position:absolute;margin-left:0;margin-top:53.95pt;width:531.25pt;height:741.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2OhAIAAGoFAAAOAAAAZHJzL2Uyb0RvYy54bWysVN9P2zAQfp+0/8Hy+0gpUFhFijoQ06QK&#10;0MrEs+vYbTTb59nXJt1fz9lJCmJ7YdqLc/H98N13393lVWsN26kQa3AlPz4acaachKp265L/eLz9&#10;dMFZROEqYcCpku9V5Fezjx8uGz9VY9iAqVRgFMTFaeNLvkH006KIcqOsiEfglSOlhmAF0m9YF1UQ&#10;DUW3phiPRpOigVD5AFLFSLc3nZLPcnytlcR7raNCZkpOuWE+Qz5X6Sxml2K6DsJvatmnIf4hCytq&#10;R48eQt0IFGwb6j9C2VoGiKDxSIItQOtaqlwDVXM8elPNciO8yrUQONEfYIr/L6y82z0EVlclP5lw&#10;5oSlHi1gDYxaxnQAh16sla8lboNKaDU+Tslp6ckN2y/QUteH+0iXCYRWB5u+VB4jPeG+P2CtWmSS&#10;Lifnp5OL8zPOJOk+n45H4/FZilO8uPsQ8asCy5JQ8kDNzBiL3SJiZzqYpNcc3NbG5IYaxxp64uRs&#10;lB0OGgpuXLJVmRp9mFRSl3qWcG9UsjHuu9IETa4gXWRSqmsT2E4QnYSUymEuPscl62SlKYn3OPb2&#10;L1m9x7mrY3iZunVwtrWDkKt/k3b1c0hZd/aE+au6k4jtqs2cOHR2BdWeGh6gG6Do5W1NTVmIiA8i&#10;0MRQj2kL4D0d2gCBD73E2QbC77/dJ3siMmk5a2gCSx5/bQWxjJlvjiiexnUQwiCsBsFt7TVQF45p&#10;v3iZRXIIaAaRyGufaDnM0yukEk7SWyXHQbzGbg/QcpFqPs9GNJRe4MItvUyhU1MSxR7bJxF8z0Mk&#10;Ct/BMJti+oaOnW3ydDDfIug6czXh2qHY400DndneL5+0MV7/Z6uXFTl7BgAA//8DAFBLAwQUAAYA&#10;CAAAACEAI5l3SOAAAAAKAQAADwAAAGRycy9kb3ducmV2LnhtbEyPwU7DMBBE70j8g7VI3KidiBYS&#10;4lQICZB6SwtI3Jx4caLG6yh2k/D3uKdy290Zzb4ptovt2YSj7xxJSFYCGFLjdEdGwsfh9e4RmA+K&#10;tOodoYRf9LAtr68KlWs3U4XTPhgWQ8jnSkIbwpBz7psWrfIrNyBF7ceNVoW4jobrUc0x3PY8FWLD&#10;reoofmjVgC8tNsf9yUo4tLOpv6v0vXnzu8mZKjl+ZZ9S3t4sz0/AAi7hYoYzfkSHMjLV7kTas15C&#10;LBLiVTxkwM6y2KRrYHWc1llyD7ws+P8K5R8AAAD//wMAUEsBAi0AFAAGAAgAAAAhALaDOJL+AAAA&#10;4QEAABMAAAAAAAAAAAAAAAAAAAAAAFtDb250ZW50X1R5cGVzXS54bWxQSwECLQAUAAYACAAAACEA&#10;OP0h/9YAAACUAQAACwAAAAAAAAAAAAAAAAAvAQAAX3JlbHMvLnJlbHNQSwECLQAUAAYACAAAACEA&#10;3GRNjoQCAABqBQAADgAAAAAAAAAAAAAAAAAuAgAAZHJzL2Uyb0RvYy54bWxQSwECLQAUAAYACAAA&#10;ACEAI5l3SOAAAAAKAQAADwAAAAAAAAAAAAAAAADeBAAAZHJzL2Rvd25yZXYueG1sUEsFBgAAAAAE&#10;AAQA8wAAAOsFA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FC517B" w:rsidRPr="00AA1B91" w14:paraId="382C16BD" w14:textId="77777777" w:rsidTr="00267CD1">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03ADA8A9" w14:textId="4A123D66" w:rsidR="00FC517B" w:rsidRPr="00AA1B91" w:rsidRDefault="00FC517B" w:rsidP="00267CD1">
                            <w:r>
                              <w:rPr>
                                <w:noProof/>
                              </w:rPr>
                              <w:drawing>
                                <wp:inline distT="0" distB="0" distL="0" distR="0" wp14:anchorId="38CA5808" wp14:editId="0247D14F">
                                  <wp:extent cx="2085975" cy="914400"/>
                                  <wp:effectExtent l="0" t="0" r="0" b="0"/>
                                  <wp:docPr id="1630120638"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30120638" name="Frontpage_Logo_Positiv">
                                            <a:extLst>
                                              <a:ext uri="{C183D7F6-B498-43B3-948B-1728B52AA6E4}">
                                                <adec:decorative xmlns:adec="http://schemas.microsoft.com/office/drawing/2017/decorative" val="1"/>
                                              </a:ext>
                                            </a:extLst>
                                          </pic:cNvPr>
                                          <pic:cNvPicPr/>
                                        </pic:nvPicPr>
                                        <pic:blipFill>
                                          <a:blip r:embed="rId13"/>
                                          <a:srcRect/>
                                          <a:stretch/>
                                        </pic:blipFill>
                                        <pic:spPr>
                                          <a:xfrm>
                                            <a:off x="0" y="0"/>
                                            <a:ext cx="2085975" cy="914400"/>
                                          </a:xfrm>
                                          <a:prstGeom prst="rect">
                                            <a:avLst/>
                                          </a:prstGeom>
                                        </pic:spPr>
                                      </pic:pic>
                                    </a:graphicData>
                                  </a:graphic>
                                </wp:inline>
                              </w:drawing>
                            </w:r>
                          </w:p>
                        </w:tc>
                      </w:tr>
                      <w:tr w:rsidR="00FC517B" w:rsidRPr="00AA1B91" w14:paraId="25A94B7C" w14:textId="77777777" w:rsidTr="00981018">
                        <w:trPr>
                          <w:trHeight w:hRule="exact" w:val="10603"/>
                        </w:trPr>
                        <w:tc>
                          <w:tcPr>
                            <w:tcW w:w="10603" w:type="dxa"/>
                          </w:tcPr>
                          <w:p w14:paraId="0E71251C" w14:textId="2C7EB345" w:rsidR="00FC517B" w:rsidRPr="00AA1B91" w:rsidRDefault="00FC517B" w:rsidP="00267CD1">
                            <w:pPr>
                              <w:pStyle w:val="FPPicture"/>
                            </w:pPr>
                            <w:r w:rsidRPr="00FC24D4">
                              <w:rPr>
                                <w:noProof/>
                                <w:lang w:eastAsia="en-AU"/>
                              </w:rPr>
                              <w:drawing>
                                <wp:inline distT="0" distB="0" distL="0" distR="0" wp14:anchorId="62B28E5F" wp14:editId="18357AA0">
                                  <wp:extent cx="6732905" cy="6282690"/>
                                  <wp:effectExtent l="0" t="0" r="0" b="3810"/>
                                  <wp:docPr id="19" name="Picture Placeholde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laceholder 8">
                                            <a:extLst>
                                              <a:ext uri="{C183D7F6-B498-43B3-948B-1728B52AA6E4}">
                                                <adec:decorative xmlns:adec="http://schemas.microsoft.com/office/drawing/2017/decorative" val="1"/>
                                              </a:ext>
                                            </a:extLst>
                                          </pic:cNvPr>
                                          <pic:cNvPicPr>
                                            <a:picLocks noChangeAspect="1"/>
                                          </pic:cNvPicPr>
                                        </pic:nvPicPr>
                                        <pic:blipFill rotWithShape="1">
                                          <a:blip r:embed="rId14">
                                            <a:extLst>
                                              <a:ext uri="{28A0092B-C50C-407E-A947-70E740481C1C}">
                                                <a14:useLocalDpi xmlns:a14="http://schemas.microsoft.com/office/drawing/2010/main" val="0"/>
                                              </a:ext>
                                            </a:extLst>
                                          </a:blip>
                                          <a:srcRect t="5713"/>
                                          <a:stretch/>
                                        </pic:blipFill>
                                        <pic:spPr>
                                          <a:xfrm>
                                            <a:off x="0" y="0"/>
                                            <a:ext cx="6732905" cy="6282690"/>
                                          </a:xfrm>
                                          <a:prstGeom prst="rect">
                                            <a:avLst/>
                                          </a:prstGeom>
                                          <a:solidFill>
                                            <a:schemeClr val="bg1"/>
                                          </a:solidFill>
                                        </pic:spPr>
                                      </pic:pic>
                                    </a:graphicData>
                                  </a:graphic>
                                </wp:inline>
                              </w:drawing>
                            </w:r>
                          </w:p>
                        </w:tc>
                      </w:tr>
                    </w:tbl>
                    <w:p w14:paraId="6AC1A33E" w14:textId="77777777" w:rsidR="00FC517B" w:rsidRDefault="00FC517B" w:rsidP="00981018">
                      <w:pPr>
                        <w:pStyle w:val="NoSpacing"/>
                      </w:pPr>
                    </w:p>
                    <w:p w14:paraId="21A08181" w14:textId="77777777" w:rsidR="00FC517B" w:rsidRPr="00AA1B91" w:rsidRDefault="00FC517B"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FC517B" w14:paraId="18ED8772" w14:textId="77777777" w:rsidTr="00267CD1">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bookmarkStart w:id="1" w:name="start" w:displacedByCustomXml="next"/>
                          <w:sdt>
                            <w:sdt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p w14:paraId="2594EEA2" w14:textId="65C83AC8" w:rsidR="00FC517B" w:rsidRPr="00A96769" w:rsidRDefault="00FC517B" w:rsidP="00267CD1">
                                <w:pPr>
                                  <w:pStyle w:val="Documenttitle"/>
                                </w:pPr>
                                <w:r>
                                  <w:t>Proposed Petroleum Regulations - Regulatory Impact Statement</w:t>
                                </w:r>
                              </w:p>
                            </w:sdtContent>
                          </w:sdt>
                          <w:bookmarkEnd w:id="1" w:displacedByCustomXml="prev"/>
                          <w:p w14:paraId="5D937C3D" w14:textId="17ACDBF7" w:rsidR="00FC517B" w:rsidRDefault="00FC517B" w:rsidP="005D3CA2">
                            <w:pPr>
                              <w:pStyle w:val="Documentsubtitle"/>
                            </w:pPr>
                            <w:r>
                              <w:t>Proposed Petroleum Regulations 2021</w:t>
                            </w:r>
                          </w:p>
                          <w:p w14:paraId="7E12239F" w14:textId="05DA6015" w:rsidR="00FC517B" w:rsidRDefault="00FC517B" w:rsidP="005D3CA2">
                            <w:pPr>
                              <w:pStyle w:val="Documentdate"/>
                            </w:pPr>
                            <w:r>
                              <w:t>May 2021</w:t>
                            </w:r>
                          </w:p>
                        </w:tc>
                      </w:tr>
                    </w:tbl>
                    <w:p w14:paraId="6B71DD7A" w14:textId="77777777" w:rsidR="00FC517B" w:rsidRPr="00AA1B91" w:rsidRDefault="00FC517B" w:rsidP="001E349B"/>
                  </w:txbxContent>
                </v:textbox>
                <w10:wrap anchorx="margin" anchory="page"/>
                <w10:anchorlock/>
              </v:shape>
            </w:pict>
          </mc:Fallback>
        </mc:AlternateContent>
      </w:r>
      <w:bookmarkStart w:id="2" w:name="BIT_CoverPage"/>
    </w:p>
    <w:p w14:paraId="4C1A5009" w14:textId="77777777" w:rsidR="001E349B" w:rsidRPr="00A419C1" w:rsidRDefault="001E349B" w:rsidP="001E349B"/>
    <w:bookmarkEnd w:id="2"/>
    <w:p w14:paraId="287D43EF" w14:textId="77777777" w:rsidR="001E349B" w:rsidRPr="00A419C1" w:rsidRDefault="001E349B" w:rsidP="00A31EF9"/>
    <w:p w14:paraId="68A3F96B" w14:textId="23CBE9AB" w:rsidR="001E349B" w:rsidRPr="00A419C1" w:rsidRDefault="001E349B" w:rsidP="00A31EF9"/>
    <w:p w14:paraId="75A476A7" w14:textId="77777777" w:rsidR="00D96296" w:rsidRPr="00A419C1" w:rsidRDefault="00D96296" w:rsidP="008C16DC">
      <w:pPr>
        <w:pageBreakBefore/>
        <w:sectPr w:rsidR="00D96296" w:rsidRPr="00A419C1" w:rsidSect="002D7281">
          <w:headerReference w:type="even" r:id="rId15"/>
          <w:headerReference w:type="default" r:id="rId16"/>
          <w:footerReference w:type="even" r:id="rId17"/>
          <w:footerReference w:type="default" r:id="rId18"/>
          <w:headerReference w:type="first" r:id="rId19"/>
          <w:footerReference w:type="first" r:id="rId20"/>
          <w:pgSz w:w="11906" w:h="16838" w:code="9"/>
          <w:pgMar w:top="1985" w:right="4281" w:bottom="1134" w:left="680" w:header="680" w:footer="425" w:gutter="0"/>
          <w:cols w:space="284"/>
          <w:docGrid w:linePitch="360"/>
        </w:sectPr>
      </w:pPr>
    </w:p>
    <w:p w14:paraId="5FE95FA1" w14:textId="24B3CF3C" w:rsidR="002268CC" w:rsidRPr="00A419C1" w:rsidRDefault="002268CC" w:rsidP="002268CC">
      <w:pPr>
        <w:pStyle w:val="TOCHeading"/>
      </w:pPr>
      <w:bookmarkStart w:id="3" w:name="LAN_ContentsRP"/>
      <w:r w:rsidRPr="00A419C1">
        <w:lastRenderedPageBreak/>
        <w:t>Contents</w:t>
      </w:r>
      <w:bookmarkEnd w:id="3"/>
    </w:p>
    <w:p w14:paraId="7D304B33" w14:textId="4F285D59" w:rsidR="00D12970" w:rsidRDefault="00813058" w:rsidP="00B34FE1">
      <w:pPr>
        <w:pStyle w:val="TOC1"/>
        <w:tabs>
          <w:tab w:val="clear" w:pos="6917"/>
          <w:tab w:val="right" w:pos="9498"/>
        </w:tabs>
        <w:ind w:right="169"/>
        <w:rPr>
          <w:rFonts w:asciiTheme="minorHAnsi" w:eastAsiaTheme="minorEastAsia" w:hAnsiTheme="minorHAnsi"/>
          <w:noProof/>
          <w:sz w:val="22"/>
          <w:szCs w:val="22"/>
          <w:lang w:eastAsia="en-AU"/>
        </w:rPr>
      </w:pPr>
      <w:r w:rsidRPr="00A419C1">
        <w:fldChar w:fldCharType="begin"/>
      </w:r>
      <w:r w:rsidRPr="00A419C1">
        <w:instrText xml:space="preserve"> TOC \o "1-2" \h \z \u </w:instrText>
      </w:r>
      <w:r w:rsidRPr="00A419C1">
        <w:fldChar w:fldCharType="separate"/>
      </w:r>
      <w:hyperlink w:anchor="_Toc69839562" w:history="1">
        <w:r w:rsidR="00D12970" w:rsidRPr="00D35633">
          <w:rPr>
            <w:rStyle w:val="Hyperlink"/>
            <w:noProof/>
          </w:rPr>
          <w:t>Abbreviations</w:t>
        </w:r>
        <w:r w:rsidR="00D12970">
          <w:rPr>
            <w:noProof/>
            <w:webHidden/>
          </w:rPr>
          <w:tab/>
        </w:r>
        <w:r w:rsidR="00D12970">
          <w:rPr>
            <w:noProof/>
            <w:webHidden/>
          </w:rPr>
          <w:fldChar w:fldCharType="begin"/>
        </w:r>
        <w:r w:rsidR="00D12970">
          <w:rPr>
            <w:noProof/>
            <w:webHidden/>
          </w:rPr>
          <w:instrText xml:space="preserve"> PAGEREF _Toc69839562 \h </w:instrText>
        </w:r>
        <w:r w:rsidR="00D12970">
          <w:rPr>
            <w:noProof/>
            <w:webHidden/>
          </w:rPr>
        </w:r>
        <w:r w:rsidR="00D12970">
          <w:rPr>
            <w:noProof/>
            <w:webHidden/>
          </w:rPr>
          <w:fldChar w:fldCharType="separate"/>
        </w:r>
        <w:r w:rsidR="009B3538">
          <w:rPr>
            <w:noProof/>
            <w:webHidden/>
          </w:rPr>
          <w:t>i</w:t>
        </w:r>
        <w:r w:rsidR="00D12970">
          <w:rPr>
            <w:noProof/>
            <w:webHidden/>
          </w:rPr>
          <w:fldChar w:fldCharType="end"/>
        </w:r>
      </w:hyperlink>
    </w:p>
    <w:p w14:paraId="40C1E90D" w14:textId="7714F7E7" w:rsidR="00D12970" w:rsidRDefault="00C672BD" w:rsidP="00B34FE1">
      <w:pPr>
        <w:pStyle w:val="TOC1"/>
        <w:tabs>
          <w:tab w:val="clear" w:pos="6917"/>
          <w:tab w:val="right" w:pos="9498"/>
        </w:tabs>
        <w:ind w:right="169"/>
        <w:rPr>
          <w:rFonts w:asciiTheme="minorHAnsi" w:eastAsiaTheme="minorEastAsia" w:hAnsiTheme="minorHAnsi"/>
          <w:noProof/>
          <w:sz w:val="22"/>
          <w:szCs w:val="22"/>
          <w:lang w:eastAsia="en-AU"/>
        </w:rPr>
      </w:pPr>
      <w:hyperlink w:anchor="_Toc69839563" w:history="1">
        <w:r w:rsidR="00D12970" w:rsidRPr="00D35633">
          <w:rPr>
            <w:rStyle w:val="Hyperlink"/>
            <w:noProof/>
          </w:rPr>
          <w:t>Glossary</w:t>
        </w:r>
        <w:r w:rsidR="00D12970">
          <w:rPr>
            <w:noProof/>
            <w:webHidden/>
          </w:rPr>
          <w:tab/>
        </w:r>
        <w:r w:rsidR="00D12970">
          <w:rPr>
            <w:noProof/>
            <w:webHidden/>
          </w:rPr>
          <w:fldChar w:fldCharType="begin"/>
        </w:r>
        <w:r w:rsidR="00D12970">
          <w:rPr>
            <w:noProof/>
            <w:webHidden/>
          </w:rPr>
          <w:instrText xml:space="preserve"> PAGEREF _Toc69839563 \h </w:instrText>
        </w:r>
        <w:r w:rsidR="00D12970">
          <w:rPr>
            <w:noProof/>
            <w:webHidden/>
          </w:rPr>
        </w:r>
        <w:r w:rsidR="00D12970">
          <w:rPr>
            <w:noProof/>
            <w:webHidden/>
          </w:rPr>
          <w:fldChar w:fldCharType="separate"/>
        </w:r>
        <w:r w:rsidR="009B3538">
          <w:rPr>
            <w:noProof/>
            <w:webHidden/>
          </w:rPr>
          <w:t>ii</w:t>
        </w:r>
        <w:r w:rsidR="00D12970">
          <w:rPr>
            <w:noProof/>
            <w:webHidden/>
          </w:rPr>
          <w:fldChar w:fldCharType="end"/>
        </w:r>
      </w:hyperlink>
    </w:p>
    <w:p w14:paraId="6A166592" w14:textId="5112BB74" w:rsidR="00D12970" w:rsidRDefault="00C672BD" w:rsidP="00B34FE1">
      <w:pPr>
        <w:pStyle w:val="TOC1"/>
        <w:tabs>
          <w:tab w:val="clear" w:pos="6917"/>
          <w:tab w:val="right" w:pos="9498"/>
        </w:tabs>
        <w:ind w:right="169"/>
        <w:rPr>
          <w:rFonts w:asciiTheme="minorHAnsi" w:eastAsiaTheme="minorEastAsia" w:hAnsiTheme="minorHAnsi"/>
          <w:noProof/>
          <w:sz w:val="22"/>
          <w:szCs w:val="22"/>
          <w:lang w:eastAsia="en-AU"/>
        </w:rPr>
      </w:pPr>
      <w:hyperlink w:anchor="_Toc69839564" w:history="1">
        <w:r w:rsidR="00D12970" w:rsidRPr="00D35633">
          <w:rPr>
            <w:rStyle w:val="Hyperlink"/>
            <w:noProof/>
          </w:rPr>
          <w:t>Executive summary</w:t>
        </w:r>
        <w:r w:rsidR="00D12970">
          <w:rPr>
            <w:noProof/>
            <w:webHidden/>
          </w:rPr>
          <w:tab/>
        </w:r>
        <w:r w:rsidR="00D12970">
          <w:rPr>
            <w:noProof/>
            <w:webHidden/>
          </w:rPr>
          <w:fldChar w:fldCharType="begin"/>
        </w:r>
        <w:r w:rsidR="00D12970">
          <w:rPr>
            <w:noProof/>
            <w:webHidden/>
          </w:rPr>
          <w:instrText xml:space="preserve"> PAGEREF _Toc69839564 \h </w:instrText>
        </w:r>
        <w:r w:rsidR="00D12970">
          <w:rPr>
            <w:noProof/>
            <w:webHidden/>
          </w:rPr>
        </w:r>
        <w:r w:rsidR="00D12970">
          <w:rPr>
            <w:noProof/>
            <w:webHidden/>
          </w:rPr>
          <w:fldChar w:fldCharType="separate"/>
        </w:r>
        <w:r w:rsidR="009B3538">
          <w:rPr>
            <w:noProof/>
            <w:webHidden/>
          </w:rPr>
          <w:t>iii</w:t>
        </w:r>
        <w:r w:rsidR="00D12970">
          <w:rPr>
            <w:noProof/>
            <w:webHidden/>
          </w:rPr>
          <w:fldChar w:fldCharType="end"/>
        </w:r>
      </w:hyperlink>
    </w:p>
    <w:p w14:paraId="784387AC" w14:textId="752094EB" w:rsidR="00D12970" w:rsidRDefault="00C672BD" w:rsidP="00B34FE1">
      <w:pPr>
        <w:pStyle w:val="TOC1"/>
        <w:tabs>
          <w:tab w:val="clear" w:pos="6917"/>
          <w:tab w:val="right" w:pos="9498"/>
        </w:tabs>
        <w:ind w:right="169"/>
        <w:rPr>
          <w:rFonts w:asciiTheme="minorHAnsi" w:eastAsiaTheme="minorEastAsia" w:hAnsiTheme="minorHAnsi"/>
          <w:noProof/>
          <w:sz w:val="22"/>
          <w:szCs w:val="22"/>
          <w:lang w:eastAsia="en-AU"/>
        </w:rPr>
      </w:pPr>
      <w:hyperlink w:anchor="_Toc69839565" w:history="1">
        <w:r w:rsidR="00D12970" w:rsidRPr="00D35633">
          <w:rPr>
            <w:rStyle w:val="Hyperlink"/>
            <w:noProof/>
          </w:rPr>
          <w:t>1</w:t>
        </w:r>
        <w:r w:rsidR="00D12970">
          <w:rPr>
            <w:rFonts w:asciiTheme="minorHAnsi" w:eastAsiaTheme="minorEastAsia" w:hAnsiTheme="minorHAnsi"/>
            <w:noProof/>
            <w:sz w:val="22"/>
            <w:szCs w:val="22"/>
            <w:lang w:eastAsia="en-AU"/>
          </w:rPr>
          <w:tab/>
        </w:r>
        <w:r w:rsidR="00D12970" w:rsidRPr="00D35633">
          <w:rPr>
            <w:rStyle w:val="Hyperlink"/>
            <w:noProof/>
          </w:rPr>
          <w:t>Background</w:t>
        </w:r>
        <w:r w:rsidR="00D12970">
          <w:rPr>
            <w:noProof/>
            <w:webHidden/>
          </w:rPr>
          <w:tab/>
        </w:r>
        <w:r w:rsidR="00D12970">
          <w:rPr>
            <w:noProof/>
            <w:webHidden/>
          </w:rPr>
          <w:fldChar w:fldCharType="begin"/>
        </w:r>
        <w:r w:rsidR="00D12970">
          <w:rPr>
            <w:noProof/>
            <w:webHidden/>
          </w:rPr>
          <w:instrText xml:space="preserve"> PAGEREF _Toc69839565 \h </w:instrText>
        </w:r>
        <w:r w:rsidR="00D12970">
          <w:rPr>
            <w:noProof/>
            <w:webHidden/>
          </w:rPr>
        </w:r>
        <w:r w:rsidR="00D12970">
          <w:rPr>
            <w:noProof/>
            <w:webHidden/>
          </w:rPr>
          <w:fldChar w:fldCharType="separate"/>
        </w:r>
        <w:r w:rsidR="009B3538">
          <w:rPr>
            <w:noProof/>
            <w:webHidden/>
          </w:rPr>
          <w:t>10</w:t>
        </w:r>
        <w:r w:rsidR="00D12970">
          <w:rPr>
            <w:noProof/>
            <w:webHidden/>
          </w:rPr>
          <w:fldChar w:fldCharType="end"/>
        </w:r>
      </w:hyperlink>
    </w:p>
    <w:p w14:paraId="51B8D86E" w14:textId="126CD661"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66" w:history="1">
        <w:r w:rsidR="00D12970" w:rsidRPr="00D35633">
          <w:rPr>
            <w:rStyle w:val="Hyperlink"/>
            <w:noProof/>
          </w:rPr>
          <w:t>1.1</w:t>
        </w:r>
        <w:r w:rsidR="00D12970">
          <w:rPr>
            <w:rFonts w:asciiTheme="minorHAnsi" w:eastAsiaTheme="minorEastAsia" w:hAnsiTheme="minorHAnsi"/>
            <w:noProof/>
            <w:sz w:val="22"/>
            <w:szCs w:val="22"/>
            <w:lang w:eastAsia="en-AU"/>
          </w:rPr>
          <w:tab/>
        </w:r>
        <w:r w:rsidR="00D12970" w:rsidRPr="00D35633">
          <w:rPr>
            <w:rStyle w:val="Hyperlink"/>
            <w:noProof/>
          </w:rPr>
          <w:t>Moratorium historical framework</w:t>
        </w:r>
        <w:r w:rsidR="00D12970">
          <w:rPr>
            <w:noProof/>
            <w:webHidden/>
          </w:rPr>
          <w:tab/>
        </w:r>
        <w:r w:rsidR="00D12970">
          <w:rPr>
            <w:noProof/>
            <w:webHidden/>
          </w:rPr>
          <w:fldChar w:fldCharType="begin"/>
        </w:r>
        <w:r w:rsidR="00D12970">
          <w:rPr>
            <w:noProof/>
            <w:webHidden/>
          </w:rPr>
          <w:instrText xml:space="preserve"> PAGEREF _Toc69839566 \h </w:instrText>
        </w:r>
        <w:r w:rsidR="00D12970">
          <w:rPr>
            <w:noProof/>
            <w:webHidden/>
          </w:rPr>
        </w:r>
        <w:r w:rsidR="00D12970">
          <w:rPr>
            <w:noProof/>
            <w:webHidden/>
          </w:rPr>
          <w:fldChar w:fldCharType="separate"/>
        </w:r>
        <w:r w:rsidR="009B3538">
          <w:rPr>
            <w:noProof/>
            <w:webHidden/>
          </w:rPr>
          <w:t>10</w:t>
        </w:r>
        <w:r w:rsidR="00D12970">
          <w:rPr>
            <w:noProof/>
            <w:webHidden/>
          </w:rPr>
          <w:fldChar w:fldCharType="end"/>
        </w:r>
      </w:hyperlink>
    </w:p>
    <w:p w14:paraId="3B53D30C" w14:textId="7A55D0ED"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67" w:history="1">
        <w:r w:rsidR="00D12970" w:rsidRPr="00D35633">
          <w:rPr>
            <w:rStyle w:val="Hyperlink"/>
            <w:noProof/>
          </w:rPr>
          <w:t>1.2</w:t>
        </w:r>
        <w:r w:rsidR="00D12970">
          <w:rPr>
            <w:rFonts w:asciiTheme="minorHAnsi" w:eastAsiaTheme="minorEastAsia" w:hAnsiTheme="minorHAnsi"/>
            <w:noProof/>
            <w:sz w:val="22"/>
            <w:szCs w:val="22"/>
            <w:lang w:eastAsia="en-AU"/>
          </w:rPr>
          <w:tab/>
        </w:r>
        <w:r w:rsidR="00D12970" w:rsidRPr="00D35633">
          <w:rPr>
            <w:rStyle w:val="Hyperlink"/>
            <w:noProof/>
          </w:rPr>
          <w:t>Background to the legislative and regulatory framework</w:t>
        </w:r>
        <w:r w:rsidR="00D12970">
          <w:rPr>
            <w:noProof/>
            <w:webHidden/>
          </w:rPr>
          <w:tab/>
        </w:r>
        <w:r w:rsidR="00D12970">
          <w:rPr>
            <w:noProof/>
            <w:webHidden/>
          </w:rPr>
          <w:fldChar w:fldCharType="begin"/>
        </w:r>
        <w:r w:rsidR="00D12970">
          <w:rPr>
            <w:noProof/>
            <w:webHidden/>
          </w:rPr>
          <w:instrText xml:space="preserve"> PAGEREF _Toc69839567 \h </w:instrText>
        </w:r>
        <w:r w:rsidR="00D12970">
          <w:rPr>
            <w:noProof/>
            <w:webHidden/>
          </w:rPr>
        </w:r>
        <w:r w:rsidR="00D12970">
          <w:rPr>
            <w:noProof/>
            <w:webHidden/>
          </w:rPr>
          <w:fldChar w:fldCharType="separate"/>
        </w:r>
        <w:r w:rsidR="009B3538">
          <w:rPr>
            <w:noProof/>
            <w:webHidden/>
          </w:rPr>
          <w:t>11</w:t>
        </w:r>
        <w:r w:rsidR="00D12970">
          <w:rPr>
            <w:noProof/>
            <w:webHidden/>
          </w:rPr>
          <w:fldChar w:fldCharType="end"/>
        </w:r>
      </w:hyperlink>
    </w:p>
    <w:p w14:paraId="19D43A18" w14:textId="45243808"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68" w:history="1">
        <w:r w:rsidR="00D12970" w:rsidRPr="00D35633">
          <w:rPr>
            <w:rStyle w:val="Hyperlink"/>
            <w:noProof/>
          </w:rPr>
          <w:t>1.3</w:t>
        </w:r>
        <w:r w:rsidR="00D12970">
          <w:rPr>
            <w:rFonts w:asciiTheme="minorHAnsi" w:eastAsiaTheme="minorEastAsia" w:hAnsiTheme="minorHAnsi"/>
            <w:noProof/>
            <w:sz w:val="22"/>
            <w:szCs w:val="22"/>
            <w:lang w:eastAsia="en-AU"/>
          </w:rPr>
          <w:tab/>
        </w:r>
        <w:r w:rsidR="00D12970" w:rsidRPr="00D35633">
          <w:rPr>
            <w:rStyle w:val="Hyperlink"/>
            <w:noProof/>
          </w:rPr>
          <w:t>Developments in the Victorian petroleum landscape since 2011</w:t>
        </w:r>
        <w:r w:rsidR="00D12970">
          <w:rPr>
            <w:noProof/>
            <w:webHidden/>
          </w:rPr>
          <w:tab/>
        </w:r>
        <w:r w:rsidR="00D12970">
          <w:rPr>
            <w:noProof/>
            <w:webHidden/>
          </w:rPr>
          <w:fldChar w:fldCharType="begin"/>
        </w:r>
        <w:r w:rsidR="00D12970">
          <w:rPr>
            <w:noProof/>
            <w:webHidden/>
          </w:rPr>
          <w:instrText xml:space="preserve"> PAGEREF _Toc69839568 \h </w:instrText>
        </w:r>
        <w:r w:rsidR="00D12970">
          <w:rPr>
            <w:noProof/>
            <w:webHidden/>
          </w:rPr>
        </w:r>
        <w:r w:rsidR="00D12970">
          <w:rPr>
            <w:noProof/>
            <w:webHidden/>
          </w:rPr>
          <w:fldChar w:fldCharType="separate"/>
        </w:r>
        <w:r w:rsidR="009B3538">
          <w:rPr>
            <w:noProof/>
            <w:webHidden/>
          </w:rPr>
          <w:t>17</w:t>
        </w:r>
        <w:r w:rsidR="00D12970">
          <w:rPr>
            <w:noProof/>
            <w:webHidden/>
          </w:rPr>
          <w:fldChar w:fldCharType="end"/>
        </w:r>
      </w:hyperlink>
    </w:p>
    <w:p w14:paraId="7DC5702D" w14:textId="55ED4CE0"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69" w:history="1">
        <w:r w:rsidR="00D12970" w:rsidRPr="00D35633">
          <w:rPr>
            <w:rStyle w:val="Hyperlink"/>
            <w:noProof/>
          </w:rPr>
          <w:t>1.4</w:t>
        </w:r>
        <w:r w:rsidR="00D12970">
          <w:rPr>
            <w:rFonts w:asciiTheme="minorHAnsi" w:eastAsiaTheme="minorEastAsia" w:hAnsiTheme="minorHAnsi"/>
            <w:noProof/>
            <w:sz w:val="22"/>
            <w:szCs w:val="22"/>
            <w:lang w:eastAsia="en-AU"/>
          </w:rPr>
          <w:tab/>
        </w:r>
        <w:r w:rsidR="00D12970" w:rsidRPr="00D35633">
          <w:rPr>
            <w:rStyle w:val="Hyperlink"/>
            <w:noProof/>
          </w:rPr>
          <w:t>Overview of the current status of the Victorian gas market</w:t>
        </w:r>
        <w:r w:rsidR="00D12970">
          <w:rPr>
            <w:noProof/>
            <w:webHidden/>
          </w:rPr>
          <w:tab/>
        </w:r>
        <w:r w:rsidR="00D12970">
          <w:rPr>
            <w:noProof/>
            <w:webHidden/>
          </w:rPr>
          <w:fldChar w:fldCharType="begin"/>
        </w:r>
        <w:r w:rsidR="00D12970">
          <w:rPr>
            <w:noProof/>
            <w:webHidden/>
          </w:rPr>
          <w:instrText xml:space="preserve"> PAGEREF _Toc69839569 \h </w:instrText>
        </w:r>
        <w:r w:rsidR="00D12970">
          <w:rPr>
            <w:noProof/>
            <w:webHidden/>
          </w:rPr>
        </w:r>
        <w:r w:rsidR="00D12970">
          <w:rPr>
            <w:noProof/>
            <w:webHidden/>
          </w:rPr>
          <w:fldChar w:fldCharType="separate"/>
        </w:r>
        <w:r w:rsidR="009B3538">
          <w:rPr>
            <w:noProof/>
            <w:webHidden/>
          </w:rPr>
          <w:t>18</w:t>
        </w:r>
        <w:r w:rsidR="00D12970">
          <w:rPr>
            <w:noProof/>
            <w:webHidden/>
          </w:rPr>
          <w:fldChar w:fldCharType="end"/>
        </w:r>
      </w:hyperlink>
    </w:p>
    <w:p w14:paraId="1A6D56CD" w14:textId="3AAE0140"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70" w:history="1">
        <w:r w:rsidR="00D12970" w:rsidRPr="00D35633">
          <w:rPr>
            <w:rStyle w:val="Hyperlink"/>
            <w:noProof/>
          </w:rPr>
          <w:t>1.5</w:t>
        </w:r>
        <w:r w:rsidR="00D12970">
          <w:rPr>
            <w:rFonts w:asciiTheme="minorHAnsi" w:eastAsiaTheme="minorEastAsia" w:hAnsiTheme="minorHAnsi"/>
            <w:noProof/>
            <w:sz w:val="22"/>
            <w:szCs w:val="22"/>
            <w:lang w:eastAsia="en-AU"/>
          </w:rPr>
          <w:tab/>
        </w:r>
        <w:r w:rsidR="00D12970" w:rsidRPr="00D35633">
          <w:rPr>
            <w:rStyle w:val="Hyperlink"/>
            <w:noProof/>
          </w:rPr>
          <w:t>Preparation of this RIS</w:t>
        </w:r>
        <w:r w:rsidR="00D12970">
          <w:rPr>
            <w:noProof/>
            <w:webHidden/>
          </w:rPr>
          <w:tab/>
        </w:r>
        <w:r w:rsidR="00D12970">
          <w:rPr>
            <w:noProof/>
            <w:webHidden/>
          </w:rPr>
          <w:fldChar w:fldCharType="begin"/>
        </w:r>
        <w:r w:rsidR="00D12970">
          <w:rPr>
            <w:noProof/>
            <w:webHidden/>
          </w:rPr>
          <w:instrText xml:space="preserve"> PAGEREF _Toc69839570 \h </w:instrText>
        </w:r>
        <w:r w:rsidR="00D12970">
          <w:rPr>
            <w:noProof/>
            <w:webHidden/>
          </w:rPr>
        </w:r>
        <w:r w:rsidR="00D12970">
          <w:rPr>
            <w:noProof/>
            <w:webHidden/>
          </w:rPr>
          <w:fldChar w:fldCharType="separate"/>
        </w:r>
        <w:r w:rsidR="009B3538">
          <w:rPr>
            <w:noProof/>
            <w:webHidden/>
          </w:rPr>
          <w:t>20</w:t>
        </w:r>
        <w:r w:rsidR="00D12970">
          <w:rPr>
            <w:noProof/>
            <w:webHidden/>
          </w:rPr>
          <w:fldChar w:fldCharType="end"/>
        </w:r>
      </w:hyperlink>
    </w:p>
    <w:p w14:paraId="6FA7B20A" w14:textId="0C485D56"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71" w:history="1">
        <w:r w:rsidR="00D12970" w:rsidRPr="00D35633">
          <w:rPr>
            <w:rStyle w:val="Hyperlink"/>
            <w:noProof/>
          </w:rPr>
          <w:t>1.6</w:t>
        </w:r>
        <w:r w:rsidR="00D12970">
          <w:rPr>
            <w:rFonts w:asciiTheme="minorHAnsi" w:eastAsiaTheme="minorEastAsia" w:hAnsiTheme="minorHAnsi"/>
            <w:noProof/>
            <w:sz w:val="22"/>
            <w:szCs w:val="22"/>
            <w:lang w:eastAsia="en-AU"/>
          </w:rPr>
          <w:tab/>
        </w:r>
        <w:r w:rsidR="00D12970" w:rsidRPr="00D35633">
          <w:rPr>
            <w:rStyle w:val="Hyperlink"/>
            <w:noProof/>
          </w:rPr>
          <w:t>Structure of this RIS</w:t>
        </w:r>
        <w:r w:rsidR="00D12970">
          <w:rPr>
            <w:noProof/>
            <w:webHidden/>
          </w:rPr>
          <w:tab/>
        </w:r>
        <w:r w:rsidR="00D12970">
          <w:rPr>
            <w:noProof/>
            <w:webHidden/>
          </w:rPr>
          <w:fldChar w:fldCharType="begin"/>
        </w:r>
        <w:r w:rsidR="00D12970">
          <w:rPr>
            <w:noProof/>
            <w:webHidden/>
          </w:rPr>
          <w:instrText xml:space="preserve"> PAGEREF _Toc69839571 \h </w:instrText>
        </w:r>
        <w:r w:rsidR="00D12970">
          <w:rPr>
            <w:noProof/>
            <w:webHidden/>
          </w:rPr>
        </w:r>
        <w:r w:rsidR="00D12970">
          <w:rPr>
            <w:noProof/>
            <w:webHidden/>
          </w:rPr>
          <w:fldChar w:fldCharType="separate"/>
        </w:r>
        <w:r w:rsidR="009B3538">
          <w:rPr>
            <w:noProof/>
            <w:webHidden/>
          </w:rPr>
          <w:t>22</w:t>
        </w:r>
        <w:r w:rsidR="00D12970">
          <w:rPr>
            <w:noProof/>
            <w:webHidden/>
          </w:rPr>
          <w:fldChar w:fldCharType="end"/>
        </w:r>
      </w:hyperlink>
    </w:p>
    <w:p w14:paraId="0F6612FC" w14:textId="3600B2B2" w:rsidR="00D12970" w:rsidRDefault="00C672BD" w:rsidP="00B34FE1">
      <w:pPr>
        <w:pStyle w:val="TOC1"/>
        <w:tabs>
          <w:tab w:val="clear" w:pos="6917"/>
          <w:tab w:val="right" w:pos="9498"/>
        </w:tabs>
        <w:ind w:right="169"/>
        <w:rPr>
          <w:rFonts w:asciiTheme="minorHAnsi" w:eastAsiaTheme="minorEastAsia" w:hAnsiTheme="minorHAnsi"/>
          <w:noProof/>
          <w:sz w:val="22"/>
          <w:szCs w:val="22"/>
          <w:lang w:eastAsia="en-AU"/>
        </w:rPr>
      </w:pPr>
      <w:hyperlink w:anchor="_Toc69839572" w:history="1">
        <w:r w:rsidR="00D12970" w:rsidRPr="00D35633">
          <w:rPr>
            <w:rStyle w:val="Hyperlink"/>
            <w:noProof/>
          </w:rPr>
          <w:t>2</w:t>
        </w:r>
        <w:r w:rsidR="00D12970">
          <w:rPr>
            <w:rFonts w:asciiTheme="minorHAnsi" w:eastAsiaTheme="minorEastAsia" w:hAnsiTheme="minorHAnsi"/>
            <w:noProof/>
            <w:sz w:val="22"/>
            <w:szCs w:val="22"/>
            <w:lang w:eastAsia="en-AU"/>
          </w:rPr>
          <w:tab/>
        </w:r>
        <w:r w:rsidR="00D12970" w:rsidRPr="00D35633">
          <w:rPr>
            <w:rStyle w:val="Hyperlink"/>
            <w:noProof/>
          </w:rPr>
          <w:t>Problem statements</w:t>
        </w:r>
        <w:r w:rsidR="00D12970">
          <w:rPr>
            <w:noProof/>
            <w:webHidden/>
          </w:rPr>
          <w:tab/>
        </w:r>
        <w:r w:rsidR="00D12970">
          <w:rPr>
            <w:noProof/>
            <w:webHidden/>
          </w:rPr>
          <w:fldChar w:fldCharType="begin"/>
        </w:r>
        <w:r w:rsidR="00D12970">
          <w:rPr>
            <w:noProof/>
            <w:webHidden/>
          </w:rPr>
          <w:instrText xml:space="preserve"> PAGEREF _Toc69839572 \h </w:instrText>
        </w:r>
        <w:r w:rsidR="00D12970">
          <w:rPr>
            <w:noProof/>
            <w:webHidden/>
          </w:rPr>
        </w:r>
        <w:r w:rsidR="00D12970">
          <w:rPr>
            <w:noProof/>
            <w:webHidden/>
          </w:rPr>
          <w:fldChar w:fldCharType="separate"/>
        </w:r>
        <w:r w:rsidR="009B3538">
          <w:rPr>
            <w:noProof/>
            <w:webHidden/>
          </w:rPr>
          <w:t>23</w:t>
        </w:r>
        <w:r w:rsidR="00D12970">
          <w:rPr>
            <w:noProof/>
            <w:webHidden/>
          </w:rPr>
          <w:fldChar w:fldCharType="end"/>
        </w:r>
      </w:hyperlink>
    </w:p>
    <w:p w14:paraId="59F31002" w14:textId="0C924AD8"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73" w:history="1">
        <w:r w:rsidR="00D12970" w:rsidRPr="00D35633">
          <w:rPr>
            <w:rStyle w:val="Hyperlink"/>
            <w:noProof/>
          </w:rPr>
          <w:t>2.1</w:t>
        </w:r>
        <w:r w:rsidR="00D12970">
          <w:rPr>
            <w:rFonts w:asciiTheme="minorHAnsi" w:eastAsiaTheme="minorEastAsia" w:hAnsiTheme="minorHAnsi"/>
            <w:noProof/>
            <w:sz w:val="22"/>
            <w:szCs w:val="22"/>
            <w:lang w:eastAsia="en-AU"/>
          </w:rPr>
          <w:tab/>
        </w:r>
        <w:r w:rsidR="00D12970" w:rsidRPr="00D35633">
          <w:rPr>
            <w:rStyle w:val="Hyperlink"/>
            <w:noProof/>
          </w:rPr>
          <w:t>Problem 1 – Onshore conventional petroleum resource development is insufficiently encouraged in Victoria</w:t>
        </w:r>
        <w:r w:rsidR="00D12970">
          <w:rPr>
            <w:noProof/>
            <w:webHidden/>
          </w:rPr>
          <w:tab/>
        </w:r>
        <w:r w:rsidR="00D12970">
          <w:rPr>
            <w:noProof/>
            <w:webHidden/>
          </w:rPr>
          <w:fldChar w:fldCharType="begin"/>
        </w:r>
        <w:r w:rsidR="00D12970">
          <w:rPr>
            <w:noProof/>
            <w:webHidden/>
          </w:rPr>
          <w:instrText xml:space="preserve"> PAGEREF _Toc69839573 \h </w:instrText>
        </w:r>
        <w:r w:rsidR="00D12970">
          <w:rPr>
            <w:noProof/>
            <w:webHidden/>
          </w:rPr>
        </w:r>
        <w:r w:rsidR="00D12970">
          <w:rPr>
            <w:noProof/>
            <w:webHidden/>
          </w:rPr>
          <w:fldChar w:fldCharType="separate"/>
        </w:r>
        <w:r w:rsidR="009B3538">
          <w:rPr>
            <w:noProof/>
            <w:webHidden/>
          </w:rPr>
          <w:t>23</w:t>
        </w:r>
        <w:r w:rsidR="00D12970">
          <w:rPr>
            <w:noProof/>
            <w:webHidden/>
          </w:rPr>
          <w:fldChar w:fldCharType="end"/>
        </w:r>
      </w:hyperlink>
    </w:p>
    <w:p w14:paraId="5CB9FAFC" w14:textId="3FBCC649"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74" w:history="1">
        <w:r w:rsidR="00D12970" w:rsidRPr="00D35633">
          <w:rPr>
            <w:rStyle w:val="Hyperlink"/>
            <w:noProof/>
          </w:rPr>
          <w:t>2.2</w:t>
        </w:r>
        <w:r w:rsidR="00D12970">
          <w:rPr>
            <w:rFonts w:asciiTheme="minorHAnsi" w:eastAsiaTheme="minorEastAsia" w:hAnsiTheme="minorHAnsi"/>
            <w:noProof/>
            <w:sz w:val="22"/>
            <w:szCs w:val="22"/>
            <w:lang w:eastAsia="en-AU"/>
          </w:rPr>
          <w:tab/>
        </w:r>
        <w:r w:rsidR="00D12970" w:rsidRPr="00D35633">
          <w:rPr>
            <w:rStyle w:val="Hyperlink"/>
            <w:noProof/>
          </w:rPr>
          <w:t>Problem 2 – The petroleum industry lacks social license to operate</w:t>
        </w:r>
        <w:r w:rsidR="00D12970">
          <w:rPr>
            <w:noProof/>
            <w:webHidden/>
          </w:rPr>
          <w:tab/>
        </w:r>
        <w:r w:rsidR="00D12970">
          <w:rPr>
            <w:noProof/>
            <w:webHidden/>
          </w:rPr>
          <w:fldChar w:fldCharType="begin"/>
        </w:r>
        <w:r w:rsidR="00D12970">
          <w:rPr>
            <w:noProof/>
            <w:webHidden/>
          </w:rPr>
          <w:instrText xml:space="preserve"> PAGEREF _Toc69839574 \h </w:instrText>
        </w:r>
        <w:r w:rsidR="00D12970">
          <w:rPr>
            <w:noProof/>
            <w:webHidden/>
          </w:rPr>
        </w:r>
        <w:r w:rsidR="00D12970">
          <w:rPr>
            <w:noProof/>
            <w:webHidden/>
          </w:rPr>
          <w:fldChar w:fldCharType="separate"/>
        </w:r>
        <w:r w:rsidR="009B3538">
          <w:rPr>
            <w:noProof/>
            <w:webHidden/>
          </w:rPr>
          <w:t>24</w:t>
        </w:r>
        <w:r w:rsidR="00D12970">
          <w:rPr>
            <w:noProof/>
            <w:webHidden/>
          </w:rPr>
          <w:fldChar w:fldCharType="end"/>
        </w:r>
      </w:hyperlink>
    </w:p>
    <w:p w14:paraId="65DE82B7" w14:textId="1E62901F"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75" w:history="1">
        <w:r w:rsidR="00D12970" w:rsidRPr="00D35633">
          <w:rPr>
            <w:rStyle w:val="Hyperlink"/>
            <w:noProof/>
          </w:rPr>
          <w:t>2.3</w:t>
        </w:r>
        <w:r w:rsidR="00D12970">
          <w:rPr>
            <w:rFonts w:asciiTheme="minorHAnsi" w:eastAsiaTheme="minorEastAsia" w:hAnsiTheme="minorHAnsi"/>
            <w:noProof/>
            <w:sz w:val="22"/>
            <w:szCs w:val="22"/>
            <w:lang w:eastAsia="en-AU"/>
          </w:rPr>
          <w:tab/>
        </w:r>
        <w:r w:rsidR="00D12970" w:rsidRPr="00D35633">
          <w:rPr>
            <w:rStyle w:val="Hyperlink"/>
            <w:noProof/>
          </w:rPr>
          <w:t>Problem 3 – Victoria’s social and environmental interests are insufficiently protected</w:t>
        </w:r>
        <w:r w:rsidR="00D12970">
          <w:rPr>
            <w:noProof/>
            <w:webHidden/>
          </w:rPr>
          <w:tab/>
        </w:r>
        <w:r w:rsidR="00D12970">
          <w:rPr>
            <w:noProof/>
            <w:webHidden/>
          </w:rPr>
          <w:fldChar w:fldCharType="begin"/>
        </w:r>
        <w:r w:rsidR="00D12970">
          <w:rPr>
            <w:noProof/>
            <w:webHidden/>
          </w:rPr>
          <w:instrText xml:space="preserve"> PAGEREF _Toc69839575 \h </w:instrText>
        </w:r>
        <w:r w:rsidR="00D12970">
          <w:rPr>
            <w:noProof/>
            <w:webHidden/>
          </w:rPr>
        </w:r>
        <w:r w:rsidR="00D12970">
          <w:rPr>
            <w:noProof/>
            <w:webHidden/>
          </w:rPr>
          <w:fldChar w:fldCharType="separate"/>
        </w:r>
        <w:r w:rsidR="009B3538">
          <w:rPr>
            <w:noProof/>
            <w:webHidden/>
          </w:rPr>
          <w:t>24</w:t>
        </w:r>
        <w:r w:rsidR="00D12970">
          <w:rPr>
            <w:noProof/>
            <w:webHidden/>
          </w:rPr>
          <w:fldChar w:fldCharType="end"/>
        </w:r>
      </w:hyperlink>
    </w:p>
    <w:p w14:paraId="24499946" w14:textId="1632EA10" w:rsidR="00D12970" w:rsidRDefault="00C672BD" w:rsidP="00B34FE1">
      <w:pPr>
        <w:pStyle w:val="TOC1"/>
        <w:tabs>
          <w:tab w:val="clear" w:pos="6917"/>
          <w:tab w:val="right" w:pos="9498"/>
        </w:tabs>
        <w:ind w:right="169"/>
        <w:rPr>
          <w:rFonts w:asciiTheme="minorHAnsi" w:eastAsiaTheme="minorEastAsia" w:hAnsiTheme="minorHAnsi"/>
          <w:noProof/>
          <w:sz w:val="22"/>
          <w:szCs w:val="22"/>
          <w:lang w:eastAsia="en-AU"/>
        </w:rPr>
      </w:pPr>
      <w:hyperlink w:anchor="_Toc69839576" w:history="1">
        <w:r w:rsidR="00D12970" w:rsidRPr="00D35633">
          <w:rPr>
            <w:rStyle w:val="Hyperlink"/>
            <w:noProof/>
          </w:rPr>
          <w:t>3</w:t>
        </w:r>
        <w:r w:rsidR="00D12970">
          <w:rPr>
            <w:rFonts w:asciiTheme="minorHAnsi" w:eastAsiaTheme="minorEastAsia" w:hAnsiTheme="minorHAnsi"/>
            <w:noProof/>
            <w:sz w:val="22"/>
            <w:szCs w:val="22"/>
            <w:lang w:eastAsia="en-AU"/>
          </w:rPr>
          <w:tab/>
        </w:r>
        <w:r w:rsidR="00D12970" w:rsidRPr="00D35633">
          <w:rPr>
            <w:rStyle w:val="Hyperlink"/>
            <w:noProof/>
          </w:rPr>
          <w:t>Development of Options</w:t>
        </w:r>
        <w:r w:rsidR="00D12970">
          <w:rPr>
            <w:noProof/>
            <w:webHidden/>
          </w:rPr>
          <w:tab/>
        </w:r>
        <w:r w:rsidR="00D12970">
          <w:rPr>
            <w:noProof/>
            <w:webHidden/>
          </w:rPr>
          <w:fldChar w:fldCharType="begin"/>
        </w:r>
        <w:r w:rsidR="00D12970">
          <w:rPr>
            <w:noProof/>
            <w:webHidden/>
          </w:rPr>
          <w:instrText xml:space="preserve"> PAGEREF _Toc69839576 \h </w:instrText>
        </w:r>
        <w:r w:rsidR="00D12970">
          <w:rPr>
            <w:noProof/>
            <w:webHidden/>
          </w:rPr>
        </w:r>
        <w:r w:rsidR="00D12970">
          <w:rPr>
            <w:noProof/>
            <w:webHidden/>
          </w:rPr>
          <w:fldChar w:fldCharType="separate"/>
        </w:r>
        <w:r w:rsidR="009B3538">
          <w:rPr>
            <w:noProof/>
            <w:webHidden/>
          </w:rPr>
          <w:t>25</w:t>
        </w:r>
        <w:r w:rsidR="00D12970">
          <w:rPr>
            <w:noProof/>
            <w:webHidden/>
          </w:rPr>
          <w:fldChar w:fldCharType="end"/>
        </w:r>
      </w:hyperlink>
    </w:p>
    <w:p w14:paraId="3689D065" w14:textId="4B053506"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77" w:history="1">
        <w:r w:rsidR="00D12970" w:rsidRPr="00D35633">
          <w:rPr>
            <w:rStyle w:val="Hyperlink"/>
            <w:noProof/>
          </w:rPr>
          <w:t>3.1</w:t>
        </w:r>
        <w:r w:rsidR="00D12970">
          <w:rPr>
            <w:rFonts w:asciiTheme="minorHAnsi" w:eastAsiaTheme="minorEastAsia" w:hAnsiTheme="minorHAnsi"/>
            <w:noProof/>
            <w:sz w:val="22"/>
            <w:szCs w:val="22"/>
            <w:lang w:eastAsia="en-AU"/>
          </w:rPr>
          <w:tab/>
        </w:r>
        <w:r w:rsidR="00D12970" w:rsidRPr="00D35633">
          <w:rPr>
            <w:rStyle w:val="Hyperlink"/>
            <w:noProof/>
          </w:rPr>
          <w:t>Objectives</w:t>
        </w:r>
        <w:r w:rsidR="00D12970">
          <w:rPr>
            <w:noProof/>
            <w:webHidden/>
          </w:rPr>
          <w:tab/>
        </w:r>
        <w:r w:rsidR="00D12970">
          <w:rPr>
            <w:noProof/>
            <w:webHidden/>
          </w:rPr>
          <w:fldChar w:fldCharType="begin"/>
        </w:r>
        <w:r w:rsidR="00D12970">
          <w:rPr>
            <w:noProof/>
            <w:webHidden/>
          </w:rPr>
          <w:instrText xml:space="preserve"> PAGEREF _Toc69839577 \h </w:instrText>
        </w:r>
        <w:r w:rsidR="00D12970">
          <w:rPr>
            <w:noProof/>
            <w:webHidden/>
          </w:rPr>
        </w:r>
        <w:r w:rsidR="00D12970">
          <w:rPr>
            <w:noProof/>
            <w:webHidden/>
          </w:rPr>
          <w:fldChar w:fldCharType="separate"/>
        </w:r>
        <w:r w:rsidR="009B3538">
          <w:rPr>
            <w:noProof/>
            <w:webHidden/>
          </w:rPr>
          <w:t>25</w:t>
        </w:r>
        <w:r w:rsidR="00D12970">
          <w:rPr>
            <w:noProof/>
            <w:webHidden/>
          </w:rPr>
          <w:fldChar w:fldCharType="end"/>
        </w:r>
      </w:hyperlink>
    </w:p>
    <w:p w14:paraId="600C94D9" w14:textId="45873A2F"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78" w:history="1">
        <w:r w:rsidR="00D12970" w:rsidRPr="00D35633">
          <w:rPr>
            <w:rStyle w:val="Hyperlink"/>
            <w:noProof/>
          </w:rPr>
          <w:t>3.2</w:t>
        </w:r>
        <w:r w:rsidR="00D12970">
          <w:rPr>
            <w:rFonts w:asciiTheme="minorHAnsi" w:eastAsiaTheme="minorEastAsia" w:hAnsiTheme="minorHAnsi"/>
            <w:noProof/>
            <w:sz w:val="22"/>
            <w:szCs w:val="22"/>
            <w:lang w:eastAsia="en-AU"/>
          </w:rPr>
          <w:tab/>
        </w:r>
        <w:r w:rsidR="00D12970" w:rsidRPr="00D35633">
          <w:rPr>
            <w:rStyle w:val="Hyperlink"/>
            <w:noProof/>
          </w:rPr>
          <w:t>Options development</w:t>
        </w:r>
        <w:r w:rsidR="00D12970">
          <w:rPr>
            <w:noProof/>
            <w:webHidden/>
          </w:rPr>
          <w:tab/>
        </w:r>
        <w:r w:rsidR="00D12970">
          <w:rPr>
            <w:noProof/>
            <w:webHidden/>
          </w:rPr>
          <w:fldChar w:fldCharType="begin"/>
        </w:r>
        <w:r w:rsidR="00D12970">
          <w:rPr>
            <w:noProof/>
            <w:webHidden/>
          </w:rPr>
          <w:instrText xml:space="preserve"> PAGEREF _Toc69839578 \h </w:instrText>
        </w:r>
        <w:r w:rsidR="00D12970">
          <w:rPr>
            <w:noProof/>
            <w:webHidden/>
          </w:rPr>
        </w:r>
        <w:r w:rsidR="00D12970">
          <w:rPr>
            <w:noProof/>
            <w:webHidden/>
          </w:rPr>
          <w:fldChar w:fldCharType="separate"/>
        </w:r>
        <w:r w:rsidR="009B3538">
          <w:rPr>
            <w:noProof/>
            <w:webHidden/>
          </w:rPr>
          <w:t>25</w:t>
        </w:r>
        <w:r w:rsidR="00D12970">
          <w:rPr>
            <w:noProof/>
            <w:webHidden/>
          </w:rPr>
          <w:fldChar w:fldCharType="end"/>
        </w:r>
      </w:hyperlink>
    </w:p>
    <w:p w14:paraId="5DB720B9" w14:textId="18F55889"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79" w:history="1">
        <w:r w:rsidR="00D12970" w:rsidRPr="00D35633">
          <w:rPr>
            <w:rStyle w:val="Hyperlink"/>
            <w:noProof/>
          </w:rPr>
          <w:t>3.3</w:t>
        </w:r>
        <w:r w:rsidR="00D12970">
          <w:rPr>
            <w:rFonts w:asciiTheme="minorHAnsi" w:eastAsiaTheme="minorEastAsia" w:hAnsiTheme="minorHAnsi"/>
            <w:noProof/>
            <w:sz w:val="22"/>
            <w:szCs w:val="22"/>
            <w:lang w:eastAsia="en-AU"/>
          </w:rPr>
          <w:tab/>
        </w:r>
        <w:r w:rsidR="00D12970" w:rsidRPr="00D35633">
          <w:rPr>
            <w:rStyle w:val="Hyperlink"/>
            <w:noProof/>
          </w:rPr>
          <w:t>Feasible Options</w:t>
        </w:r>
        <w:r w:rsidR="00D12970">
          <w:rPr>
            <w:noProof/>
            <w:webHidden/>
          </w:rPr>
          <w:tab/>
        </w:r>
        <w:r w:rsidR="00D12970">
          <w:rPr>
            <w:noProof/>
            <w:webHidden/>
          </w:rPr>
          <w:fldChar w:fldCharType="begin"/>
        </w:r>
        <w:r w:rsidR="00D12970">
          <w:rPr>
            <w:noProof/>
            <w:webHidden/>
          </w:rPr>
          <w:instrText xml:space="preserve"> PAGEREF _Toc69839579 \h </w:instrText>
        </w:r>
        <w:r w:rsidR="00D12970">
          <w:rPr>
            <w:noProof/>
            <w:webHidden/>
          </w:rPr>
        </w:r>
        <w:r w:rsidR="00D12970">
          <w:rPr>
            <w:noProof/>
            <w:webHidden/>
          </w:rPr>
          <w:fldChar w:fldCharType="separate"/>
        </w:r>
        <w:r w:rsidR="009B3538">
          <w:rPr>
            <w:noProof/>
            <w:webHidden/>
          </w:rPr>
          <w:t>26</w:t>
        </w:r>
        <w:r w:rsidR="00D12970">
          <w:rPr>
            <w:noProof/>
            <w:webHidden/>
          </w:rPr>
          <w:fldChar w:fldCharType="end"/>
        </w:r>
      </w:hyperlink>
    </w:p>
    <w:p w14:paraId="556F3585" w14:textId="48CC7AD1"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80" w:history="1">
        <w:r w:rsidR="00D12970" w:rsidRPr="00D35633">
          <w:rPr>
            <w:rStyle w:val="Hyperlink"/>
            <w:noProof/>
          </w:rPr>
          <w:t>3.4</w:t>
        </w:r>
        <w:r w:rsidR="00D12970">
          <w:rPr>
            <w:rFonts w:asciiTheme="minorHAnsi" w:eastAsiaTheme="minorEastAsia" w:hAnsiTheme="minorHAnsi"/>
            <w:noProof/>
            <w:sz w:val="22"/>
            <w:szCs w:val="22"/>
            <w:lang w:eastAsia="en-AU"/>
          </w:rPr>
          <w:tab/>
        </w:r>
        <w:r w:rsidR="00D12970" w:rsidRPr="00D35633">
          <w:rPr>
            <w:rStyle w:val="Hyperlink"/>
            <w:noProof/>
          </w:rPr>
          <w:t>Options</w:t>
        </w:r>
        <w:r w:rsidR="00D12970">
          <w:rPr>
            <w:noProof/>
            <w:webHidden/>
          </w:rPr>
          <w:tab/>
        </w:r>
        <w:r w:rsidR="00D12970">
          <w:rPr>
            <w:noProof/>
            <w:webHidden/>
          </w:rPr>
          <w:fldChar w:fldCharType="begin"/>
        </w:r>
        <w:r w:rsidR="00D12970">
          <w:rPr>
            <w:noProof/>
            <w:webHidden/>
          </w:rPr>
          <w:instrText xml:space="preserve"> PAGEREF _Toc69839580 \h </w:instrText>
        </w:r>
        <w:r w:rsidR="00D12970">
          <w:rPr>
            <w:noProof/>
            <w:webHidden/>
          </w:rPr>
        </w:r>
        <w:r w:rsidR="00D12970">
          <w:rPr>
            <w:noProof/>
            <w:webHidden/>
          </w:rPr>
          <w:fldChar w:fldCharType="separate"/>
        </w:r>
        <w:r w:rsidR="009B3538">
          <w:rPr>
            <w:noProof/>
            <w:webHidden/>
          </w:rPr>
          <w:t>27</w:t>
        </w:r>
        <w:r w:rsidR="00D12970">
          <w:rPr>
            <w:noProof/>
            <w:webHidden/>
          </w:rPr>
          <w:fldChar w:fldCharType="end"/>
        </w:r>
      </w:hyperlink>
    </w:p>
    <w:p w14:paraId="266500C4" w14:textId="2BBA2AF3" w:rsidR="00D12970" w:rsidRDefault="00C672BD" w:rsidP="00B34FE1">
      <w:pPr>
        <w:pStyle w:val="TOC1"/>
        <w:tabs>
          <w:tab w:val="clear" w:pos="6917"/>
          <w:tab w:val="right" w:pos="9498"/>
        </w:tabs>
        <w:ind w:right="169"/>
        <w:rPr>
          <w:rFonts w:asciiTheme="minorHAnsi" w:eastAsiaTheme="minorEastAsia" w:hAnsiTheme="minorHAnsi"/>
          <w:noProof/>
          <w:sz w:val="22"/>
          <w:szCs w:val="22"/>
          <w:lang w:eastAsia="en-AU"/>
        </w:rPr>
      </w:pPr>
      <w:hyperlink w:anchor="_Toc69839581" w:history="1">
        <w:r w:rsidR="00D12970" w:rsidRPr="00D35633">
          <w:rPr>
            <w:rStyle w:val="Hyperlink"/>
            <w:noProof/>
          </w:rPr>
          <w:t>4</w:t>
        </w:r>
        <w:r w:rsidR="00D12970">
          <w:rPr>
            <w:rFonts w:asciiTheme="minorHAnsi" w:eastAsiaTheme="minorEastAsia" w:hAnsiTheme="minorHAnsi"/>
            <w:noProof/>
            <w:sz w:val="22"/>
            <w:szCs w:val="22"/>
            <w:lang w:eastAsia="en-AU"/>
          </w:rPr>
          <w:tab/>
        </w:r>
        <w:r w:rsidR="00D12970" w:rsidRPr="00D35633">
          <w:rPr>
            <w:rStyle w:val="Hyperlink"/>
            <w:noProof/>
          </w:rPr>
          <w:t>Options analysis</w:t>
        </w:r>
        <w:r w:rsidR="00D12970">
          <w:rPr>
            <w:noProof/>
            <w:webHidden/>
          </w:rPr>
          <w:tab/>
        </w:r>
        <w:r w:rsidR="00D12970">
          <w:rPr>
            <w:noProof/>
            <w:webHidden/>
          </w:rPr>
          <w:fldChar w:fldCharType="begin"/>
        </w:r>
        <w:r w:rsidR="00D12970">
          <w:rPr>
            <w:noProof/>
            <w:webHidden/>
          </w:rPr>
          <w:instrText xml:space="preserve"> PAGEREF _Toc69839581 \h </w:instrText>
        </w:r>
        <w:r w:rsidR="00D12970">
          <w:rPr>
            <w:noProof/>
            <w:webHidden/>
          </w:rPr>
        </w:r>
        <w:r w:rsidR="00D12970">
          <w:rPr>
            <w:noProof/>
            <w:webHidden/>
          </w:rPr>
          <w:fldChar w:fldCharType="separate"/>
        </w:r>
        <w:r w:rsidR="009B3538">
          <w:rPr>
            <w:noProof/>
            <w:webHidden/>
          </w:rPr>
          <w:t>36</w:t>
        </w:r>
        <w:r w:rsidR="00D12970">
          <w:rPr>
            <w:noProof/>
            <w:webHidden/>
          </w:rPr>
          <w:fldChar w:fldCharType="end"/>
        </w:r>
      </w:hyperlink>
    </w:p>
    <w:p w14:paraId="0BDB23B1" w14:textId="637375A9"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82" w:history="1">
        <w:r w:rsidR="00D12970" w:rsidRPr="00D35633">
          <w:rPr>
            <w:rStyle w:val="Hyperlink"/>
            <w:noProof/>
          </w:rPr>
          <w:t>4.1</w:t>
        </w:r>
        <w:r w:rsidR="00D12970">
          <w:rPr>
            <w:rFonts w:asciiTheme="minorHAnsi" w:eastAsiaTheme="minorEastAsia" w:hAnsiTheme="minorHAnsi"/>
            <w:noProof/>
            <w:sz w:val="22"/>
            <w:szCs w:val="22"/>
            <w:lang w:eastAsia="en-AU"/>
          </w:rPr>
          <w:tab/>
        </w:r>
        <w:r w:rsidR="00D12970" w:rsidRPr="00D35633">
          <w:rPr>
            <w:rStyle w:val="Hyperlink"/>
            <w:noProof/>
          </w:rPr>
          <w:t>Method of assessment</w:t>
        </w:r>
        <w:r w:rsidR="00D12970">
          <w:rPr>
            <w:noProof/>
            <w:webHidden/>
          </w:rPr>
          <w:tab/>
        </w:r>
        <w:r w:rsidR="00D12970">
          <w:rPr>
            <w:noProof/>
            <w:webHidden/>
          </w:rPr>
          <w:fldChar w:fldCharType="begin"/>
        </w:r>
        <w:r w:rsidR="00D12970">
          <w:rPr>
            <w:noProof/>
            <w:webHidden/>
          </w:rPr>
          <w:instrText xml:space="preserve"> PAGEREF _Toc69839582 \h </w:instrText>
        </w:r>
        <w:r w:rsidR="00D12970">
          <w:rPr>
            <w:noProof/>
            <w:webHidden/>
          </w:rPr>
        </w:r>
        <w:r w:rsidR="00D12970">
          <w:rPr>
            <w:noProof/>
            <w:webHidden/>
          </w:rPr>
          <w:fldChar w:fldCharType="separate"/>
        </w:r>
        <w:r w:rsidR="009B3538">
          <w:rPr>
            <w:noProof/>
            <w:webHidden/>
          </w:rPr>
          <w:t>36</w:t>
        </w:r>
        <w:r w:rsidR="00D12970">
          <w:rPr>
            <w:noProof/>
            <w:webHidden/>
          </w:rPr>
          <w:fldChar w:fldCharType="end"/>
        </w:r>
      </w:hyperlink>
    </w:p>
    <w:p w14:paraId="70F4F186" w14:textId="44F9D3CF"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83" w:history="1">
        <w:r w:rsidR="00D12970" w:rsidRPr="00D35633">
          <w:rPr>
            <w:rStyle w:val="Hyperlink"/>
            <w:noProof/>
          </w:rPr>
          <w:t>4.2</w:t>
        </w:r>
        <w:r w:rsidR="00D12970">
          <w:rPr>
            <w:rFonts w:asciiTheme="minorHAnsi" w:eastAsiaTheme="minorEastAsia" w:hAnsiTheme="minorHAnsi"/>
            <w:noProof/>
            <w:sz w:val="22"/>
            <w:szCs w:val="22"/>
            <w:lang w:eastAsia="en-AU"/>
          </w:rPr>
          <w:tab/>
        </w:r>
        <w:r w:rsidR="00D12970" w:rsidRPr="00D35633">
          <w:rPr>
            <w:rStyle w:val="Hyperlink"/>
            <w:noProof/>
          </w:rPr>
          <w:t>Criteria</w:t>
        </w:r>
        <w:r w:rsidR="00D12970">
          <w:rPr>
            <w:noProof/>
            <w:webHidden/>
          </w:rPr>
          <w:tab/>
        </w:r>
        <w:r w:rsidR="00D12970">
          <w:rPr>
            <w:noProof/>
            <w:webHidden/>
          </w:rPr>
          <w:fldChar w:fldCharType="begin"/>
        </w:r>
        <w:r w:rsidR="00D12970">
          <w:rPr>
            <w:noProof/>
            <w:webHidden/>
          </w:rPr>
          <w:instrText xml:space="preserve"> PAGEREF _Toc69839583 \h </w:instrText>
        </w:r>
        <w:r w:rsidR="00D12970">
          <w:rPr>
            <w:noProof/>
            <w:webHidden/>
          </w:rPr>
        </w:r>
        <w:r w:rsidR="00D12970">
          <w:rPr>
            <w:noProof/>
            <w:webHidden/>
          </w:rPr>
          <w:fldChar w:fldCharType="separate"/>
        </w:r>
        <w:r w:rsidR="009B3538">
          <w:rPr>
            <w:noProof/>
            <w:webHidden/>
          </w:rPr>
          <w:t>37</w:t>
        </w:r>
        <w:r w:rsidR="00D12970">
          <w:rPr>
            <w:noProof/>
            <w:webHidden/>
          </w:rPr>
          <w:fldChar w:fldCharType="end"/>
        </w:r>
      </w:hyperlink>
    </w:p>
    <w:p w14:paraId="7FE292AB" w14:textId="0184D0A3"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84" w:history="1">
        <w:r w:rsidR="00D12970" w:rsidRPr="00D35633">
          <w:rPr>
            <w:rStyle w:val="Hyperlink"/>
            <w:noProof/>
          </w:rPr>
          <w:t>4.3</w:t>
        </w:r>
        <w:r w:rsidR="00D12970">
          <w:rPr>
            <w:rFonts w:asciiTheme="minorHAnsi" w:eastAsiaTheme="minorEastAsia" w:hAnsiTheme="minorHAnsi"/>
            <w:noProof/>
            <w:sz w:val="22"/>
            <w:szCs w:val="22"/>
            <w:lang w:eastAsia="en-AU"/>
          </w:rPr>
          <w:tab/>
        </w:r>
        <w:r w:rsidR="00D12970" w:rsidRPr="00D35633">
          <w:rPr>
            <w:rStyle w:val="Hyperlink"/>
            <w:noProof/>
          </w:rPr>
          <w:t>MCA Scoring</w:t>
        </w:r>
        <w:r w:rsidR="00D12970">
          <w:rPr>
            <w:noProof/>
            <w:webHidden/>
          </w:rPr>
          <w:tab/>
        </w:r>
        <w:r w:rsidR="00D12970">
          <w:rPr>
            <w:noProof/>
            <w:webHidden/>
          </w:rPr>
          <w:fldChar w:fldCharType="begin"/>
        </w:r>
        <w:r w:rsidR="00D12970">
          <w:rPr>
            <w:noProof/>
            <w:webHidden/>
          </w:rPr>
          <w:instrText xml:space="preserve"> PAGEREF _Toc69839584 \h </w:instrText>
        </w:r>
        <w:r w:rsidR="00D12970">
          <w:rPr>
            <w:noProof/>
            <w:webHidden/>
          </w:rPr>
        </w:r>
        <w:r w:rsidR="00D12970">
          <w:rPr>
            <w:noProof/>
            <w:webHidden/>
          </w:rPr>
          <w:fldChar w:fldCharType="separate"/>
        </w:r>
        <w:r w:rsidR="009B3538">
          <w:rPr>
            <w:noProof/>
            <w:webHidden/>
          </w:rPr>
          <w:t>37</w:t>
        </w:r>
        <w:r w:rsidR="00D12970">
          <w:rPr>
            <w:noProof/>
            <w:webHidden/>
          </w:rPr>
          <w:fldChar w:fldCharType="end"/>
        </w:r>
      </w:hyperlink>
    </w:p>
    <w:p w14:paraId="3221A707" w14:textId="6B6EAEA0"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85" w:history="1">
        <w:r w:rsidR="00D12970" w:rsidRPr="00D35633">
          <w:rPr>
            <w:rStyle w:val="Hyperlink"/>
            <w:noProof/>
          </w:rPr>
          <w:t>4.4</w:t>
        </w:r>
        <w:r w:rsidR="00D12970">
          <w:rPr>
            <w:rFonts w:asciiTheme="minorHAnsi" w:eastAsiaTheme="minorEastAsia" w:hAnsiTheme="minorHAnsi"/>
            <w:noProof/>
            <w:sz w:val="22"/>
            <w:szCs w:val="22"/>
            <w:lang w:eastAsia="en-AU"/>
          </w:rPr>
          <w:tab/>
        </w:r>
        <w:r w:rsidR="00D12970" w:rsidRPr="00D35633">
          <w:rPr>
            <w:rStyle w:val="Hyperlink"/>
            <w:noProof/>
          </w:rPr>
          <w:t>Detailed assessment of the costs and benefits of the Options – mapped to the key amendments</w:t>
        </w:r>
        <w:r w:rsidR="00D12970">
          <w:rPr>
            <w:noProof/>
            <w:webHidden/>
          </w:rPr>
          <w:tab/>
        </w:r>
        <w:r w:rsidR="00D12970">
          <w:rPr>
            <w:noProof/>
            <w:webHidden/>
          </w:rPr>
          <w:fldChar w:fldCharType="begin"/>
        </w:r>
        <w:r w:rsidR="00D12970">
          <w:rPr>
            <w:noProof/>
            <w:webHidden/>
          </w:rPr>
          <w:instrText xml:space="preserve"> PAGEREF _Toc69839585 \h </w:instrText>
        </w:r>
        <w:r w:rsidR="00D12970">
          <w:rPr>
            <w:noProof/>
            <w:webHidden/>
          </w:rPr>
        </w:r>
        <w:r w:rsidR="00D12970">
          <w:rPr>
            <w:noProof/>
            <w:webHidden/>
          </w:rPr>
          <w:fldChar w:fldCharType="separate"/>
        </w:r>
        <w:r w:rsidR="009B3538">
          <w:rPr>
            <w:noProof/>
            <w:webHidden/>
          </w:rPr>
          <w:t>38</w:t>
        </w:r>
        <w:r w:rsidR="00D12970">
          <w:rPr>
            <w:noProof/>
            <w:webHidden/>
          </w:rPr>
          <w:fldChar w:fldCharType="end"/>
        </w:r>
      </w:hyperlink>
    </w:p>
    <w:p w14:paraId="50118997" w14:textId="52972B29"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86" w:history="1">
        <w:r w:rsidR="00D12970" w:rsidRPr="00D35633">
          <w:rPr>
            <w:rStyle w:val="Hyperlink"/>
            <w:noProof/>
          </w:rPr>
          <w:t>4.5</w:t>
        </w:r>
        <w:r w:rsidR="00D12970">
          <w:rPr>
            <w:rFonts w:asciiTheme="minorHAnsi" w:eastAsiaTheme="minorEastAsia" w:hAnsiTheme="minorHAnsi"/>
            <w:noProof/>
            <w:sz w:val="22"/>
            <w:szCs w:val="22"/>
            <w:lang w:eastAsia="en-AU"/>
          </w:rPr>
          <w:tab/>
        </w:r>
        <w:r w:rsidR="00D12970" w:rsidRPr="00D35633">
          <w:rPr>
            <w:rStyle w:val="Hyperlink"/>
            <w:noProof/>
          </w:rPr>
          <w:t>Criteria mapped to Status Quo, Options 1 and 2</w:t>
        </w:r>
        <w:r w:rsidR="00D12970">
          <w:rPr>
            <w:noProof/>
            <w:webHidden/>
          </w:rPr>
          <w:tab/>
        </w:r>
        <w:r w:rsidR="00D12970">
          <w:rPr>
            <w:noProof/>
            <w:webHidden/>
          </w:rPr>
          <w:fldChar w:fldCharType="begin"/>
        </w:r>
        <w:r w:rsidR="00D12970">
          <w:rPr>
            <w:noProof/>
            <w:webHidden/>
          </w:rPr>
          <w:instrText xml:space="preserve"> PAGEREF _Toc69839586 \h </w:instrText>
        </w:r>
        <w:r w:rsidR="00D12970">
          <w:rPr>
            <w:noProof/>
            <w:webHidden/>
          </w:rPr>
        </w:r>
        <w:r w:rsidR="00D12970">
          <w:rPr>
            <w:noProof/>
            <w:webHidden/>
          </w:rPr>
          <w:fldChar w:fldCharType="separate"/>
        </w:r>
        <w:r w:rsidR="009B3538">
          <w:rPr>
            <w:noProof/>
            <w:webHidden/>
          </w:rPr>
          <w:t>39</w:t>
        </w:r>
        <w:r w:rsidR="00D12970">
          <w:rPr>
            <w:noProof/>
            <w:webHidden/>
          </w:rPr>
          <w:fldChar w:fldCharType="end"/>
        </w:r>
      </w:hyperlink>
    </w:p>
    <w:p w14:paraId="4BD83BB9" w14:textId="4E778156"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87" w:history="1">
        <w:r w:rsidR="00D12970" w:rsidRPr="00D35633">
          <w:rPr>
            <w:rStyle w:val="Hyperlink"/>
            <w:noProof/>
          </w:rPr>
          <w:t>4.6</w:t>
        </w:r>
        <w:r w:rsidR="00D12970">
          <w:rPr>
            <w:rFonts w:asciiTheme="minorHAnsi" w:eastAsiaTheme="minorEastAsia" w:hAnsiTheme="minorHAnsi"/>
            <w:noProof/>
            <w:sz w:val="22"/>
            <w:szCs w:val="22"/>
            <w:lang w:eastAsia="en-AU"/>
          </w:rPr>
          <w:tab/>
        </w:r>
        <w:r w:rsidR="00D12970" w:rsidRPr="00D35633">
          <w:rPr>
            <w:rStyle w:val="Hyperlink"/>
            <w:noProof/>
          </w:rPr>
          <w:t>Costs</w:t>
        </w:r>
        <w:r w:rsidR="00D12970">
          <w:rPr>
            <w:noProof/>
            <w:webHidden/>
          </w:rPr>
          <w:tab/>
        </w:r>
        <w:r w:rsidR="00D12970">
          <w:rPr>
            <w:noProof/>
            <w:webHidden/>
          </w:rPr>
          <w:fldChar w:fldCharType="begin"/>
        </w:r>
        <w:r w:rsidR="00D12970">
          <w:rPr>
            <w:noProof/>
            <w:webHidden/>
          </w:rPr>
          <w:instrText xml:space="preserve"> PAGEREF _Toc69839587 \h </w:instrText>
        </w:r>
        <w:r w:rsidR="00D12970">
          <w:rPr>
            <w:noProof/>
            <w:webHidden/>
          </w:rPr>
        </w:r>
        <w:r w:rsidR="00D12970">
          <w:rPr>
            <w:noProof/>
            <w:webHidden/>
          </w:rPr>
          <w:fldChar w:fldCharType="separate"/>
        </w:r>
        <w:r w:rsidR="009B3538">
          <w:rPr>
            <w:noProof/>
            <w:webHidden/>
          </w:rPr>
          <w:t>48</w:t>
        </w:r>
        <w:r w:rsidR="00D12970">
          <w:rPr>
            <w:noProof/>
            <w:webHidden/>
          </w:rPr>
          <w:fldChar w:fldCharType="end"/>
        </w:r>
      </w:hyperlink>
    </w:p>
    <w:p w14:paraId="41780831" w14:textId="58F95B47" w:rsidR="00D12970" w:rsidRDefault="00C672BD" w:rsidP="00B34FE1">
      <w:pPr>
        <w:pStyle w:val="TOC1"/>
        <w:tabs>
          <w:tab w:val="clear" w:pos="6917"/>
          <w:tab w:val="right" w:pos="9498"/>
        </w:tabs>
        <w:ind w:right="169"/>
        <w:rPr>
          <w:rFonts w:asciiTheme="minorHAnsi" w:eastAsiaTheme="minorEastAsia" w:hAnsiTheme="minorHAnsi"/>
          <w:noProof/>
          <w:sz w:val="22"/>
          <w:szCs w:val="22"/>
          <w:lang w:eastAsia="en-AU"/>
        </w:rPr>
      </w:pPr>
      <w:hyperlink w:anchor="_Toc69839588" w:history="1">
        <w:r w:rsidR="00D12970" w:rsidRPr="00D35633">
          <w:rPr>
            <w:rStyle w:val="Hyperlink"/>
            <w:noProof/>
          </w:rPr>
          <w:t>5</w:t>
        </w:r>
        <w:r w:rsidR="00D12970">
          <w:rPr>
            <w:rFonts w:asciiTheme="minorHAnsi" w:eastAsiaTheme="minorEastAsia" w:hAnsiTheme="minorHAnsi"/>
            <w:noProof/>
            <w:sz w:val="22"/>
            <w:szCs w:val="22"/>
            <w:lang w:eastAsia="en-AU"/>
          </w:rPr>
          <w:tab/>
        </w:r>
        <w:r w:rsidR="00D12970" w:rsidRPr="00D35633">
          <w:rPr>
            <w:rStyle w:val="Hyperlink"/>
            <w:noProof/>
          </w:rPr>
          <w:t>Impact on competition and small business</w:t>
        </w:r>
        <w:r w:rsidR="00D12970">
          <w:rPr>
            <w:noProof/>
            <w:webHidden/>
          </w:rPr>
          <w:tab/>
        </w:r>
        <w:r w:rsidR="00D12970">
          <w:rPr>
            <w:noProof/>
            <w:webHidden/>
          </w:rPr>
          <w:fldChar w:fldCharType="begin"/>
        </w:r>
        <w:r w:rsidR="00D12970">
          <w:rPr>
            <w:noProof/>
            <w:webHidden/>
          </w:rPr>
          <w:instrText xml:space="preserve"> PAGEREF _Toc69839588 \h </w:instrText>
        </w:r>
        <w:r w:rsidR="00D12970">
          <w:rPr>
            <w:noProof/>
            <w:webHidden/>
          </w:rPr>
        </w:r>
        <w:r w:rsidR="00D12970">
          <w:rPr>
            <w:noProof/>
            <w:webHidden/>
          </w:rPr>
          <w:fldChar w:fldCharType="separate"/>
        </w:r>
        <w:r w:rsidR="009B3538">
          <w:rPr>
            <w:noProof/>
            <w:webHidden/>
          </w:rPr>
          <w:t>51</w:t>
        </w:r>
        <w:r w:rsidR="00D12970">
          <w:rPr>
            <w:noProof/>
            <w:webHidden/>
          </w:rPr>
          <w:fldChar w:fldCharType="end"/>
        </w:r>
      </w:hyperlink>
    </w:p>
    <w:p w14:paraId="34DF0D6D" w14:textId="47BD19D3"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89" w:history="1">
        <w:r w:rsidR="00D12970" w:rsidRPr="00D35633">
          <w:rPr>
            <w:rStyle w:val="Hyperlink"/>
            <w:noProof/>
          </w:rPr>
          <w:t>5.1</w:t>
        </w:r>
        <w:r w:rsidR="00D12970">
          <w:rPr>
            <w:rFonts w:asciiTheme="minorHAnsi" w:eastAsiaTheme="minorEastAsia" w:hAnsiTheme="minorHAnsi"/>
            <w:noProof/>
            <w:sz w:val="22"/>
            <w:szCs w:val="22"/>
            <w:lang w:eastAsia="en-AU"/>
          </w:rPr>
          <w:tab/>
        </w:r>
        <w:r w:rsidR="00D12970" w:rsidRPr="00D35633">
          <w:rPr>
            <w:rStyle w:val="Hyperlink"/>
            <w:noProof/>
          </w:rPr>
          <w:t>Competition</w:t>
        </w:r>
        <w:r w:rsidR="00D12970">
          <w:rPr>
            <w:noProof/>
            <w:webHidden/>
          </w:rPr>
          <w:tab/>
        </w:r>
        <w:r w:rsidR="00D12970">
          <w:rPr>
            <w:noProof/>
            <w:webHidden/>
          </w:rPr>
          <w:fldChar w:fldCharType="begin"/>
        </w:r>
        <w:r w:rsidR="00D12970">
          <w:rPr>
            <w:noProof/>
            <w:webHidden/>
          </w:rPr>
          <w:instrText xml:space="preserve"> PAGEREF _Toc69839589 \h </w:instrText>
        </w:r>
        <w:r w:rsidR="00D12970">
          <w:rPr>
            <w:noProof/>
            <w:webHidden/>
          </w:rPr>
        </w:r>
        <w:r w:rsidR="00D12970">
          <w:rPr>
            <w:noProof/>
            <w:webHidden/>
          </w:rPr>
          <w:fldChar w:fldCharType="separate"/>
        </w:r>
        <w:r w:rsidR="009B3538">
          <w:rPr>
            <w:noProof/>
            <w:webHidden/>
          </w:rPr>
          <w:t>51</w:t>
        </w:r>
        <w:r w:rsidR="00D12970">
          <w:rPr>
            <w:noProof/>
            <w:webHidden/>
          </w:rPr>
          <w:fldChar w:fldCharType="end"/>
        </w:r>
      </w:hyperlink>
    </w:p>
    <w:p w14:paraId="6C12EF54" w14:textId="2C499253"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90" w:history="1">
        <w:r w:rsidR="00D12970" w:rsidRPr="00D35633">
          <w:rPr>
            <w:rStyle w:val="Hyperlink"/>
            <w:noProof/>
          </w:rPr>
          <w:t>5.2</w:t>
        </w:r>
        <w:r w:rsidR="00D12970">
          <w:rPr>
            <w:rFonts w:asciiTheme="minorHAnsi" w:eastAsiaTheme="minorEastAsia" w:hAnsiTheme="minorHAnsi"/>
            <w:noProof/>
            <w:sz w:val="22"/>
            <w:szCs w:val="22"/>
            <w:lang w:eastAsia="en-AU"/>
          </w:rPr>
          <w:tab/>
        </w:r>
        <w:r w:rsidR="00D12970" w:rsidRPr="00D35633">
          <w:rPr>
            <w:rStyle w:val="Hyperlink"/>
            <w:noProof/>
          </w:rPr>
          <w:t>Small business impacts</w:t>
        </w:r>
        <w:r w:rsidR="00D12970">
          <w:rPr>
            <w:noProof/>
            <w:webHidden/>
          </w:rPr>
          <w:tab/>
        </w:r>
        <w:r w:rsidR="00D12970">
          <w:rPr>
            <w:noProof/>
            <w:webHidden/>
          </w:rPr>
          <w:fldChar w:fldCharType="begin"/>
        </w:r>
        <w:r w:rsidR="00D12970">
          <w:rPr>
            <w:noProof/>
            <w:webHidden/>
          </w:rPr>
          <w:instrText xml:space="preserve"> PAGEREF _Toc69839590 \h </w:instrText>
        </w:r>
        <w:r w:rsidR="00D12970">
          <w:rPr>
            <w:noProof/>
            <w:webHidden/>
          </w:rPr>
        </w:r>
        <w:r w:rsidR="00D12970">
          <w:rPr>
            <w:noProof/>
            <w:webHidden/>
          </w:rPr>
          <w:fldChar w:fldCharType="separate"/>
        </w:r>
        <w:r w:rsidR="009B3538">
          <w:rPr>
            <w:noProof/>
            <w:webHidden/>
          </w:rPr>
          <w:t>52</w:t>
        </w:r>
        <w:r w:rsidR="00D12970">
          <w:rPr>
            <w:noProof/>
            <w:webHidden/>
          </w:rPr>
          <w:fldChar w:fldCharType="end"/>
        </w:r>
      </w:hyperlink>
    </w:p>
    <w:p w14:paraId="2D745676" w14:textId="34AFB805" w:rsidR="00D12970" w:rsidRDefault="00C672BD" w:rsidP="00B34FE1">
      <w:pPr>
        <w:pStyle w:val="TOC1"/>
        <w:tabs>
          <w:tab w:val="clear" w:pos="6917"/>
          <w:tab w:val="right" w:pos="9498"/>
        </w:tabs>
        <w:ind w:right="169"/>
        <w:rPr>
          <w:rFonts w:asciiTheme="minorHAnsi" w:eastAsiaTheme="minorEastAsia" w:hAnsiTheme="minorHAnsi"/>
          <w:noProof/>
          <w:sz w:val="22"/>
          <w:szCs w:val="22"/>
          <w:lang w:eastAsia="en-AU"/>
        </w:rPr>
      </w:pPr>
      <w:hyperlink w:anchor="_Toc69839591" w:history="1">
        <w:r w:rsidR="00D12970" w:rsidRPr="00D35633">
          <w:rPr>
            <w:rStyle w:val="Hyperlink"/>
            <w:noProof/>
          </w:rPr>
          <w:t>6</w:t>
        </w:r>
        <w:r w:rsidR="00D12970">
          <w:rPr>
            <w:rFonts w:asciiTheme="minorHAnsi" w:eastAsiaTheme="minorEastAsia" w:hAnsiTheme="minorHAnsi"/>
            <w:noProof/>
            <w:sz w:val="22"/>
            <w:szCs w:val="22"/>
            <w:lang w:eastAsia="en-AU"/>
          </w:rPr>
          <w:tab/>
        </w:r>
        <w:r w:rsidR="00D12970" w:rsidRPr="00D35633">
          <w:rPr>
            <w:rStyle w:val="Hyperlink"/>
            <w:noProof/>
          </w:rPr>
          <w:t>Implementation and evaluation</w:t>
        </w:r>
        <w:r w:rsidR="00D12970">
          <w:rPr>
            <w:noProof/>
            <w:webHidden/>
          </w:rPr>
          <w:tab/>
        </w:r>
        <w:r w:rsidR="00D12970">
          <w:rPr>
            <w:noProof/>
            <w:webHidden/>
          </w:rPr>
          <w:fldChar w:fldCharType="begin"/>
        </w:r>
        <w:r w:rsidR="00D12970">
          <w:rPr>
            <w:noProof/>
            <w:webHidden/>
          </w:rPr>
          <w:instrText xml:space="preserve"> PAGEREF _Toc69839591 \h </w:instrText>
        </w:r>
        <w:r w:rsidR="00D12970">
          <w:rPr>
            <w:noProof/>
            <w:webHidden/>
          </w:rPr>
        </w:r>
        <w:r w:rsidR="00D12970">
          <w:rPr>
            <w:noProof/>
            <w:webHidden/>
          </w:rPr>
          <w:fldChar w:fldCharType="separate"/>
        </w:r>
        <w:r w:rsidR="009B3538">
          <w:rPr>
            <w:noProof/>
            <w:webHidden/>
          </w:rPr>
          <w:t>55</w:t>
        </w:r>
        <w:r w:rsidR="00D12970">
          <w:rPr>
            <w:noProof/>
            <w:webHidden/>
          </w:rPr>
          <w:fldChar w:fldCharType="end"/>
        </w:r>
      </w:hyperlink>
    </w:p>
    <w:p w14:paraId="6325CAE6" w14:textId="552045C1"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92" w:history="1">
        <w:r w:rsidR="00D12970" w:rsidRPr="00D35633">
          <w:rPr>
            <w:rStyle w:val="Hyperlink"/>
            <w:noProof/>
          </w:rPr>
          <w:t>6.1</w:t>
        </w:r>
        <w:r w:rsidR="00D12970">
          <w:rPr>
            <w:rFonts w:asciiTheme="minorHAnsi" w:eastAsiaTheme="minorEastAsia" w:hAnsiTheme="minorHAnsi"/>
            <w:noProof/>
            <w:sz w:val="22"/>
            <w:szCs w:val="22"/>
            <w:lang w:eastAsia="en-AU"/>
          </w:rPr>
          <w:tab/>
        </w:r>
        <w:r w:rsidR="00D12970" w:rsidRPr="00D35633">
          <w:rPr>
            <w:rStyle w:val="Hyperlink"/>
            <w:noProof/>
          </w:rPr>
          <w:t>Implementation</w:t>
        </w:r>
        <w:r w:rsidR="00D12970">
          <w:rPr>
            <w:noProof/>
            <w:webHidden/>
          </w:rPr>
          <w:tab/>
        </w:r>
        <w:r w:rsidR="00D12970">
          <w:rPr>
            <w:noProof/>
            <w:webHidden/>
          </w:rPr>
          <w:fldChar w:fldCharType="begin"/>
        </w:r>
        <w:r w:rsidR="00D12970">
          <w:rPr>
            <w:noProof/>
            <w:webHidden/>
          </w:rPr>
          <w:instrText xml:space="preserve"> PAGEREF _Toc69839592 \h </w:instrText>
        </w:r>
        <w:r w:rsidR="00D12970">
          <w:rPr>
            <w:noProof/>
            <w:webHidden/>
          </w:rPr>
        </w:r>
        <w:r w:rsidR="00D12970">
          <w:rPr>
            <w:noProof/>
            <w:webHidden/>
          </w:rPr>
          <w:fldChar w:fldCharType="separate"/>
        </w:r>
        <w:r w:rsidR="009B3538">
          <w:rPr>
            <w:noProof/>
            <w:webHidden/>
          </w:rPr>
          <w:t>55</w:t>
        </w:r>
        <w:r w:rsidR="00D12970">
          <w:rPr>
            <w:noProof/>
            <w:webHidden/>
          </w:rPr>
          <w:fldChar w:fldCharType="end"/>
        </w:r>
      </w:hyperlink>
    </w:p>
    <w:p w14:paraId="3BE5D82F" w14:textId="51281D35"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93" w:history="1">
        <w:r w:rsidR="00D12970" w:rsidRPr="00D35633">
          <w:rPr>
            <w:rStyle w:val="Hyperlink"/>
            <w:noProof/>
          </w:rPr>
          <w:t>6.2</w:t>
        </w:r>
        <w:r w:rsidR="00D12970">
          <w:rPr>
            <w:rFonts w:asciiTheme="minorHAnsi" w:eastAsiaTheme="minorEastAsia" w:hAnsiTheme="minorHAnsi"/>
            <w:noProof/>
            <w:sz w:val="22"/>
            <w:szCs w:val="22"/>
            <w:lang w:eastAsia="en-AU"/>
          </w:rPr>
          <w:tab/>
        </w:r>
        <w:r w:rsidR="00D12970" w:rsidRPr="00D35633">
          <w:rPr>
            <w:rStyle w:val="Hyperlink"/>
            <w:noProof/>
          </w:rPr>
          <w:t>Evaluation</w:t>
        </w:r>
        <w:r w:rsidR="00D12970">
          <w:rPr>
            <w:noProof/>
            <w:webHidden/>
          </w:rPr>
          <w:tab/>
        </w:r>
        <w:r w:rsidR="00D12970">
          <w:rPr>
            <w:noProof/>
            <w:webHidden/>
          </w:rPr>
          <w:fldChar w:fldCharType="begin"/>
        </w:r>
        <w:r w:rsidR="00D12970">
          <w:rPr>
            <w:noProof/>
            <w:webHidden/>
          </w:rPr>
          <w:instrText xml:space="preserve"> PAGEREF _Toc69839593 \h </w:instrText>
        </w:r>
        <w:r w:rsidR="00D12970">
          <w:rPr>
            <w:noProof/>
            <w:webHidden/>
          </w:rPr>
        </w:r>
        <w:r w:rsidR="00D12970">
          <w:rPr>
            <w:noProof/>
            <w:webHidden/>
          </w:rPr>
          <w:fldChar w:fldCharType="separate"/>
        </w:r>
        <w:r w:rsidR="009B3538">
          <w:rPr>
            <w:noProof/>
            <w:webHidden/>
          </w:rPr>
          <w:t>55</w:t>
        </w:r>
        <w:r w:rsidR="00D12970">
          <w:rPr>
            <w:noProof/>
            <w:webHidden/>
          </w:rPr>
          <w:fldChar w:fldCharType="end"/>
        </w:r>
      </w:hyperlink>
    </w:p>
    <w:p w14:paraId="7BA35BDC" w14:textId="0303933C" w:rsidR="00D12970" w:rsidRDefault="00C672BD" w:rsidP="00B34FE1">
      <w:pPr>
        <w:pStyle w:val="TOC2"/>
        <w:tabs>
          <w:tab w:val="clear" w:pos="6917"/>
          <w:tab w:val="left" w:pos="1134"/>
          <w:tab w:val="right" w:pos="9498"/>
        </w:tabs>
        <w:ind w:right="169"/>
        <w:rPr>
          <w:rFonts w:asciiTheme="minorHAnsi" w:eastAsiaTheme="minorEastAsia" w:hAnsiTheme="minorHAnsi"/>
          <w:noProof/>
          <w:sz w:val="22"/>
          <w:szCs w:val="22"/>
          <w:lang w:eastAsia="en-AU"/>
        </w:rPr>
      </w:pPr>
      <w:hyperlink w:anchor="_Toc69839594" w:history="1">
        <w:r w:rsidR="00D12970" w:rsidRPr="00D35633">
          <w:rPr>
            <w:rStyle w:val="Hyperlink"/>
            <w:noProof/>
          </w:rPr>
          <w:t>6.3</w:t>
        </w:r>
        <w:r w:rsidR="00D12970">
          <w:rPr>
            <w:rFonts w:asciiTheme="minorHAnsi" w:eastAsiaTheme="minorEastAsia" w:hAnsiTheme="minorHAnsi"/>
            <w:noProof/>
            <w:sz w:val="22"/>
            <w:szCs w:val="22"/>
            <w:lang w:eastAsia="en-AU"/>
          </w:rPr>
          <w:tab/>
        </w:r>
        <w:r w:rsidR="00D12970" w:rsidRPr="00D35633">
          <w:rPr>
            <w:rStyle w:val="Hyperlink"/>
            <w:noProof/>
          </w:rPr>
          <w:t>Enforcement</w:t>
        </w:r>
        <w:r w:rsidR="00D12970">
          <w:rPr>
            <w:noProof/>
            <w:webHidden/>
          </w:rPr>
          <w:tab/>
        </w:r>
        <w:r w:rsidR="00D12970">
          <w:rPr>
            <w:noProof/>
            <w:webHidden/>
          </w:rPr>
          <w:fldChar w:fldCharType="begin"/>
        </w:r>
        <w:r w:rsidR="00D12970">
          <w:rPr>
            <w:noProof/>
            <w:webHidden/>
          </w:rPr>
          <w:instrText xml:space="preserve"> PAGEREF _Toc69839594 \h </w:instrText>
        </w:r>
        <w:r w:rsidR="00D12970">
          <w:rPr>
            <w:noProof/>
            <w:webHidden/>
          </w:rPr>
        </w:r>
        <w:r w:rsidR="00D12970">
          <w:rPr>
            <w:noProof/>
            <w:webHidden/>
          </w:rPr>
          <w:fldChar w:fldCharType="separate"/>
        </w:r>
        <w:r w:rsidR="009B3538">
          <w:rPr>
            <w:noProof/>
            <w:webHidden/>
          </w:rPr>
          <w:t>57</w:t>
        </w:r>
        <w:r w:rsidR="00D12970">
          <w:rPr>
            <w:noProof/>
            <w:webHidden/>
          </w:rPr>
          <w:fldChar w:fldCharType="end"/>
        </w:r>
      </w:hyperlink>
    </w:p>
    <w:p w14:paraId="4925F7C2" w14:textId="4508107D" w:rsidR="00A6563E" w:rsidRPr="00A419C1" w:rsidRDefault="00813058" w:rsidP="00C73B72">
      <w:pPr>
        <w:tabs>
          <w:tab w:val="right" w:pos="8789"/>
          <w:tab w:val="right" w:pos="9498"/>
        </w:tabs>
        <w:ind w:right="169"/>
        <w:sectPr w:rsidR="00A6563E" w:rsidRPr="00A419C1" w:rsidSect="00E21C22">
          <w:headerReference w:type="default" r:id="rId21"/>
          <w:footerReference w:type="default" r:id="rId22"/>
          <w:pgSz w:w="11906" w:h="16838" w:code="9"/>
          <w:pgMar w:top="1985" w:right="1559" w:bottom="1134" w:left="680" w:header="680" w:footer="425" w:gutter="0"/>
          <w:cols w:space="284"/>
          <w:noEndnote/>
          <w:docGrid w:linePitch="360"/>
        </w:sectPr>
      </w:pPr>
      <w:r w:rsidRPr="00A419C1">
        <w:fldChar w:fldCharType="end"/>
      </w:r>
    </w:p>
    <w:p w14:paraId="509EA4C4" w14:textId="77777777" w:rsidR="00FC6122" w:rsidRPr="00A419C1" w:rsidRDefault="00FC6122" w:rsidP="00FC6122">
      <w:pPr>
        <w:pStyle w:val="TOCHeading"/>
      </w:pPr>
      <w:bookmarkStart w:id="4" w:name="_Hlk482167878"/>
      <w:r w:rsidRPr="00A419C1">
        <w:lastRenderedPageBreak/>
        <w:t>Charts</w:t>
      </w:r>
    </w:p>
    <w:p w14:paraId="34D2B55A" w14:textId="2D4D3BF1" w:rsidR="00246EAC" w:rsidRDefault="00FC6122">
      <w:pPr>
        <w:pStyle w:val="TOC6"/>
        <w:tabs>
          <w:tab w:val="right" w:leader="dot" w:pos="9657"/>
        </w:tabs>
        <w:rPr>
          <w:rFonts w:asciiTheme="minorHAnsi" w:eastAsiaTheme="minorEastAsia" w:hAnsiTheme="minorHAnsi"/>
          <w:noProof/>
          <w:sz w:val="22"/>
          <w:szCs w:val="22"/>
          <w:lang w:eastAsia="en-AU"/>
        </w:rPr>
      </w:pPr>
      <w:r w:rsidRPr="00A419C1">
        <w:fldChar w:fldCharType="begin"/>
      </w:r>
      <w:r w:rsidRPr="00A419C1">
        <w:instrText xml:space="preserve"> TOC \h \z \t "Caption_Chart,6,Exec Chart Caption,6,Appendix Chart Caption,6" </w:instrText>
      </w:r>
      <w:r w:rsidRPr="00A419C1">
        <w:fldChar w:fldCharType="separate"/>
      </w:r>
      <w:hyperlink w:anchor="_Toc68799776" w:history="1">
        <w:r w:rsidR="00246EAC" w:rsidRPr="00BB6F45">
          <w:rPr>
            <w:rStyle w:val="Hyperlink"/>
            <w:noProof/>
          </w:rPr>
          <w:t>Chart 1.1 : Residential energy use by fuel type, 2018-19.</w:t>
        </w:r>
        <w:r w:rsidR="00246EAC">
          <w:rPr>
            <w:noProof/>
            <w:webHidden/>
          </w:rPr>
          <w:tab/>
        </w:r>
        <w:r w:rsidR="00246EAC">
          <w:rPr>
            <w:noProof/>
            <w:webHidden/>
          </w:rPr>
          <w:fldChar w:fldCharType="begin"/>
        </w:r>
        <w:r w:rsidR="00246EAC">
          <w:rPr>
            <w:noProof/>
            <w:webHidden/>
          </w:rPr>
          <w:instrText xml:space="preserve"> PAGEREF _Toc68799776 \h </w:instrText>
        </w:r>
        <w:r w:rsidR="00246EAC">
          <w:rPr>
            <w:noProof/>
            <w:webHidden/>
          </w:rPr>
        </w:r>
        <w:r w:rsidR="00246EAC">
          <w:rPr>
            <w:noProof/>
            <w:webHidden/>
          </w:rPr>
          <w:fldChar w:fldCharType="separate"/>
        </w:r>
        <w:r w:rsidR="009B3538">
          <w:rPr>
            <w:noProof/>
            <w:webHidden/>
          </w:rPr>
          <w:t>19</w:t>
        </w:r>
        <w:r w:rsidR="00246EAC">
          <w:rPr>
            <w:noProof/>
            <w:webHidden/>
          </w:rPr>
          <w:fldChar w:fldCharType="end"/>
        </w:r>
      </w:hyperlink>
    </w:p>
    <w:p w14:paraId="0901A831" w14:textId="3A9D65DD" w:rsidR="00FC6122" w:rsidRPr="00A419C1" w:rsidRDefault="00FC6122" w:rsidP="00FC6122">
      <w:r w:rsidRPr="00A419C1">
        <w:fldChar w:fldCharType="end"/>
      </w:r>
    </w:p>
    <w:p w14:paraId="1F9E215E" w14:textId="77777777" w:rsidR="00FC6122" w:rsidRPr="00A419C1" w:rsidRDefault="00FC6122" w:rsidP="00FC6122"/>
    <w:p w14:paraId="1072C428" w14:textId="77777777" w:rsidR="00FC6122" w:rsidRPr="00A419C1" w:rsidRDefault="00FC6122" w:rsidP="00FC6122">
      <w:pPr>
        <w:pStyle w:val="TOCHeading"/>
      </w:pPr>
      <w:r w:rsidRPr="00A419C1">
        <w:t>Tables</w:t>
      </w:r>
    </w:p>
    <w:p w14:paraId="612F14F8" w14:textId="6655FB08" w:rsidR="00246EAC" w:rsidRDefault="00FC6122">
      <w:pPr>
        <w:pStyle w:val="TOC8"/>
        <w:tabs>
          <w:tab w:val="right" w:leader="dot" w:pos="9657"/>
        </w:tabs>
        <w:rPr>
          <w:rFonts w:asciiTheme="minorHAnsi" w:eastAsiaTheme="minorEastAsia" w:hAnsiTheme="minorHAnsi"/>
          <w:noProof/>
          <w:sz w:val="22"/>
          <w:szCs w:val="22"/>
          <w:lang w:eastAsia="en-AU"/>
        </w:rPr>
      </w:pPr>
      <w:r w:rsidRPr="00A419C1">
        <w:fldChar w:fldCharType="begin"/>
      </w:r>
      <w:r w:rsidRPr="00A419C1">
        <w:instrText xml:space="preserve"> TOC \h \z \t "Caption_Table,8,Exec Table Caption,8,Appendix Table Caption,8" </w:instrText>
      </w:r>
      <w:r w:rsidRPr="00A419C1">
        <w:fldChar w:fldCharType="separate"/>
      </w:r>
      <w:hyperlink w:anchor="_Toc68799765" w:history="1">
        <w:r w:rsidR="00246EAC" w:rsidRPr="007F3055">
          <w:rPr>
            <w:rStyle w:val="Hyperlink"/>
            <w:noProof/>
          </w:rPr>
          <w:t>Table 1.1 : Annual gas consumption and peak daily demand from 2014-2020, Victoria.</w:t>
        </w:r>
        <w:r w:rsidR="00246EAC">
          <w:rPr>
            <w:noProof/>
            <w:webHidden/>
          </w:rPr>
          <w:tab/>
        </w:r>
        <w:r w:rsidR="00246EAC">
          <w:rPr>
            <w:noProof/>
            <w:webHidden/>
          </w:rPr>
          <w:fldChar w:fldCharType="begin"/>
        </w:r>
        <w:r w:rsidR="00246EAC">
          <w:rPr>
            <w:noProof/>
            <w:webHidden/>
          </w:rPr>
          <w:instrText xml:space="preserve"> PAGEREF _Toc68799765 \h </w:instrText>
        </w:r>
        <w:r w:rsidR="00246EAC">
          <w:rPr>
            <w:noProof/>
            <w:webHidden/>
          </w:rPr>
        </w:r>
        <w:r w:rsidR="00246EAC">
          <w:rPr>
            <w:noProof/>
            <w:webHidden/>
          </w:rPr>
          <w:fldChar w:fldCharType="separate"/>
        </w:r>
        <w:r w:rsidR="009B3538">
          <w:rPr>
            <w:noProof/>
            <w:webHidden/>
          </w:rPr>
          <w:t>19</w:t>
        </w:r>
        <w:r w:rsidR="00246EAC">
          <w:rPr>
            <w:noProof/>
            <w:webHidden/>
          </w:rPr>
          <w:fldChar w:fldCharType="end"/>
        </w:r>
      </w:hyperlink>
    </w:p>
    <w:p w14:paraId="66445F9C" w14:textId="4371FE1B" w:rsidR="00246EAC" w:rsidRDefault="00C672BD">
      <w:pPr>
        <w:pStyle w:val="TOC8"/>
        <w:tabs>
          <w:tab w:val="right" w:leader="dot" w:pos="9657"/>
        </w:tabs>
        <w:rPr>
          <w:rFonts w:asciiTheme="minorHAnsi" w:eastAsiaTheme="minorEastAsia" w:hAnsiTheme="minorHAnsi"/>
          <w:noProof/>
          <w:sz w:val="22"/>
          <w:szCs w:val="22"/>
          <w:lang w:eastAsia="en-AU"/>
        </w:rPr>
      </w:pPr>
      <w:hyperlink w:anchor="_Toc68799767" w:history="1">
        <w:r w:rsidR="00246EAC" w:rsidRPr="007F3055">
          <w:rPr>
            <w:rStyle w:val="Hyperlink"/>
            <w:noProof/>
          </w:rPr>
          <w:t>Table 1.2 : Annual gas supply and consumption forecast for 2020-2024, Victoria.</w:t>
        </w:r>
        <w:r w:rsidR="00246EAC">
          <w:rPr>
            <w:noProof/>
            <w:webHidden/>
          </w:rPr>
          <w:tab/>
        </w:r>
        <w:r w:rsidR="00246EAC">
          <w:rPr>
            <w:noProof/>
            <w:webHidden/>
          </w:rPr>
          <w:fldChar w:fldCharType="begin"/>
        </w:r>
        <w:r w:rsidR="00246EAC">
          <w:rPr>
            <w:noProof/>
            <w:webHidden/>
          </w:rPr>
          <w:instrText xml:space="preserve"> PAGEREF _Toc68799767 \h </w:instrText>
        </w:r>
        <w:r w:rsidR="00246EAC">
          <w:rPr>
            <w:noProof/>
            <w:webHidden/>
          </w:rPr>
        </w:r>
        <w:r w:rsidR="00246EAC">
          <w:rPr>
            <w:noProof/>
            <w:webHidden/>
          </w:rPr>
          <w:fldChar w:fldCharType="separate"/>
        </w:r>
        <w:r w:rsidR="009B3538">
          <w:rPr>
            <w:noProof/>
            <w:webHidden/>
          </w:rPr>
          <w:t>20</w:t>
        </w:r>
        <w:r w:rsidR="00246EAC">
          <w:rPr>
            <w:noProof/>
            <w:webHidden/>
          </w:rPr>
          <w:fldChar w:fldCharType="end"/>
        </w:r>
      </w:hyperlink>
    </w:p>
    <w:p w14:paraId="6814C4A1" w14:textId="10647B75" w:rsidR="00246EAC" w:rsidRDefault="00C672BD">
      <w:pPr>
        <w:pStyle w:val="TOC8"/>
        <w:tabs>
          <w:tab w:val="right" w:leader="dot" w:pos="9657"/>
        </w:tabs>
        <w:rPr>
          <w:rFonts w:asciiTheme="minorHAnsi" w:eastAsiaTheme="minorEastAsia" w:hAnsiTheme="minorHAnsi"/>
          <w:noProof/>
          <w:sz w:val="22"/>
          <w:szCs w:val="22"/>
          <w:lang w:eastAsia="en-AU"/>
        </w:rPr>
      </w:pPr>
      <w:hyperlink w:anchor="_Toc68799768" w:history="1">
        <w:r w:rsidR="00246EAC" w:rsidRPr="007F3055">
          <w:rPr>
            <w:rStyle w:val="Hyperlink"/>
            <w:noProof/>
          </w:rPr>
          <w:t>Table 3.1 : Fee units payable under the Regulations and FY21 dollar amounts (linked to CPI)</w:t>
        </w:r>
        <w:r w:rsidR="00246EAC">
          <w:rPr>
            <w:noProof/>
            <w:webHidden/>
          </w:rPr>
          <w:tab/>
        </w:r>
        <w:r w:rsidR="00246EAC">
          <w:rPr>
            <w:noProof/>
            <w:webHidden/>
          </w:rPr>
          <w:fldChar w:fldCharType="begin"/>
        </w:r>
        <w:r w:rsidR="00246EAC">
          <w:rPr>
            <w:noProof/>
            <w:webHidden/>
          </w:rPr>
          <w:instrText xml:space="preserve"> PAGEREF _Toc68799768 \h </w:instrText>
        </w:r>
        <w:r w:rsidR="00246EAC">
          <w:rPr>
            <w:noProof/>
            <w:webHidden/>
          </w:rPr>
        </w:r>
        <w:r w:rsidR="00246EAC">
          <w:rPr>
            <w:noProof/>
            <w:webHidden/>
          </w:rPr>
          <w:fldChar w:fldCharType="separate"/>
        </w:r>
        <w:r w:rsidR="009B3538">
          <w:rPr>
            <w:noProof/>
            <w:webHidden/>
          </w:rPr>
          <w:t>34</w:t>
        </w:r>
        <w:r w:rsidR="00246EAC">
          <w:rPr>
            <w:noProof/>
            <w:webHidden/>
          </w:rPr>
          <w:fldChar w:fldCharType="end"/>
        </w:r>
      </w:hyperlink>
    </w:p>
    <w:p w14:paraId="7FC82FF9" w14:textId="42DA656B" w:rsidR="00246EAC" w:rsidRDefault="00C672BD">
      <w:pPr>
        <w:pStyle w:val="TOC8"/>
        <w:tabs>
          <w:tab w:val="right" w:leader="dot" w:pos="9657"/>
        </w:tabs>
        <w:rPr>
          <w:rFonts w:asciiTheme="minorHAnsi" w:eastAsiaTheme="minorEastAsia" w:hAnsiTheme="minorHAnsi"/>
          <w:noProof/>
          <w:sz w:val="22"/>
          <w:szCs w:val="22"/>
          <w:lang w:eastAsia="en-AU"/>
        </w:rPr>
      </w:pPr>
      <w:hyperlink w:anchor="_Toc68799769" w:history="1">
        <w:r w:rsidR="00246EAC" w:rsidRPr="007F3055">
          <w:rPr>
            <w:rStyle w:val="Hyperlink"/>
            <w:iCs/>
            <w:noProof/>
          </w:rPr>
          <w:t>Table 4.1</w:t>
        </w:r>
        <w:r w:rsidR="00246EAC" w:rsidRPr="007F3055">
          <w:rPr>
            <w:rStyle w:val="Hyperlink"/>
            <w:noProof/>
          </w:rPr>
          <w:t xml:space="preserve"> : </w:t>
        </w:r>
        <w:r w:rsidR="00246EAC" w:rsidRPr="007F3055">
          <w:rPr>
            <w:rStyle w:val="Hyperlink"/>
            <w:iCs/>
            <w:noProof/>
          </w:rPr>
          <w:t>MCA Scale</w:t>
        </w:r>
        <w:r w:rsidR="00246EAC">
          <w:rPr>
            <w:noProof/>
            <w:webHidden/>
          </w:rPr>
          <w:tab/>
        </w:r>
        <w:r w:rsidR="00246EAC">
          <w:rPr>
            <w:noProof/>
            <w:webHidden/>
          </w:rPr>
          <w:fldChar w:fldCharType="begin"/>
        </w:r>
        <w:r w:rsidR="00246EAC">
          <w:rPr>
            <w:noProof/>
            <w:webHidden/>
          </w:rPr>
          <w:instrText xml:space="preserve"> PAGEREF _Toc68799769 \h </w:instrText>
        </w:r>
        <w:r w:rsidR="00246EAC">
          <w:rPr>
            <w:noProof/>
            <w:webHidden/>
          </w:rPr>
        </w:r>
        <w:r w:rsidR="00246EAC">
          <w:rPr>
            <w:noProof/>
            <w:webHidden/>
          </w:rPr>
          <w:fldChar w:fldCharType="separate"/>
        </w:r>
        <w:r w:rsidR="009B3538">
          <w:rPr>
            <w:noProof/>
            <w:webHidden/>
          </w:rPr>
          <w:t>36</w:t>
        </w:r>
        <w:r w:rsidR="00246EAC">
          <w:rPr>
            <w:noProof/>
            <w:webHidden/>
          </w:rPr>
          <w:fldChar w:fldCharType="end"/>
        </w:r>
      </w:hyperlink>
    </w:p>
    <w:p w14:paraId="3DE55B58" w14:textId="53A3FA22" w:rsidR="00246EAC" w:rsidRDefault="00C672BD">
      <w:pPr>
        <w:pStyle w:val="TOC8"/>
        <w:tabs>
          <w:tab w:val="right" w:leader="dot" w:pos="9657"/>
        </w:tabs>
        <w:rPr>
          <w:rFonts w:asciiTheme="minorHAnsi" w:eastAsiaTheme="minorEastAsia" w:hAnsiTheme="minorHAnsi"/>
          <w:noProof/>
          <w:sz w:val="22"/>
          <w:szCs w:val="22"/>
          <w:lang w:eastAsia="en-AU"/>
        </w:rPr>
      </w:pPr>
      <w:hyperlink w:anchor="_Toc68799770" w:history="1">
        <w:r w:rsidR="00246EAC" w:rsidRPr="007F3055">
          <w:rPr>
            <w:rStyle w:val="Hyperlink"/>
            <w:noProof/>
          </w:rPr>
          <w:t>Table 4.2 : MCA criteria and weights</w:t>
        </w:r>
        <w:r w:rsidR="00246EAC">
          <w:rPr>
            <w:noProof/>
            <w:webHidden/>
          </w:rPr>
          <w:tab/>
        </w:r>
        <w:r w:rsidR="00246EAC">
          <w:rPr>
            <w:noProof/>
            <w:webHidden/>
          </w:rPr>
          <w:fldChar w:fldCharType="begin"/>
        </w:r>
        <w:r w:rsidR="00246EAC">
          <w:rPr>
            <w:noProof/>
            <w:webHidden/>
          </w:rPr>
          <w:instrText xml:space="preserve"> PAGEREF _Toc68799770 \h </w:instrText>
        </w:r>
        <w:r w:rsidR="00246EAC">
          <w:rPr>
            <w:noProof/>
            <w:webHidden/>
          </w:rPr>
        </w:r>
        <w:r w:rsidR="00246EAC">
          <w:rPr>
            <w:noProof/>
            <w:webHidden/>
          </w:rPr>
          <w:fldChar w:fldCharType="separate"/>
        </w:r>
        <w:r w:rsidR="009B3538">
          <w:rPr>
            <w:noProof/>
            <w:webHidden/>
          </w:rPr>
          <w:t>37</w:t>
        </w:r>
        <w:r w:rsidR="00246EAC">
          <w:rPr>
            <w:noProof/>
            <w:webHidden/>
          </w:rPr>
          <w:fldChar w:fldCharType="end"/>
        </w:r>
      </w:hyperlink>
    </w:p>
    <w:p w14:paraId="22EE0A6C" w14:textId="5C889574" w:rsidR="00246EAC" w:rsidRDefault="00C672BD">
      <w:pPr>
        <w:pStyle w:val="TOC8"/>
        <w:tabs>
          <w:tab w:val="right" w:leader="dot" w:pos="9657"/>
        </w:tabs>
        <w:rPr>
          <w:rFonts w:asciiTheme="minorHAnsi" w:eastAsiaTheme="minorEastAsia" w:hAnsiTheme="minorHAnsi"/>
          <w:noProof/>
          <w:sz w:val="22"/>
          <w:szCs w:val="22"/>
          <w:lang w:eastAsia="en-AU"/>
        </w:rPr>
      </w:pPr>
      <w:hyperlink w:anchor="_Toc68799771" w:history="1">
        <w:r w:rsidR="00246EAC" w:rsidRPr="007F3055">
          <w:rPr>
            <w:rStyle w:val="Hyperlink"/>
            <w:noProof/>
          </w:rPr>
          <w:t>Table 4.3 : MCA results</w:t>
        </w:r>
        <w:r w:rsidR="00246EAC">
          <w:rPr>
            <w:noProof/>
            <w:webHidden/>
          </w:rPr>
          <w:tab/>
        </w:r>
        <w:r w:rsidR="00246EAC">
          <w:rPr>
            <w:noProof/>
            <w:webHidden/>
          </w:rPr>
          <w:fldChar w:fldCharType="begin"/>
        </w:r>
        <w:r w:rsidR="00246EAC">
          <w:rPr>
            <w:noProof/>
            <w:webHidden/>
          </w:rPr>
          <w:instrText xml:space="preserve"> PAGEREF _Toc68799771 \h </w:instrText>
        </w:r>
        <w:r w:rsidR="00246EAC">
          <w:rPr>
            <w:noProof/>
            <w:webHidden/>
          </w:rPr>
        </w:r>
        <w:r w:rsidR="00246EAC">
          <w:rPr>
            <w:noProof/>
            <w:webHidden/>
          </w:rPr>
          <w:fldChar w:fldCharType="separate"/>
        </w:r>
        <w:r w:rsidR="009B3538">
          <w:rPr>
            <w:noProof/>
            <w:webHidden/>
          </w:rPr>
          <w:t>38</w:t>
        </w:r>
        <w:r w:rsidR="00246EAC">
          <w:rPr>
            <w:noProof/>
            <w:webHidden/>
          </w:rPr>
          <w:fldChar w:fldCharType="end"/>
        </w:r>
      </w:hyperlink>
    </w:p>
    <w:p w14:paraId="2112A7B4" w14:textId="1C10C522" w:rsidR="00246EAC" w:rsidRDefault="00C672BD">
      <w:pPr>
        <w:pStyle w:val="TOC8"/>
        <w:tabs>
          <w:tab w:val="right" w:leader="dot" w:pos="9657"/>
        </w:tabs>
        <w:rPr>
          <w:rFonts w:asciiTheme="minorHAnsi" w:eastAsiaTheme="minorEastAsia" w:hAnsiTheme="minorHAnsi"/>
          <w:noProof/>
          <w:sz w:val="22"/>
          <w:szCs w:val="22"/>
          <w:lang w:eastAsia="en-AU"/>
        </w:rPr>
      </w:pPr>
      <w:hyperlink w:anchor="_Toc68799772" w:history="1">
        <w:r w:rsidR="00246EAC" w:rsidRPr="007F3055">
          <w:rPr>
            <w:rStyle w:val="Hyperlink"/>
            <w:noProof/>
          </w:rPr>
          <w:t>Table 5.1 : Competition assessment questions</w:t>
        </w:r>
        <w:r w:rsidR="00246EAC">
          <w:rPr>
            <w:noProof/>
            <w:webHidden/>
          </w:rPr>
          <w:tab/>
        </w:r>
        <w:r w:rsidR="00246EAC">
          <w:rPr>
            <w:noProof/>
            <w:webHidden/>
          </w:rPr>
          <w:fldChar w:fldCharType="begin"/>
        </w:r>
        <w:r w:rsidR="00246EAC">
          <w:rPr>
            <w:noProof/>
            <w:webHidden/>
          </w:rPr>
          <w:instrText xml:space="preserve"> PAGEREF _Toc68799772 \h </w:instrText>
        </w:r>
        <w:r w:rsidR="00246EAC">
          <w:rPr>
            <w:noProof/>
            <w:webHidden/>
          </w:rPr>
        </w:r>
        <w:r w:rsidR="00246EAC">
          <w:rPr>
            <w:noProof/>
            <w:webHidden/>
          </w:rPr>
          <w:fldChar w:fldCharType="separate"/>
        </w:r>
        <w:r w:rsidR="009B3538">
          <w:rPr>
            <w:noProof/>
            <w:webHidden/>
          </w:rPr>
          <w:t>51</w:t>
        </w:r>
        <w:r w:rsidR="00246EAC">
          <w:rPr>
            <w:noProof/>
            <w:webHidden/>
          </w:rPr>
          <w:fldChar w:fldCharType="end"/>
        </w:r>
      </w:hyperlink>
    </w:p>
    <w:p w14:paraId="63B86F64" w14:textId="7A10864E" w:rsidR="00246EAC" w:rsidRDefault="00C672BD">
      <w:pPr>
        <w:pStyle w:val="TOC8"/>
        <w:tabs>
          <w:tab w:val="right" w:leader="dot" w:pos="9657"/>
        </w:tabs>
        <w:rPr>
          <w:rFonts w:asciiTheme="minorHAnsi" w:eastAsiaTheme="minorEastAsia" w:hAnsiTheme="minorHAnsi"/>
          <w:noProof/>
          <w:sz w:val="22"/>
          <w:szCs w:val="22"/>
          <w:lang w:eastAsia="en-AU"/>
        </w:rPr>
      </w:pPr>
      <w:hyperlink w:anchor="_Toc68799773" w:history="1">
        <w:r w:rsidR="00246EAC" w:rsidRPr="007F3055">
          <w:rPr>
            <w:rStyle w:val="Hyperlink"/>
            <w:noProof/>
          </w:rPr>
          <w:t>Table 6.1 : Implementation and evaluation actions</w:t>
        </w:r>
        <w:r w:rsidR="00246EAC">
          <w:rPr>
            <w:noProof/>
            <w:webHidden/>
          </w:rPr>
          <w:tab/>
        </w:r>
        <w:r w:rsidR="00246EAC">
          <w:rPr>
            <w:noProof/>
            <w:webHidden/>
          </w:rPr>
          <w:fldChar w:fldCharType="begin"/>
        </w:r>
        <w:r w:rsidR="00246EAC">
          <w:rPr>
            <w:noProof/>
            <w:webHidden/>
          </w:rPr>
          <w:instrText xml:space="preserve"> PAGEREF _Toc68799773 \h </w:instrText>
        </w:r>
        <w:r w:rsidR="00246EAC">
          <w:rPr>
            <w:noProof/>
            <w:webHidden/>
          </w:rPr>
        </w:r>
        <w:r w:rsidR="00246EAC">
          <w:rPr>
            <w:noProof/>
            <w:webHidden/>
          </w:rPr>
          <w:fldChar w:fldCharType="separate"/>
        </w:r>
        <w:r w:rsidR="009B3538">
          <w:rPr>
            <w:noProof/>
            <w:webHidden/>
          </w:rPr>
          <w:t>55</w:t>
        </w:r>
        <w:r w:rsidR="00246EAC">
          <w:rPr>
            <w:noProof/>
            <w:webHidden/>
          </w:rPr>
          <w:fldChar w:fldCharType="end"/>
        </w:r>
      </w:hyperlink>
    </w:p>
    <w:p w14:paraId="359648B7" w14:textId="211AE624" w:rsidR="00246EAC" w:rsidRDefault="00C672BD">
      <w:pPr>
        <w:pStyle w:val="TOC8"/>
        <w:tabs>
          <w:tab w:val="right" w:leader="dot" w:pos="9657"/>
        </w:tabs>
        <w:rPr>
          <w:rFonts w:asciiTheme="minorHAnsi" w:eastAsiaTheme="minorEastAsia" w:hAnsiTheme="minorHAnsi"/>
          <w:noProof/>
          <w:sz w:val="22"/>
          <w:szCs w:val="22"/>
          <w:lang w:eastAsia="en-AU"/>
        </w:rPr>
      </w:pPr>
      <w:hyperlink w:anchor="_Toc68799774" w:history="1">
        <w:r w:rsidR="00246EAC" w:rsidRPr="007F3055">
          <w:rPr>
            <w:rStyle w:val="Hyperlink"/>
            <w:noProof/>
            <w14:scene3d>
              <w14:camera w14:prst="orthographicFront"/>
              <w14:lightRig w14:rig="threePt" w14:dir="t">
                <w14:rot w14:lat="0" w14:lon="0" w14:rev="0"/>
              </w14:lightRig>
            </w14:scene3d>
          </w:rPr>
          <w:t>Table B.1</w:t>
        </w:r>
        <w:r w:rsidR="00246EAC" w:rsidRPr="007F3055">
          <w:rPr>
            <w:rStyle w:val="Hyperlink"/>
            <w:noProof/>
          </w:rPr>
          <w:t xml:space="preserve"> Consultation themes</w:t>
        </w:r>
        <w:r w:rsidR="00246EAC">
          <w:rPr>
            <w:noProof/>
            <w:webHidden/>
          </w:rPr>
          <w:tab/>
        </w:r>
        <w:r w:rsidR="00246EAC">
          <w:rPr>
            <w:noProof/>
            <w:webHidden/>
          </w:rPr>
          <w:fldChar w:fldCharType="begin"/>
        </w:r>
        <w:r w:rsidR="00246EAC">
          <w:rPr>
            <w:noProof/>
            <w:webHidden/>
          </w:rPr>
          <w:instrText xml:space="preserve"> PAGEREF _Toc68799774 \h </w:instrText>
        </w:r>
        <w:r w:rsidR="00246EAC">
          <w:rPr>
            <w:noProof/>
            <w:webHidden/>
          </w:rPr>
        </w:r>
        <w:r w:rsidR="00246EAC">
          <w:rPr>
            <w:noProof/>
            <w:webHidden/>
          </w:rPr>
          <w:fldChar w:fldCharType="separate"/>
        </w:r>
        <w:r w:rsidR="009B3538">
          <w:rPr>
            <w:noProof/>
            <w:webHidden/>
          </w:rPr>
          <w:t>62</w:t>
        </w:r>
        <w:r w:rsidR="00246EAC">
          <w:rPr>
            <w:noProof/>
            <w:webHidden/>
          </w:rPr>
          <w:fldChar w:fldCharType="end"/>
        </w:r>
      </w:hyperlink>
    </w:p>
    <w:p w14:paraId="617051D8" w14:textId="1667ADC9" w:rsidR="00246EAC" w:rsidRDefault="00C672BD">
      <w:pPr>
        <w:pStyle w:val="TOC8"/>
        <w:tabs>
          <w:tab w:val="right" w:leader="dot" w:pos="9657"/>
        </w:tabs>
        <w:rPr>
          <w:rFonts w:asciiTheme="minorHAnsi" w:eastAsiaTheme="minorEastAsia" w:hAnsiTheme="minorHAnsi"/>
          <w:noProof/>
          <w:sz w:val="22"/>
          <w:szCs w:val="22"/>
          <w:lang w:eastAsia="en-AU"/>
        </w:rPr>
      </w:pPr>
      <w:hyperlink w:anchor="_Toc68799775" w:history="1">
        <w:r w:rsidR="00246EAC" w:rsidRPr="007F3055">
          <w:rPr>
            <w:rStyle w:val="Hyperlink"/>
            <w:noProof/>
            <w14:scene3d>
              <w14:camera w14:prst="orthographicFront"/>
              <w14:lightRig w14:rig="threePt" w14:dir="t">
                <w14:rot w14:lat="0" w14:lon="0" w14:rev="0"/>
              </w14:lightRig>
            </w14:scene3d>
          </w:rPr>
          <w:t>Table C.1</w:t>
        </w:r>
        <w:r w:rsidR="00246EAC" w:rsidRPr="007F3055">
          <w:rPr>
            <w:rStyle w:val="Hyperlink"/>
            <w:noProof/>
          </w:rPr>
          <w:t xml:space="preserve"> : The three types of permissioning documents</w:t>
        </w:r>
        <w:r w:rsidR="00246EAC">
          <w:rPr>
            <w:noProof/>
            <w:webHidden/>
          </w:rPr>
          <w:tab/>
        </w:r>
        <w:r w:rsidR="00246EAC">
          <w:rPr>
            <w:noProof/>
            <w:webHidden/>
          </w:rPr>
          <w:fldChar w:fldCharType="begin"/>
        </w:r>
        <w:r w:rsidR="00246EAC">
          <w:rPr>
            <w:noProof/>
            <w:webHidden/>
          </w:rPr>
          <w:instrText xml:space="preserve"> PAGEREF _Toc68799775 \h </w:instrText>
        </w:r>
        <w:r w:rsidR="00246EAC">
          <w:rPr>
            <w:noProof/>
            <w:webHidden/>
          </w:rPr>
        </w:r>
        <w:r w:rsidR="00246EAC">
          <w:rPr>
            <w:noProof/>
            <w:webHidden/>
          </w:rPr>
          <w:fldChar w:fldCharType="separate"/>
        </w:r>
        <w:r w:rsidR="009B3538">
          <w:rPr>
            <w:noProof/>
            <w:webHidden/>
          </w:rPr>
          <w:t>77</w:t>
        </w:r>
        <w:r w:rsidR="00246EAC">
          <w:rPr>
            <w:noProof/>
            <w:webHidden/>
          </w:rPr>
          <w:fldChar w:fldCharType="end"/>
        </w:r>
      </w:hyperlink>
    </w:p>
    <w:p w14:paraId="16E2FA1C" w14:textId="3A964B87" w:rsidR="00FC6122" w:rsidRPr="00A419C1" w:rsidRDefault="00FC6122" w:rsidP="00FC6122">
      <w:r w:rsidRPr="00A419C1">
        <w:fldChar w:fldCharType="end"/>
      </w:r>
    </w:p>
    <w:p w14:paraId="1CA1C609" w14:textId="77777777" w:rsidR="00FC6122" w:rsidRPr="00A419C1" w:rsidRDefault="00FC6122" w:rsidP="00FC6122"/>
    <w:p w14:paraId="05371426" w14:textId="77777777" w:rsidR="00FC6122" w:rsidRPr="00A419C1" w:rsidRDefault="00FC6122" w:rsidP="00FC6122">
      <w:pPr>
        <w:pStyle w:val="TOCHeading"/>
      </w:pPr>
      <w:r w:rsidRPr="00A419C1">
        <w:t>Figures</w:t>
      </w:r>
    </w:p>
    <w:p w14:paraId="41E48946" w14:textId="22496D1B" w:rsidR="00246EAC" w:rsidRDefault="00FC6122">
      <w:pPr>
        <w:pStyle w:val="TOC7"/>
        <w:tabs>
          <w:tab w:val="right" w:leader="dot" w:pos="9657"/>
        </w:tabs>
        <w:rPr>
          <w:rFonts w:asciiTheme="minorHAnsi" w:eastAsiaTheme="minorEastAsia" w:hAnsiTheme="minorHAnsi"/>
          <w:noProof/>
          <w:sz w:val="22"/>
          <w:szCs w:val="22"/>
          <w:lang w:eastAsia="en-AU"/>
        </w:rPr>
      </w:pPr>
      <w:r w:rsidRPr="00817682">
        <w:fldChar w:fldCharType="begin"/>
      </w:r>
      <w:r w:rsidRPr="00A419C1">
        <w:instrText xml:space="preserve"> TOC \o "7-7" \h \z \t "Caption_Figure,7,Exec Figure Caption,7,Appendix Figure Caption,7" </w:instrText>
      </w:r>
      <w:r w:rsidRPr="00817682">
        <w:fldChar w:fldCharType="separate"/>
      </w:r>
      <w:hyperlink w:anchor="_Toc68799777" w:history="1">
        <w:r w:rsidR="00246EAC" w:rsidRPr="00C47D3A">
          <w:rPr>
            <w:rStyle w:val="Hyperlink"/>
            <w:noProof/>
          </w:rPr>
          <w:t>Figure 1.1 : Timeline of key government decisions in Victoria’s petroleum sector</w:t>
        </w:r>
        <w:r w:rsidR="00246EAC">
          <w:rPr>
            <w:noProof/>
            <w:webHidden/>
          </w:rPr>
          <w:tab/>
        </w:r>
        <w:r w:rsidR="00246EAC">
          <w:rPr>
            <w:noProof/>
            <w:webHidden/>
          </w:rPr>
          <w:fldChar w:fldCharType="begin"/>
        </w:r>
        <w:r w:rsidR="00246EAC">
          <w:rPr>
            <w:noProof/>
            <w:webHidden/>
          </w:rPr>
          <w:instrText xml:space="preserve"> PAGEREF _Toc68799777 \h </w:instrText>
        </w:r>
        <w:r w:rsidR="00246EAC">
          <w:rPr>
            <w:noProof/>
            <w:webHidden/>
          </w:rPr>
        </w:r>
        <w:r w:rsidR="00246EAC">
          <w:rPr>
            <w:noProof/>
            <w:webHidden/>
          </w:rPr>
          <w:fldChar w:fldCharType="separate"/>
        </w:r>
        <w:r w:rsidR="009B3538">
          <w:rPr>
            <w:noProof/>
            <w:webHidden/>
          </w:rPr>
          <w:t>11</w:t>
        </w:r>
        <w:r w:rsidR="00246EAC">
          <w:rPr>
            <w:noProof/>
            <w:webHidden/>
          </w:rPr>
          <w:fldChar w:fldCharType="end"/>
        </w:r>
      </w:hyperlink>
    </w:p>
    <w:p w14:paraId="5BDDA8C6" w14:textId="1A8066E3" w:rsidR="00FC6122" w:rsidRPr="00817682" w:rsidRDefault="00FC6122" w:rsidP="00FC6122">
      <w:r w:rsidRPr="00817682">
        <w:fldChar w:fldCharType="end"/>
      </w:r>
    </w:p>
    <w:p w14:paraId="61A08E11" w14:textId="36800236" w:rsidR="00FC6122" w:rsidRDefault="00FC6122" w:rsidP="00FC6122"/>
    <w:p w14:paraId="67E19E6B" w14:textId="79870DA0" w:rsidR="00345937" w:rsidRDefault="00345937" w:rsidP="00FC6122"/>
    <w:p w14:paraId="4D229EF2" w14:textId="109F51E9" w:rsidR="00345937" w:rsidRDefault="00345937" w:rsidP="00FC6122"/>
    <w:p w14:paraId="4B162113" w14:textId="0F10B916" w:rsidR="00345937" w:rsidRDefault="00345937" w:rsidP="00FC6122"/>
    <w:p w14:paraId="0F992749" w14:textId="77777777" w:rsidR="00345937" w:rsidRPr="00BF281D" w:rsidRDefault="00345937" w:rsidP="00FC6122"/>
    <w:bookmarkEnd w:id="4"/>
    <w:p w14:paraId="1B15AD02" w14:textId="1E879EC9" w:rsidR="00F9113D" w:rsidRPr="00345937" w:rsidRDefault="00984560" w:rsidP="00485C27">
      <w:pPr>
        <w:rPr>
          <w:color w:val="7F7F7F" w:themeColor="text1" w:themeTint="80"/>
        </w:rPr>
        <w:sectPr w:rsidR="00F9113D" w:rsidRPr="00345937" w:rsidSect="00E21C22">
          <w:footerReference w:type="default" r:id="rId23"/>
          <w:pgSz w:w="11906" w:h="16838" w:code="9"/>
          <w:pgMar w:top="1985" w:right="1559" w:bottom="1134" w:left="680" w:header="680" w:footer="425" w:gutter="0"/>
          <w:cols w:space="284"/>
          <w:noEndnote/>
          <w:docGrid w:linePitch="360"/>
        </w:sectPr>
      </w:pPr>
      <w:r w:rsidRPr="00C672BD">
        <w:t xml:space="preserve">Disclaimer: This communication contains general information only, and none of Deloitte </w:t>
      </w:r>
      <w:proofErr w:type="spellStart"/>
      <w:r w:rsidRPr="00C672BD">
        <w:t>Touche</w:t>
      </w:r>
      <w:proofErr w:type="spellEnd"/>
      <w:r w:rsidRPr="00C672BD">
        <w:t xml:space="preserve"> Tohmatsu Limited (“DTTL”), its global network of member firms or their related entities (collectively, the “Deloitte organisation”) is, by means of thi</w:t>
      </w:r>
      <w:r w:rsidR="00345937" w:rsidRPr="00C672BD">
        <w:t>s c</w:t>
      </w:r>
      <w:r w:rsidRPr="00C672BD">
        <w:t xml:space="preserve">ommunication, rendering professional advice or services. Before making any decision or taking any action that may affect your finances or your business, you should consult a qualified professional adviser. No representations, </w:t>
      </w:r>
      <w:proofErr w:type="gramStart"/>
      <w:r w:rsidRPr="00C672BD">
        <w:t>warranties</w:t>
      </w:r>
      <w:proofErr w:type="gramEnd"/>
      <w:r w:rsidRPr="00C672BD">
        <w:t xml:space="preserve"> or undertakings (express or implied) are given as to the accuracy or completeness of the information in this communication, and none of DTTL, its member firms, related entities, employees or agents shall be liable or responsible for any loss or damage whatsoever arising directly or indirectly in connection with any person relying on this communication. DTTL and each of its member firms, and their related entities, are legally separate and independent entities. </w:t>
      </w:r>
    </w:p>
    <w:p w14:paraId="299AEC03" w14:textId="355E2E84" w:rsidR="00BF3260" w:rsidRPr="00BF281D" w:rsidRDefault="00C7162B" w:rsidP="00BF3260">
      <w:pPr>
        <w:pStyle w:val="Heading1un-numbered"/>
      </w:pPr>
      <w:bookmarkStart w:id="5" w:name="_Toc69839562"/>
      <w:bookmarkStart w:id="6" w:name="_Toc67663744"/>
      <w:r w:rsidRPr="00817682">
        <w:lastRenderedPageBreak/>
        <w:t>Abbreviations</w:t>
      </w:r>
      <w:bookmarkEnd w:id="5"/>
      <w:bookmarkEnd w:id="6"/>
      <w:r w:rsidR="00073FB6">
        <w:t xml:space="preserve"> </w:t>
      </w:r>
    </w:p>
    <w:tbl>
      <w:tblPr>
        <w:tblStyle w:val="Deloittetable"/>
        <w:tblW w:w="10064" w:type="dxa"/>
        <w:tblLayout w:type="fixed"/>
        <w:tblLook w:val="04A0" w:firstRow="1" w:lastRow="0" w:firstColumn="1" w:lastColumn="0" w:noHBand="0" w:noVBand="1"/>
      </w:tblPr>
      <w:tblGrid>
        <w:gridCol w:w="2552"/>
        <w:gridCol w:w="7512"/>
      </w:tblGrid>
      <w:tr w:rsidR="00BF3260" w:rsidRPr="00BF281D" w14:paraId="5192BC82" w14:textId="77777777" w:rsidTr="00BC614C">
        <w:trPr>
          <w:cnfStyle w:val="100000000000" w:firstRow="1" w:lastRow="0" w:firstColumn="0" w:lastColumn="0" w:oddVBand="0" w:evenVBand="0" w:oddHBand="0" w:evenHBand="0" w:firstRowFirstColumn="0" w:firstRowLastColumn="0" w:lastRowFirstColumn="0" w:lastRowLastColumn="0"/>
        </w:trPr>
        <w:tc>
          <w:tcPr>
            <w:tcW w:w="2552" w:type="dxa"/>
          </w:tcPr>
          <w:p w14:paraId="375CF11A" w14:textId="1F7C44ED" w:rsidR="00BF3260" w:rsidRPr="00C73B72" w:rsidRDefault="00F20A65" w:rsidP="005D550E">
            <w:pPr>
              <w:pStyle w:val="TabletextLeft"/>
              <w:rPr>
                <w:b/>
              </w:rPr>
            </w:pPr>
            <w:r w:rsidRPr="00C73B72">
              <w:rPr>
                <w:b/>
              </w:rPr>
              <w:t>Short name</w:t>
            </w:r>
          </w:p>
        </w:tc>
        <w:tc>
          <w:tcPr>
            <w:tcW w:w="7512" w:type="dxa"/>
          </w:tcPr>
          <w:p w14:paraId="039A4D43" w14:textId="77777777" w:rsidR="00BF3260" w:rsidRPr="00C73B72" w:rsidRDefault="002B4164" w:rsidP="005D550E">
            <w:pPr>
              <w:pStyle w:val="TabletextLeft"/>
              <w:rPr>
                <w:b/>
              </w:rPr>
            </w:pPr>
            <w:r w:rsidRPr="00C73B72">
              <w:rPr>
                <w:b/>
              </w:rPr>
              <w:t>Full name</w:t>
            </w:r>
          </w:p>
        </w:tc>
      </w:tr>
      <w:tr w:rsidR="00A71FED" w:rsidRPr="00BF281D" w14:paraId="2D0972CF" w14:textId="77777777" w:rsidTr="00BC614C">
        <w:tc>
          <w:tcPr>
            <w:tcW w:w="2552" w:type="dxa"/>
          </w:tcPr>
          <w:p w14:paraId="11CDB2FE" w14:textId="4EF1A35E" w:rsidR="00A71FED" w:rsidRPr="00BF281D" w:rsidRDefault="00A71FED" w:rsidP="005D550E">
            <w:pPr>
              <w:pStyle w:val="TabletextLeft"/>
            </w:pPr>
            <w:r w:rsidRPr="00BF281D">
              <w:t xml:space="preserve">AEMO </w:t>
            </w:r>
          </w:p>
        </w:tc>
        <w:tc>
          <w:tcPr>
            <w:tcW w:w="7512" w:type="dxa"/>
          </w:tcPr>
          <w:p w14:paraId="1B587EE9" w14:textId="2AB2CE32" w:rsidR="00A71FED" w:rsidRPr="00BF281D" w:rsidRDefault="00A71FED" w:rsidP="005D550E">
            <w:pPr>
              <w:pStyle w:val="TabletextLeft"/>
            </w:pPr>
            <w:r w:rsidRPr="00BF281D">
              <w:t xml:space="preserve">Australian Energy Market Operator </w:t>
            </w:r>
          </w:p>
        </w:tc>
      </w:tr>
      <w:tr w:rsidR="002463CE" w:rsidRPr="00BF281D" w14:paraId="6413D01F" w14:textId="77777777" w:rsidTr="00BC614C">
        <w:tc>
          <w:tcPr>
            <w:tcW w:w="2552" w:type="dxa"/>
          </w:tcPr>
          <w:p w14:paraId="7D91CD52" w14:textId="1412E0D9" w:rsidR="002463CE" w:rsidRPr="00BF281D" w:rsidRDefault="002463CE" w:rsidP="002463CE">
            <w:pPr>
              <w:pStyle w:val="TabletextLeft"/>
            </w:pPr>
            <w:r w:rsidRPr="00BF281D">
              <w:t>Amendment Act</w:t>
            </w:r>
          </w:p>
        </w:tc>
        <w:tc>
          <w:tcPr>
            <w:tcW w:w="7512" w:type="dxa"/>
          </w:tcPr>
          <w:p w14:paraId="5D7EC9E2" w14:textId="33489ADB" w:rsidR="002463CE" w:rsidRPr="00BF281D" w:rsidRDefault="002463CE" w:rsidP="002463CE">
            <w:pPr>
              <w:pStyle w:val="TabletextLeft"/>
            </w:pPr>
            <w:r w:rsidRPr="00BF281D">
              <w:rPr>
                <w:i/>
              </w:rPr>
              <w:t>Petroleum Legislation Amendment Act 2020</w:t>
            </w:r>
          </w:p>
        </w:tc>
      </w:tr>
      <w:tr w:rsidR="00C129D1" w:rsidRPr="00BF281D" w14:paraId="77043D9F" w14:textId="77777777" w:rsidTr="00BC614C">
        <w:tc>
          <w:tcPr>
            <w:tcW w:w="2552" w:type="dxa"/>
          </w:tcPr>
          <w:p w14:paraId="36D05980" w14:textId="6CC9B4F9" w:rsidR="00C129D1" w:rsidRPr="00BF281D" w:rsidRDefault="00C129D1" w:rsidP="002463CE">
            <w:pPr>
              <w:pStyle w:val="TabletextLeft"/>
            </w:pPr>
            <w:r>
              <w:t>CoP</w:t>
            </w:r>
          </w:p>
        </w:tc>
        <w:tc>
          <w:tcPr>
            <w:tcW w:w="7512" w:type="dxa"/>
          </w:tcPr>
          <w:p w14:paraId="72064EA6" w14:textId="61543ABA" w:rsidR="00C129D1" w:rsidRPr="00BF281D" w:rsidRDefault="00C129D1" w:rsidP="002463CE">
            <w:pPr>
              <w:pStyle w:val="TabletextLeft"/>
            </w:pPr>
            <w:r>
              <w:t>Code of practice</w:t>
            </w:r>
          </w:p>
        </w:tc>
      </w:tr>
      <w:tr w:rsidR="00BF3260" w:rsidRPr="00BF281D" w14:paraId="01C8E519" w14:textId="77777777" w:rsidTr="00BC614C">
        <w:tc>
          <w:tcPr>
            <w:tcW w:w="2552" w:type="dxa"/>
          </w:tcPr>
          <w:p w14:paraId="0556B7C6" w14:textId="2444F61D" w:rsidR="00BF3260" w:rsidRPr="00BF281D" w:rsidRDefault="005A4BAF" w:rsidP="005D550E">
            <w:pPr>
              <w:pStyle w:val="TabletextLeft"/>
            </w:pPr>
            <w:r w:rsidRPr="00BF281D">
              <w:t>CSG</w:t>
            </w:r>
          </w:p>
        </w:tc>
        <w:tc>
          <w:tcPr>
            <w:tcW w:w="7512" w:type="dxa"/>
          </w:tcPr>
          <w:p w14:paraId="6AD4D3A9" w14:textId="798F00AF" w:rsidR="00BF3260" w:rsidRPr="00BF281D" w:rsidRDefault="005A4BAF" w:rsidP="005D550E">
            <w:pPr>
              <w:pStyle w:val="TabletextLeft"/>
            </w:pPr>
            <w:r w:rsidRPr="00BF281D">
              <w:t>Coal seam gas</w:t>
            </w:r>
          </w:p>
        </w:tc>
      </w:tr>
      <w:tr w:rsidR="00A71FED" w:rsidRPr="00BF281D" w14:paraId="3DA50FBF" w14:textId="77777777" w:rsidTr="00BC614C">
        <w:tc>
          <w:tcPr>
            <w:tcW w:w="2552" w:type="dxa"/>
          </w:tcPr>
          <w:p w14:paraId="74935734" w14:textId="7AE280FA" w:rsidR="00A71FED" w:rsidRPr="00BF281D" w:rsidRDefault="003D328C" w:rsidP="005D550E">
            <w:pPr>
              <w:pStyle w:val="TabletextLeft"/>
            </w:pPr>
            <w:r w:rsidRPr="00BF281D">
              <w:t>CSIRO</w:t>
            </w:r>
          </w:p>
        </w:tc>
        <w:tc>
          <w:tcPr>
            <w:tcW w:w="7512" w:type="dxa"/>
          </w:tcPr>
          <w:p w14:paraId="5385589B" w14:textId="10062EA6" w:rsidR="00A71FED" w:rsidRPr="00BF281D" w:rsidRDefault="008538E5" w:rsidP="005D550E">
            <w:pPr>
              <w:pStyle w:val="TabletextLeft"/>
            </w:pPr>
            <w:r w:rsidRPr="00BF281D">
              <w:t xml:space="preserve">Commonwealth Scientific and Industrial Research Organisation </w:t>
            </w:r>
          </w:p>
        </w:tc>
      </w:tr>
      <w:tr w:rsidR="008538E5" w:rsidRPr="00BF281D" w14:paraId="78F5A1B0" w14:textId="77777777" w:rsidTr="00BC614C">
        <w:tc>
          <w:tcPr>
            <w:tcW w:w="2552" w:type="dxa"/>
          </w:tcPr>
          <w:p w14:paraId="34276CB2" w14:textId="6DFDA7B8" w:rsidR="008538E5" w:rsidRPr="00BF281D" w:rsidRDefault="0052730A" w:rsidP="005D550E">
            <w:pPr>
              <w:pStyle w:val="TabletextLeft"/>
            </w:pPr>
            <w:r w:rsidRPr="00BF281D">
              <w:t>‘</w:t>
            </w:r>
            <w:r w:rsidR="008538E5" w:rsidRPr="00BF281D">
              <w:t>DJPR</w:t>
            </w:r>
            <w:r w:rsidRPr="00BF281D">
              <w:t>’</w:t>
            </w:r>
            <w:r w:rsidR="008538E5" w:rsidRPr="00BF281D">
              <w:t xml:space="preserve"> or </w:t>
            </w:r>
            <w:r w:rsidRPr="00BF281D">
              <w:t>‘</w:t>
            </w:r>
            <w:r w:rsidR="008538E5" w:rsidRPr="00BF281D">
              <w:t>the Department</w:t>
            </w:r>
            <w:r w:rsidRPr="00BF281D">
              <w:t>’</w:t>
            </w:r>
            <w:r w:rsidR="008538E5" w:rsidRPr="00BF281D">
              <w:t xml:space="preserve"> </w:t>
            </w:r>
          </w:p>
        </w:tc>
        <w:tc>
          <w:tcPr>
            <w:tcW w:w="7512" w:type="dxa"/>
          </w:tcPr>
          <w:p w14:paraId="6781C87F" w14:textId="46126065" w:rsidR="008538E5" w:rsidRPr="00BF281D" w:rsidRDefault="008538E5" w:rsidP="005D550E">
            <w:pPr>
              <w:pStyle w:val="TabletextLeft"/>
            </w:pPr>
            <w:r w:rsidRPr="00BF281D">
              <w:t xml:space="preserve">the Victorian Department of Jobs, Precincts and Regions </w:t>
            </w:r>
          </w:p>
        </w:tc>
      </w:tr>
      <w:tr w:rsidR="008F5C96" w:rsidRPr="00BF281D" w14:paraId="2C6ACC2F" w14:textId="77777777" w:rsidTr="00BC614C">
        <w:tc>
          <w:tcPr>
            <w:tcW w:w="2552" w:type="dxa"/>
          </w:tcPr>
          <w:p w14:paraId="274A8B64" w14:textId="4A233C2F" w:rsidR="008F5C96" w:rsidRPr="00BF281D" w:rsidRDefault="008F5C96" w:rsidP="005D550E">
            <w:pPr>
              <w:pStyle w:val="TabletextLeft"/>
            </w:pPr>
            <w:r w:rsidRPr="00BF281D">
              <w:t>EMP</w:t>
            </w:r>
          </w:p>
        </w:tc>
        <w:tc>
          <w:tcPr>
            <w:tcW w:w="7512" w:type="dxa"/>
          </w:tcPr>
          <w:p w14:paraId="71D25098" w14:textId="4B81FA51" w:rsidR="008F5C96" w:rsidRPr="00BF281D" w:rsidRDefault="008F5C96" w:rsidP="005D550E">
            <w:pPr>
              <w:pStyle w:val="TabletextLeft"/>
            </w:pPr>
            <w:r w:rsidRPr="00BF281D">
              <w:t>Environment Management Plan</w:t>
            </w:r>
          </w:p>
        </w:tc>
      </w:tr>
      <w:tr w:rsidR="00993062" w:rsidRPr="00BF281D" w14:paraId="472315B7" w14:textId="77777777" w:rsidTr="00BC614C">
        <w:tc>
          <w:tcPr>
            <w:tcW w:w="2552" w:type="dxa"/>
          </w:tcPr>
          <w:p w14:paraId="16D28511" w14:textId="38D2179B" w:rsidR="00993062" w:rsidRPr="00BF281D" w:rsidRDefault="00993062" w:rsidP="005D550E">
            <w:pPr>
              <w:pStyle w:val="TabletextLeft"/>
            </w:pPr>
            <w:r w:rsidRPr="00BF281D">
              <w:t xml:space="preserve">Fracking Ban Act </w:t>
            </w:r>
          </w:p>
        </w:tc>
        <w:tc>
          <w:tcPr>
            <w:tcW w:w="7512" w:type="dxa"/>
          </w:tcPr>
          <w:p w14:paraId="25479B71" w14:textId="00369001" w:rsidR="00993062" w:rsidRPr="00BF281D" w:rsidRDefault="00993062" w:rsidP="005D550E">
            <w:pPr>
              <w:pStyle w:val="TabletextLeft"/>
            </w:pPr>
            <w:r w:rsidRPr="00C73B72">
              <w:rPr>
                <w:i/>
              </w:rPr>
              <w:t>Resources Legislation Amendment (Fracking Ban) Act 2017</w:t>
            </w:r>
            <w:r w:rsidRPr="00BF281D">
              <w:t xml:space="preserve"> (Vic) </w:t>
            </w:r>
          </w:p>
        </w:tc>
      </w:tr>
      <w:tr w:rsidR="00805C67" w:rsidRPr="00BF281D" w14:paraId="045FD26B" w14:textId="77777777" w:rsidTr="00BC614C">
        <w:tc>
          <w:tcPr>
            <w:tcW w:w="2552" w:type="dxa"/>
          </w:tcPr>
          <w:p w14:paraId="5E1DE7AB" w14:textId="728D5991" w:rsidR="00805C67" w:rsidRPr="00BF281D" w:rsidRDefault="00805C67" w:rsidP="005D550E">
            <w:pPr>
              <w:pStyle w:val="TabletextLeft"/>
            </w:pPr>
            <w:r w:rsidRPr="00BF281D">
              <w:t xml:space="preserve">FTE </w:t>
            </w:r>
          </w:p>
        </w:tc>
        <w:tc>
          <w:tcPr>
            <w:tcW w:w="7512" w:type="dxa"/>
          </w:tcPr>
          <w:p w14:paraId="3C4D8122" w14:textId="582A05A8" w:rsidR="00805C67" w:rsidRPr="00BF281D" w:rsidRDefault="00805C67" w:rsidP="005D550E">
            <w:pPr>
              <w:pStyle w:val="TabletextLeft"/>
            </w:pPr>
            <w:r w:rsidRPr="00BF281D">
              <w:t xml:space="preserve">Full Time Equivalent </w:t>
            </w:r>
          </w:p>
        </w:tc>
      </w:tr>
      <w:tr w:rsidR="0027082D" w:rsidRPr="00BF281D" w14:paraId="7863235F" w14:textId="77777777" w:rsidTr="00BC614C">
        <w:tc>
          <w:tcPr>
            <w:tcW w:w="2552" w:type="dxa"/>
          </w:tcPr>
          <w:p w14:paraId="374D3456" w14:textId="37AAD67D" w:rsidR="0027082D" w:rsidRPr="00BF281D" w:rsidRDefault="0027082D" w:rsidP="005D550E">
            <w:pPr>
              <w:pStyle w:val="TabletextLeft"/>
            </w:pPr>
            <w:r>
              <w:t>GISERA</w:t>
            </w:r>
          </w:p>
        </w:tc>
        <w:tc>
          <w:tcPr>
            <w:tcW w:w="7512" w:type="dxa"/>
          </w:tcPr>
          <w:p w14:paraId="27DD85CF" w14:textId="188E0561" w:rsidR="0027082D" w:rsidRPr="00BF281D" w:rsidRDefault="001463A9" w:rsidP="005D550E">
            <w:pPr>
              <w:pStyle w:val="TabletextLeft"/>
            </w:pPr>
            <w:r w:rsidRPr="00BF281D">
              <w:t xml:space="preserve">Gas Industry Social and </w:t>
            </w:r>
            <w:r w:rsidRPr="009A7CE7">
              <w:t xml:space="preserve">Environmental </w:t>
            </w:r>
            <w:r w:rsidRPr="00B00A03">
              <w:t>Research Alliance</w:t>
            </w:r>
          </w:p>
        </w:tc>
      </w:tr>
      <w:tr w:rsidR="00C129D1" w:rsidRPr="00BF281D" w14:paraId="33D83128" w14:textId="77777777" w:rsidTr="00BC614C">
        <w:tc>
          <w:tcPr>
            <w:tcW w:w="2552" w:type="dxa"/>
          </w:tcPr>
          <w:p w14:paraId="79DF58A1" w14:textId="0D3A49D1" w:rsidR="00C129D1" w:rsidRPr="00BF281D" w:rsidRDefault="00C129D1" w:rsidP="002463CE">
            <w:pPr>
              <w:pStyle w:val="TabletextLeft"/>
            </w:pPr>
            <w:r>
              <w:t>GED</w:t>
            </w:r>
          </w:p>
        </w:tc>
        <w:tc>
          <w:tcPr>
            <w:tcW w:w="7512" w:type="dxa"/>
          </w:tcPr>
          <w:p w14:paraId="08580583" w14:textId="3DA2B895" w:rsidR="00C129D1" w:rsidRPr="00BF281D" w:rsidRDefault="00C129D1" w:rsidP="002463CE">
            <w:pPr>
              <w:pStyle w:val="TabletextLeft"/>
            </w:pPr>
            <w:r>
              <w:t>General Environmental Duty</w:t>
            </w:r>
          </w:p>
        </w:tc>
      </w:tr>
      <w:tr w:rsidR="00B651FE" w:rsidRPr="00BF281D" w14:paraId="6A0FBC5F" w14:textId="77777777" w:rsidTr="00BC614C">
        <w:tc>
          <w:tcPr>
            <w:tcW w:w="2552" w:type="dxa"/>
          </w:tcPr>
          <w:p w14:paraId="45B61F7B" w14:textId="21FCE121" w:rsidR="00B651FE" w:rsidRPr="00BF281D" w:rsidRDefault="00B651FE" w:rsidP="005D550E">
            <w:pPr>
              <w:pStyle w:val="TabletextLeft"/>
            </w:pPr>
            <w:r w:rsidRPr="00BF281D">
              <w:t>GJ</w:t>
            </w:r>
          </w:p>
        </w:tc>
        <w:tc>
          <w:tcPr>
            <w:tcW w:w="7512" w:type="dxa"/>
          </w:tcPr>
          <w:p w14:paraId="76E27E2F" w14:textId="41FFD400" w:rsidR="00B651FE" w:rsidRPr="00BF281D" w:rsidRDefault="00B651FE" w:rsidP="005D550E">
            <w:pPr>
              <w:pStyle w:val="TabletextLeft"/>
            </w:pPr>
            <w:r w:rsidRPr="00BF281D">
              <w:t>Gigajoule</w:t>
            </w:r>
          </w:p>
        </w:tc>
      </w:tr>
      <w:tr w:rsidR="00605B92" w:rsidRPr="00BF281D" w14:paraId="301A9653" w14:textId="77777777" w:rsidTr="00BC614C">
        <w:tc>
          <w:tcPr>
            <w:tcW w:w="2552" w:type="dxa"/>
          </w:tcPr>
          <w:p w14:paraId="30B6AE82" w14:textId="034565DA" w:rsidR="00605B92" w:rsidRPr="00BF281D" w:rsidRDefault="00605B92" w:rsidP="005D550E">
            <w:pPr>
              <w:pStyle w:val="TabletextLeft"/>
            </w:pPr>
            <w:r w:rsidRPr="00BF281D">
              <w:t xml:space="preserve">GSOO </w:t>
            </w:r>
          </w:p>
        </w:tc>
        <w:tc>
          <w:tcPr>
            <w:tcW w:w="7512" w:type="dxa"/>
          </w:tcPr>
          <w:p w14:paraId="6B517C4D" w14:textId="2A172472" w:rsidR="00605B92" w:rsidRPr="00BF281D" w:rsidRDefault="00605B92" w:rsidP="005D550E">
            <w:pPr>
              <w:pStyle w:val="TabletextLeft"/>
            </w:pPr>
            <w:r w:rsidRPr="00BF281D">
              <w:t xml:space="preserve">AEMO’s Gas Statement of Opportunities </w:t>
            </w:r>
          </w:p>
        </w:tc>
      </w:tr>
      <w:tr w:rsidR="000E393E" w:rsidRPr="00BF281D" w14:paraId="7605713C" w14:textId="77777777" w:rsidTr="00BC614C">
        <w:tc>
          <w:tcPr>
            <w:tcW w:w="2552" w:type="dxa"/>
          </w:tcPr>
          <w:p w14:paraId="35E83646" w14:textId="709CF333" w:rsidR="000E393E" w:rsidRPr="00BF281D" w:rsidRDefault="000E393E" w:rsidP="005D550E">
            <w:pPr>
              <w:pStyle w:val="TabletextLeft"/>
            </w:pPr>
            <w:r w:rsidRPr="00BF281D">
              <w:t xml:space="preserve">LIA </w:t>
            </w:r>
          </w:p>
        </w:tc>
        <w:tc>
          <w:tcPr>
            <w:tcW w:w="7512" w:type="dxa"/>
          </w:tcPr>
          <w:p w14:paraId="2876F0ED" w14:textId="1ABE49A3" w:rsidR="000E393E" w:rsidRPr="00BF281D" w:rsidRDefault="000E393E" w:rsidP="005D550E">
            <w:pPr>
              <w:pStyle w:val="TabletextLeft"/>
            </w:pPr>
            <w:r w:rsidRPr="00BF281D">
              <w:t xml:space="preserve">Legislative Impact Assessment </w:t>
            </w:r>
          </w:p>
        </w:tc>
      </w:tr>
      <w:tr w:rsidR="000E393E" w:rsidRPr="00BF281D" w14:paraId="59532170" w14:textId="77777777" w:rsidTr="00BC614C">
        <w:tc>
          <w:tcPr>
            <w:tcW w:w="2552" w:type="dxa"/>
          </w:tcPr>
          <w:p w14:paraId="4375DE97" w14:textId="6188FD7F" w:rsidR="000E393E" w:rsidRPr="00BF281D" w:rsidRDefault="00D45980" w:rsidP="005D550E">
            <w:pPr>
              <w:pStyle w:val="TabletextLeft"/>
            </w:pPr>
            <w:r w:rsidRPr="00BF281D">
              <w:t xml:space="preserve">LNG </w:t>
            </w:r>
          </w:p>
        </w:tc>
        <w:tc>
          <w:tcPr>
            <w:tcW w:w="7512" w:type="dxa"/>
          </w:tcPr>
          <w:p w14:paraId="1BE91EE6" w14:textId="332BEBE5" w:rsidR="000E393E" w:rsidRPr="00BF281D" w:rsidRDefault="00D45980" w:rsidP="005D550E">
            <w:pPr>
              <w:pStyle w:val="TabletextLeft"/>
            </w:pPr>
            <w:r w:rsidRPr="00BF281D">
              <w:t xml:space="preserve">Liquified natural gas </w:t>
            </w:r>
          </w:p>
        </w:tc>
      </w:tr>
      <w:tr w:rsidR="00D45980" w:rsidRPr="00BF281D" w14:paraId="4DE4069F" w14:textId="77777777" w:rsidTr="00BC614C">
        <w:tc>
          <w:tcPr>
            <w:tcW w:w="2552" w:type="dxa"/>
          </w:tcPr>
          <w:p w14:paraId="10C7F6E5" w14:textId="5FEC5592" w:rsidR="00D45980" w:rsidRPr="00BF281D" w:rsidRDefault="00D45980" w:rsidP="005D550E">
            <w:pPr>
              <w:pStyle w:val="TabletextLeft"/>
            </w:pPr>
            <w:r w:rsidRPr="00BF281D">
              <w:t xml:space="preserve">MCA </w:t>
            </w:r>
          </w:p>
        </w:tc>
        <w:tc>
          <w:tcPr>
            <w:tcW w:w="7512" w:type="dxa"/>
          </w:tcPr>
          <w:p w14:paraId="625765AA" w14:textId="4F1EDF98" w:rsidR="00D45980" w:rsidRPr="00BF281D" w:rsidRDefault="007F6547" w:rsidP="005D550E">
            <w:pPr>
              <w:pStyle w:val="TabletextLeft"/>
            </w:pPr>
            <w:r w:rsidRPr="00BF281D">
              <w:t xml:space="preserve">Multi-criteria analysis </w:t>
            </w:r>
          </w:p>
        </w:tc>
      </w:tr>
      <w:tr w:rsidR="002B6A34" w:rsidRPr="00BF281D" w14:paraId="39296772" w14:textId="77777777" w:rsidTr="00BC614C">
        <w:tc>
          <w:tcPr>
            <w:tcW w:w="2552" w:type="dxa"/>
          </w:tcPr>
          <w:p w14:paraId="7E148300" w14:textId="3E40B455" w:rsidR="002B6A34" w:rsidRPr="00BF281D" w:rsidRDefault="002B6A34" w:rsidP="005D550E">
            <w:pPr>
              <w:pStyle w:val="TabletextLeft"/>
            </w:pPr>
            <w:r w:rsidRPr="00BF281D">
              <w:t>MMBtu</w:t>
            </w:r>
          </w:p>
        </w:tc>
        <w:tc>
          <w:tcPr>
            <w:tcW w:w="7512" w:type="dxa"/>
          </w:tcPr>
          <w:p w14:paraId="73F2801A" w14:textId="527C2C5B" w:rsidR="002B6A34" w:rsidRPr="00BF281D" w:rsidRDefault="002B6A34" w:rsidP="005D550E">
            <w:pPr>
              <w:pStyle w:val="TabletextLeft"/>
            </w:pPr>
            <w:r w:rsidRPr="00BF281D">
              <w:t>Million British Thermal Units</w:t>
            </w:r>
          </w:p>
        </w:tc>
      </w:tr>
      <w:tr w:rsidR="001463A9" w:rsidRPr="00BF281D" w14:paraId="08F5044B" w14:textId="77777777" w:rsidTr="00BC614C">
        <w:tc>
          <w:tcPr>
            <w:tcW w:w="2552" w:type="dxa"/>
          </w:tcPr>
          <w:p w14:paraId="4D14829E" w14:textId="0CC21186" w:rsidR="001463A9" w:rsidRPr="00BF281D" w:rsidRDefault="001463A9" w:rsidP="005D550E">
            <w:pPr>
              <w:pStyle w:val="TabletextLeft"/>
            </w:pPr>
            <w:r>
              <w:t>NOPSEMA</w:t>
            </w:r>
          </w:p>
        </w:tc>
        <w:tc>
          <w:tcPr>
            <w:tcW w:w="7512" w:type="dxa"/>
          </w:tcPr>
          <w:p w14:paraId="26E3B720" w14:textId="25D0F72B" w:rsidR="001463A9" w:rsidRPr="00BF281D" w:rsidRDefault="00D76991" w:rsidP="005D550E">
            <w:pPr>
              <w:pStyle w:val="TabletextLeft"/>
            </w:pPr>
            <w:r>
              <w:t>National Offshore Petroleum Safety and Environmental Management Authority</w:t>
            </w:r>
          </w:p>
        </w:tc>
      </w:tr>
      <w:tr w:rsidR="00B00A03" w:rsidRPr="00BF281D" w14:paraId="2D919620" w14:textId="77777777" w:rsidTr="00BC614C">
        <w:tc>
          <w:tcPr>
            <w:tcW w:w="2552" w:type="dxa"/>
          </w:tcPr>
          <w:p w14:paraId="61C3B5F7" w14:textId="0A6DBFD9" w:rsidR="00B00A03" w:rsidRDefault="00B00A03" w:rsidP="005D550E">
            <w:pPr>
              <w:pStyle w:val="TabletextLeft"/>
            </w:pPr>
            <w:r>
              <w:t>NOPTA</w:t>
            </w:r>
          </w:p>
        </w:tc>
        <w:tc>
          <w:tcPr>
            <w:tcW w:w="7512" w:type="dxa"/>
          </w:tcPr>
          <w:p w14:paraId="2C28A012" w14:textId="45391D52" w:rsidR="00B00A03" w:rsidRDefault="00B00A03" w:rsidP="005D550E">
            <w:pPr>
              <w:pStyle w:val="TabletextLeft"/>
            </w:pPr>
            <w:r w:rsidRPr="00BA20C1">
              <w:t>National Offshore Petroleum Titles Administrator</w:t>
            </w:r>
          </w:p>
        </w:tc>
      </w:tr>
      <w:tr w:rsidR="006424B8" w:rsidRPr="00BF281D" w14:paraId="4C6CA6FB" w14:textId="77777777" w:rsidTr="00BC614C">
        <w:tc>
          <w:tcPr>
            <w:tcW w:w="2552" w:type="dxa"/>
          </w:tcPr>
          <w:p w14:paraId="103281FF" w14:textId="181879F5" w:rsidR="006424B8" w:rsidRPr="00BF281D" w:rsidRDefault="006424B8" w:rsidP="005D550E">
            <w:pPr>
              <w:pStyle w:val="TabletextLeft"/>
            </w:pPr>
            <w:r w:rsidRPr="00BF281D">
              <w:t>OPGGS Act</w:t>
            </w:r>
          </w:p>
        </w:tc>
        <w:tc>
          <w:tcPr>
            <w:tcW w:w="7512" w:type="dxa"/>
          </w:tcPr>
          <w:p w14:paraId="7CB1CF5A" w14:textId="75343329" w:rsidR="006424B8" w:rsidRPr="00C73B72" w:rsidRDefault="006424B8" w:rsidP="005D550E">
            <w:pPr>
              <w:pStyle w:val="TabletextLeft"/>
              <w:rPr>
                <w:i/>
              </w:rPr>
            </w:pPr>
            <w:r w:rsidRPr="00C73B72">
              <w:rPr>
                <w:i/>
              </w:rPr>
              <w:t>Offshore Petroleum and Greenhouse Gas Storage Act 2006</w:t>
            </w:r>
            <w:r w:rsidR="00B97F9E" w:rsidRPr="00C73B72">
              <w:rPr>
                <w:i/>
              </w:rPr>
              <w:t xml:space="preserve"> </w:t>
            </w:r>
            <w:r w:rsidR="00B97F9E">
              <w:t>(Cth)</w:t>
            </w:r>
            <w:r w:rsidRPr="00B97F9E">
              <w:rPr>
                <w:i/>
                <w:iCs/>
              </w:rPr>
              <w:t xml:space="preserve"> </w:t>
            </w:r>
          </w:p>
        </w:tc>
      </w:tr>
      <w:tr w:rsidR="00923233" w:rsidRPr="00BF281D" w14:paraId="750FC00B" w14:textId="77777777" w:rsidTr="00BC614C">
        <w:tc>
          <w:tcPr>
            <w:tcW w:w="2552" w:type="dxa"/>
          </w:tcPr>
          <w:p w14:paraId="3766889A" w14:textId="335356F1" w:rsidR="00923233" w:rsidRPr="00BF281D" w:rsidRDefault="00B240EA" w:rsidP="005D550E">
            <w:pPr>
              <w:pStyle w:val="TabletextLeft"/>
            </w:pPr>
            <w:r w:rsidRPr="00BF281D">
              <w:t>Petroleum</w:t>
            </w:r>
            <w:r w:rsidR="00923233" w:rsidRPr="00BF281D">
              <w:t xml:space="preserve"> Act</w:t>
            </w:r>
          </w:p>
        </w:tc>
        <w:tc>
          <w:tcPr>
            <w:tcW w:w="7512" w:type="dxa"/>
          </w:tcPr>
          <w:p w14:paraId="73934D77" w14:textId="75EB71C2" w:rsidR="00923233" w:rsidRPr="00BF281D" w:rsidRDefault="00923233" w:rsidP="005D550E">
            <w:pPr>
              <w:pStyle w:val="TabletextLeft"/>
            </w:pPr>
            <w:r w:rsidRPr="00BF281D">
              <w:rPr>
                <w:i/>
              </w:rPr>
              <w:t>Petroleum Act 1998</w:t>
            </w:r>
            <w:r w:rsidR="00360265" w:rsidRPr="00BF281D">
              <w:rPr>
                <w:i/>
              </w:rPr>
              <w:t xml:space="preserve"> </w:t>
            </w:r>
            <w:r w:rsidR="00360265" w:rsidRPr="00BF281D">
              <w:rPr>
                <w:iCs/>
              </w:rPr>
              <w:t xml:space="preserve">(Vic) </w:t>
            </w:r>
          </w:p>
        </w:tc>
      </w:tr>
      <w:tr w:rsidR="00923233" w:rsidRPr="00BF281D" w14:paraId="028AF932" w14:textId="77777777" w:rsidTr="00BC614C">
        <w:tc>
          <w:tcPr>
            <w:tcW w:w="2552" w:type="dxa"/>
          </w:tcPr>
          <w:p w14:paraId="474D1EAC" w14:textId="124A41B6" w:rsidR="00923233" w:rsidRPr="00BF281D" w:rsidRDefault="002463CE" w:rsidP="005D550E">
            <w:pPr>
              <w:pStyle w:val="TabletextLeft"/>
            </w:pPr>
            <w:r>
              <w:t>PEP</w:t>
            </w:r>
          </w:p>
        </w:tc>
        <w:tc>
          <w:tcPr>
            <w:tcW w:w="7512" w:type="dxa"/>
          </w:tcPr>
          <w:p w14:paraId="749E936F" w14:textId="10B844A5" w:rsidR="00923233" w:rsidRPr="00BF281D" w:rsidRDefault="002463CE" w:rsidP="005D550E">
            <w:pPr>
              <w:pStyle w:val="TabletextLeft"/>
              <w:rPr>
                <w:i/>
              </w:rPr>
            </w:pPr>
            <w:r>
              <w:rPr>
                <w:i/>
              </w:rPr>
              <w:t>Petroleum Exploration Permit</w:t>
            </w:r>
          </w:p>
        </w:tc>
      </w:tr>
      <w:tr w:rsidR="00993062" w:rsidRPr="00BF281D" w14:paraId="4F57628A" w14:textId="77777777" w:rsidTr="00BC614C">
        <w:tc>
          <w:tcPr>
            <w:tcW w:w="2552" w:type="dxa"/>
          </w:tcPr>
          <w:p w14:paraId="64E91AA6" w14:textId="27A77559" w:rsidR="00993062" w:rsidRPr="00BF281D" w:rsidRDefault="00993062" w:rsidP="005D550E">
            <w:pPr>
              <w:pStyle w:val="TabletextLeft"/>
            </w:pPr>
            <w:r w:rsidRPr="00BF281D">
              <w:t xml:space="preserve">Petroleum Regulations </w:t>
            </w:r>
          </w:p>
        </w:tc>
        <w:tc>
          <w:tcPr>
            <w:tcW w:w="7512" w:type="dxa"/>
          </w:tcPr>
          <w:p w14:paraId="5DB04BC3" w14:textId="4B217097" w:rsidR="00993062" w:rsidRPr="00BF281D" w:rsidRDefault="00013C3D" w:rsidP="007D3541">
            <w:pPr>
              <w:pStyle w:val="TabletextLeft"/>
              <w:ind w:left="0"/>
              <w:rPr>
                <w:iCs/>
              </w:rPr>
            </w:pPr>
            <w:r w:rsidRPr="00BF281D">
              <w:rPr>
                <w:i/>
              </w:rPr>
              <w:t xml:space="preserve"> </w:t>
            </w:r>
            <w:r w:rsidR="00993062" w:rsidRPr="00C73B72">
              <w:t>Petroleum Regulations 2011</w:t>
            </w:r>
            <w:r w:rsidR="00993062" w:rsidRPr="00BF281D">
              <w:rPr>
                <w:iCs/>
              </w:rPr>
              <w:t xml:space="preserve"> (Vic) </w:t>
            </w:r>
          </w:p>
        </w:tc>
      </w:tr>
      <w:tr w:rsidR="00CF2ABC" w:rsidRPr="00BF281D" w14:paraId="5678B958" w14:textId="77777777" w:rsidTr="00BC614C">
        <w:tc>
          <w:tcPr>
            <w:tcW w:w="2552" w:type="dxa"/>
          </w:tcPr>
          <w:p w14:paraId="587EF60B" w14:textId="61886C80" w:rsidR="00CF2ABC" w:rsidRPr="00BF281D" w:rsidRDefault="00CF2ABC" w:rsidP="005D550E">
            <w:pPr>
              <w:pStyle w:val="TabletextLeft"/>
            </w:pPr>
            <w:r w:rsidRPr="00BF281D">
              <w:t>PJ</w:t>
            </w:r>
          </w:p>
        </w:tc>
        <w:tc>
          <w:tcPr>
            <w:tcW w:w="7512" w:type="dxa"/>
          </w:tcPr>
          <w:p w14:paraId="19B1D658" w14:textId="4E2A9309" w:rsidR="00CF2ABC" w:rsidRPr="00BF281D" w:rsidRDefault="00CF2ABC" w:rsidP="005D550E">
            <w:pPr>
              <w:pStyle w:val="TabletextLeft"/>
            </w:pPr>
            <w:r w:rsidRPr="00BF281D">
              <w:t>Petajoule</w:t>
            </w:r>
          </w:p>
        </w:tc>
      </w:tr>
      <w:tr w:rsidR="00E11C30" w:rsidRPr="00BF281D" w14:paraId="488C7D9C" w14:textId="77777777" w:rsidTr="00BC614C">
        <w:tc>
          <w:tcPr>
            <w:tcW w:w="2552" w:type="dxa"/>
          </w:tcPr>
          <w:p w14:paraId="20591D75" w14:textId="082E399F" w:rsidR="00E11C30" w:rsidRPr="00BF281D" w:rsidRDefault="007E7B29" w:rsidP="005D550E">
            <w:pPr>
              <w:pStyle w:val="TabletextLeft"/>
            </w:pPr>
            <w:r w:rsidRPr="00BF281D">
              <w:t>‘</w:t>
            </w:r>
            <w:r w:rsidR="00E11C30" w:rsidRPr="00BF281D">
              <w:t>SLO</w:t>
            </w:r>
            <w:r w:rsidRPr="00BF281D">
              <w:t>’ or ‘</w:t>
            </w:r>
            <w:r w:rsidR="002463CE">
              <w:t>Social license</w:t>
            </w:r>
            <w:r w:rsidR="002463CE" w:rsidRPr="00BF281D">
              <w:t>’</w:t>
            </w:r>
          </w:p>
        </w:tc>
        <w:tc>
          <w:tcPr>
            <w:tcW w:w="7512" w:type="dxa"/>
          </w:tcPr>
          <w:p w14:paraId="15CBDA90" w14:textId="70654DC5" w:rsidR="00E11C30" w:rsidRPr="00BF281D" w:rsidRDefault="002463CE" w:rsidP="005D550E">
            <w:pPr>
              <w:pStyle w:val="TabletextLeft"/>
            </w:pPr>
            <w:r>
              <w:t>Social license</w:t>
            </w:r>
            <w:r w:rsidR="00E11C30" w:rsidRPr="00BF281D">
              <w:t xml:space="preserve"> to operate</w:t>
            </w:r>
          </w:p>
        </w:tc>
      </w:tr>
      <w:tr w:rsidR="00BE4676" w:rsidRPr="00BF281D" w14:paraId="188DDDD4" w14:textId="77777777" w:rsidTr="00BC614C">
        <w:tc>
          <w:tcPr>
            <w:tcW w:w="2552" w:type="dxa"/>
          </w:tcPr>
          <w:p w14:paraId="1E80EC19" w14:textId="0BC02A41" w:rsidR="00BE4676" w:rsidRPr="00BF281D" w:rsidRDefault="00BE4676" w:rsidP="00BF1BA6">
            <w:pPr>
              <w:pStyle w:val="TabletextLeft"/>
            </w:pPr>
            <w:r w:rsidRPr="00BF281D">
              <w:t>VAGO</w:t>
            </w:r>
          </w:p>
        </w:tc>
        <w:tc>
          <w:tcPr>
            <w:tcW w:w="7512" w:type="dxa"/>
          </w:tcPr>
          <w:p w14:paraId="52EE3C58" w14:textId="5FDBBF4F" w:rsidR="00BE4676" w:rsidRPr="00BF281D" w:rsidRDefault="00BE4676" w:rsidP="00BF1BA6">
            <w:pPr>
              <w:pStyle w:val="TabletextLeft"/>
            </w:pPr>
            <w:r w:rsidRPr="00BF281D">
              <w:t xml:space="preserve">Victorian Auditor-General’s Office </w:t>
            </w:r>
          </w:p>
        </w:tc>
      </w:tr>
      <w:tr w:rsidR="00BF1BA6" w:rsidRPr="00BF281D" w14:paraId="419EA864" w14:textId="77777777" w:rsidTr="00BC614C">
        <w:tc>
          <w:tcPr>
            <w:tcW w:w="2552" w:type="dxa"/>
          </w:tcPr>
          <w:p w14:paraId="25E8DF7F" w14:textId="47CA1852" w:rsidR="00BF1BA6" w:rsidRPr="00BF281D" w:rsidRDefault="00BF1BA6" w:rsidP="00BF1BA6">
            <w:pPr>
              <w:pStyle w:val="TabletextLeft"/>
            </w:pPr>
            <w:r w:rsidRPr="00BF281D">
              <w:t>VGP</w:t>
            </w:r>
          </w:p>
        </w:tc>
        <w:tc>
          <w:tcPr>
            <w:tcW w:w="7512" w:type="dxa"/>
          </w:tcPr>
          <w:p w14:paraId="71D2DE14" w14:textId="2F13ECCA" w:rsidR="00BF1BA6" w:rsidRPr="00BF281D" w:rsidRDefault="00BF1BA6" w:rsidP="00BF1BA6">
            <w:pPr>
              <w:pStyle w:val="TabletextLeft"/>
            </w:pPr>
            <w:r w:rsidRPr="00BF281D">
              <w:t>Victorian Gas Program</w:t>
            </w:r>
          </w:p>
        </w:tc>
      </w:tr>
      <w:tr w:rsidR="00BF1BA6" w:rsidRPr="00BF281D" w14:paraId="2740C665" w14:textId="77777777" w:rsidTr="00BC614C">
        <w:tc>
          <w:tcPr>
            <w:tcW w:w="2552" w:type="dxa"/>
          </w:tcPr>
          <w:p w14:paraId="1493296D" w14:textId="2A6FC38C" w:rsidR="00BF1BA6" w:rsidRPr="00BF281D" w:rsidRDefault="00BF1BA6" w:rsidP="00BF1BA6">
            <w:pPr>
              <w:pStyle w:val="TabletextLeft"/>
            </w:pPr>
            <w:r w:rsidRPr="00BF281D">
              <w:t>VGPR</w:t>
            </w:r>
          </w:p>
        </w:tc>
        <w:tc>
          <w:tcPr>
            <w:tcW w:w="7512" w:type="dxa"/>
          </w:tcPr>
          <w:p w14:paraId="6CA8EAB3" w14:textId="1CAD9440" w:rsidR="00BF1BA6" w:rsidRPr="00BF281D" w:rsidRDefault="00BF1BA6" w:rsidP="00BF1BA6">
            <w:pPr>
              <w:pStyle w:val="TabletextLeft"/>
            </w:pPr>
            <w:r w:rsidRPr="00BF281D">
              <w:t>Victorian Gas Planning Report</w:t>
            </w:r>
          </w:p>
        </w:tc>
      </w:tr>
      <w:tr w:rsidR="009F3473" w:rsidRPr="00BF281D" w14:paraId="009C262E" w14:textId="77777777" w:rsidTr="00BC614C">
        <w:tc>
          <w:tcPr>
            <w:tcW w:w="2552" w:type="dxa"/>
          </w:tcPr>
          <w:p w14:paraId="226D7518" w14:textId="40EAD467" w:rsidR="009F3473" w:rsidRPr="00BF281D" w:rsidRDefault="009F3473" w:rsidP="005D550E">
            <w:pPr>
              <w:pStyle w:val="TabletextLeft"/>
            </w:pPr>
            <w:r w:rsidRPr="00BF281D">
              <w:t>WOMP</w:t>
            </w:r>
          </w:p>
        </w:tc>
        <w:tc>
          <w:tcPr>
            <w:tcW w:w="7512" w:type="dxa"/>
          </w:tcPr>
          <w:p w14:paraId="5C31E146" w14:textId="1A5CCE93" w:rsidR="009F3473" w:rsidRPr="00BF281D" w:rsidRDefault="009F3473" w:rsidP="005D550E">
            <w:pPr>
              <w:pStyle w:val="TabletextLeft"/>
            </w:pPr>
            <w:r w:rsidRPr="00BF281D">
              <w:t>Well Operations Management Plan</w:t>
            </w:r>
          </w:p>
        </w:tc>
      </w:tr>
    </w:tbl>
    <w:p w14:paraId="13099660" w14:textId="77777777" w:rsidR="00672300" w:rsidRPr="00BF281D" w:rsidRDefault="00672300" w:rsidP="00656308"/>
    <w:p w14:paraId="71DA8D62" w14:textId="63BB3E45" w:rsidR="00DA30BF" w:rsidRPr="00BF281D" w:rsidRDefault="00F05047" w:rsidP="00C7162B">
      <w:pPr>
        <w:pStyle w:val="Heading1un-numbered"/>
      </w:pPr>
      <w:bookmarkStart w:id="7" w:name="_Toc462313127"/>
      <w:bookmarkStart w:id="8" w:name="_Toc462317836"/>
      <w:bookmarkStart w:id="9" w:name="_Toc462397801"/>
      <w:bookmarkStart w:id="10" w:name="_Toc463002428"/>
      <w:bookmarkStart w:id="11" w:name="_Toc472586340"/>
      <w:bookmarkStart w:id="12" w:name="_Toc482168118"/>
      <w:bookmarkStart w:id="13" w:name="_Toc482174905"/>
      <w:bookmarkStart w:id="14" w:name="_Toc69839563"/>
      <w:bookmarkStart w:id="15" w:name="_Toc67663745"/>
      <w:r w:rsidRPr="00BF281D">
        <w:lastRenderedPageBreak/>
        <w:t>Glossary</w:t>
      </w:r>
      <w:bookmarkEnd w:id="7"/>
      <w:bookmarkEnd w:id="8"/>
      <w:bookmarkEnd w:id="9"/>
      <w:bookmarkEnd w:id="10"/>
      <w:bookmarkEnd w:id="11"/>
      <w:bookmarkEnd w:id="12"/>
      <w:bookmarkEnd w:id="13"/>
      <w:bookmarkEnd w:id="14"/>
      <w:bookmarkEnd w:id="15"/>
    </w:p>
    <w:tbl>
      <w:tblPr>
        <w:tblStyle w:val="Deloittetable"/>
        <w:tblW w:w="10064" w:type="dxa"/>
        <w:tblLayout w:type="fixed"/>
        <w:tblLook w:val="04A0" w:firstRow="1" w:lastRow="0" w:firstColumn="1" w:lastColumn="0" w:noHBand="0" w:noVBand="1"/>
      </w:tblPr>
      <w:tblGrid>
        <w:gridCol w:w="2552"/>
        <w:gridCol w:w="7512"/>
      </w:tblGrid>
      <w:tr w:rsidR="00B3021E" w:rsidRPr="00BF281D" w14:paraId="637CBE47" w14:textId="77777777" w:rsidTr="004240E7">
        <w:trPr>
          <w:cnfStyle w:val="100000000000" w:firstRow="1" w:lastRow="0" w:firstColumn="0" w:lastColumn="0" w:oddVBand="0" w:evenVBand="0" w:oddHBand="0" w:evenHBand="0" w:firstRowFirstColumn="0" w:firstRowLastColumn="0" w:lastRowFirstColumn="0" w:lastRowLastColumn="0"/>
        </w:trPr>
        <w:tc>
          <w:tcPr>
            <w:tcW w:w="2552" w:type="dxa"/>
          </w:tcPr>
          <w:p w14:paraId="51FEF0AD" w14:textId="374BEB1D" w:rsidR="00B3021E" w:rsidRPr="00BF281D" w:rsidRDefault="004209BF" w:rsidP="004240E7">
            <w:pPr>
              <w:pStyle w:val="TabletextLeft"/>
            </w:pPr>
            <w:r w:rsidRPr="00BF281D">
              <w:t>Name</w:t>
            </w:r>
          </w:p>
        </w:tc>
        <w:tc>
          <w:tcPr>
            <w:tcW w:w="7512" w:type="dxa"/>
          </w:tcPr>
          <w:p w14:paraId="3C6400BA" w14:textId="5647D239" w:rsidR="00B3021E" w:rsidRPr="00BF281D" w:rsidRDefault="004209BF" w:rsidP="004240E7">
            <w:pPr>
              <w:pStyle w:val="TabletextLeft"/>
            </w:pPr>
            <w:r w:rsidRPr="00BF281D">
              <w:t>Description</w:t>
            </w:r>
          </w:p>
        </w:tc>
      </w:tr>
      <w:tr w:rsidR="00B3021E" w:rsidRPr="00BF281D" w14:paraId="79783D9C" w14:textId="77777777" w:rsidTr="004240E7">
        <w:tc>
          <w:tcPr>
            <w:tcW w:w="2552" w:type="dxa"/>
          </w:tcPr>
          <w:p w14:paraId="70379B67" w14:textId="77777777" w:rsidR="00B3021E" w:rsidRPr="00BF281D" w:rsidRDefault="00B3021E" w:rsidP="004240E7">
            <w:pPr>
              <w:pStyle w:val="TabletextLeft"/>
            </w:pPr>
            <w:r w:rsidRPr="00BF281D">
              <w:t xml:space="preserve">Conventional gas </w:t>
            </w:r>
          </w:p>
        </w:tc>
        <w:tc>
          <w:tcPr>
            <w:tcW w:w="7512" w:type="dxa"/>
          </w:tcPr>
          <w:p w14:paraId="2051B422" w14:textId="79656391" w:rsidR="00B3021E" w:rsidRPr="00BF281D" w:rsidRDefault="00B3021E" w:rsidP="004240E7">
            <w:pPr>
              <w:pStyle w:val="TabletextLeft"/>
            </w:pPr>
            <w:r w:rsidRPr="00BF281D">
              <w:t>Natural gas that can be produced from reservoirs using traditional drilling, pumping and compression techniques</w:t>
            </w:r>
            <w:r w:rsidR="00574A4F">
              <w:t>.</w:t>
            </w:r>
            <w:r w:rsidRPr="00BF281D">
              <w:t xml:space="preserve"> </w:t>
            </w:r>
            <w:proofErr w:type="gramStart"/>
            <w:r w:rsidR="00574A4F" w:rsidRPr="00B34FE1">
              <w:t>Usually</w:t>
            </w:r>
            <w:proofErr w:type="gramEnd"/>
            <w:r w:rsidR="00574A4F" w:rsidRPr="00B34FE1">
              <w:t xml:space="preserve"> conventional gas has migrated upwards from a source rock into the overlying porous and permeable formation, and this enables it to be more readily extracted. This gas is recovered via a well using naturally occurring gas pressure due to the ability of the gas to move through permeable rock. Conventional gas extraction does not involve dewatering or hydraulic fracturing.</w:t>
            </w:r>
          </w:p>
        </w:tc>
      </w:tr>
      <w:tr w:rsidR="00B3021E" w:rsidRPr="00BF281D" w14:paraId="1BD44E6E" w14:textId="77777777" w:rsidTr="004240E7">
        <w:tc>
          <w:tcPr>
            <w:tcW w:w="2552" w:type="dxa"/>
          </w:tcPr>
          <w:p w14:paraId="3012A734" w14:textId="41A9AC2F" w:rsidR="00B3021E" w:rsidRPr="00BF281D" w:rsidRDefault="005E0514" w:rsidP="004240E7">
            <w:pPr>
              <w:pStyle w:val="TabletextLeft"/>
            </w:pPr>
            <w:r>
              <w:t xml:space="preserve">Hydraulic fracturing (known as fracking) </w:t>
            </w:r>
          </w:p>
        </w:tc>
        <w:tc>
          <w:tcPr>
            <w:tcW w:w="7512" w:type="dxa"/>
          </w:tcPr>
          <w:p w14:paraId="56A53AF9" w14:textId="0B5EC3B8" w:rsidR="00B3021E" w:rsidRPr="00BF281D" w:rsidRDefault="00B55B39" w:rsidP="004240E7">
            <w:pPr>
              <w:pStyle w:val="TabletextLeft"/>
            </w:pPr>
            <w:r>
              <w:t>T</w:t>
            </w:r>
            <w:r w:rsidR="00FE01C4">
              <w:t xml:space="preserve">he </w:t>
            </w:r>
            <w:r w:rsidR="00685769">
              <w:t>injection of a substance or substances into a bore under pressure for the purposes of stimulating a geological formation</w:t>
            </w:r>
            <w:r w:rsidR="00B3021E" w:rsidRPr="00BF281D">
              <w:t xml:space="preserve"> (</w:t>
            </w:r>
            <w:r>
              <w:t xml:space="preserve">also </w:t>
            </w:r>
            <w:r w:rsidR="00B3021E" w:rsidRPr="00BF281D">
              <w:t xml:space="preserve">known as </w:t>
            </w:r>
            <w:r w:rsidR="005E0514">
              <w:t>fracking</w:t>
            </w:r>
            <w:r w:rsidR="00B3021E" w:rsidRPr="00BF281D">
              <w:t>)</w:t>
            </w:r>
            <w:r w:rsidR="00574A4F">
              <w:t>.</w:t>
            </w:r>
            <w:r w:rsidR="00B3021E" w:rsidRPr="00BF281D">
              <w:t xml:space="preserve"> </w:t>
            </w:r>
          </w:p>
        </w:tc>
      </w:tr>
      <w:tr w:rsidR="00B3021E" w:rsidRPr="00BF281D" w14:paraId="7B6627D4" w14:textId="77777777" w:rsidTr="004240E7">
        <w:tc>
          <w:tcPr>
            <w:tcW w:w="2552" w:type="dxa"/>
          </w:tcPr>
          <w:p w14:paraId="1C38096C" w14:textId="77777777" w:rsidR="00B3021E" w:rsidRPr="00BF281D" w:rsidRDefault="00B3021E" w:rsidP="004240E7">
            <w:pPr>
              <w:pStyle w:val="TabletextLeft"/>
            </w:pPr>
            <w:r w:rsidRPr="00BF281D">
              <w:t xml:space="preserve">Offshore gas </w:t>
            </w:r>
          </w:p>
        </w:tc>
        <w:tc>
          <w:tcPr>
            <w:tcW w:w="7512" w:type="dxa"/>
          </w:tcPr>
          <w:p w14:paraId="2CCE24CA" w14:textId="4E3EAF9A" w:rsidR="00B3021E" w:rsidRPr="00BF281D" w:rsidRDefault="00B3021E" w:rsidP="004240E7">
            <w:pPr>
              <w:pStyle w:val="TabletextLeft"/>
            </w:pPr>
            <w:r w:rsidRPr="00BF281D">
              <w:t xml:space="preserve">Natural gas that is located within State or Australian waters. Victorian offshore gas is natural gas located within state waters (to 3 nautical miles off the Victorian coastline).  </w:t>
            </w:r>
          </w:p>
        </w:tc>
      </w:tr>
      <w:tr w:rsidR="00B3021E" w:rsidRPr="00BF281D" w14:paraId="05E1E4A3" w14:textId="77777777" w:rsidTr="004240E7">
        <w:tc>
          <w:tcPr>
            <w:tcW w:w="2552" w:type="dxa"/>
          </w:tcPr>
          <w:p w14:paraId="1912F70A" w14:textId="77777777" w:rsidR="00B3021E" w:rsidRPr="00BF281D" w:rsidRDefault="00B3021E" w:rsidP="004240E7">
            <w:pPr>
              <w:pStyle w:val="TabletextLeft"/>
            </w:pPr>
            <w:r w:rsidRPr="00BF281D">
              <w:t xml:space="preserve">Onshore gas </w:t>
            </w:r>
          </w:p>
        </w:tc>
        <w:tc>
          <w:tcPr>
            <w:tcW w:w="7512" w:type="dxa"/>
          </w:tcPr>
          <w:p w14:paraId="079BFA67" w14:textId="76C03A63" w:rsidR="00B3021E" w:rsidRPr="00BF281D" w:rsidRDefault="00B3021E" w:rsidP="004240E7">
            <w:pPr>
              <w:pStyle w:val="TabletextLeft"/>
            </w:pPr>
            <w:r w:rsidRPr="00BF281D">
              <w:t>Natural gas reserves drilled from the Australian landmass</w:t>
            </w:r>
            <w:r w:rsidR="00574A4F">
              <w:t>.</w:t>
            </w:r>
            <w:r w:rsidRPr="00BF281D">
              <w:t xml:space="preserve"> </w:t>
            </w:r>
          </w:p>
        </w:tc>
      </w:tr>
      <w:tr w:rsidR="00B3021E" w:rsidRPr="00BF281D" w14:paraId="32BC25E6" w14:textId="77777777" w:rsidTr="004240E7">
        <w:tc>
          <w:tcPr>
            <w:tcW w:w="2552" w:type="dxa"/>
          </w:tcPr>
          <w:p w14:paraId="24DDE321" w14:textId="77777777" w:rsidR="00B3021E" w:rsidRPr="00BF281D" w:rsidRDefault="00B3021E" w:rsidP="004240E7">
            <w:pPr>
              <w:pStyle w:val="TabletextLeft"/>
            </w:pPr>
            <w:r w:rsidRPr="00BF281D">
              <w:t>Unconventional gas</w:t>
            </w:r>
          </w:p>
        </w:tc>
        <w:tc>
          <w:tcPr>
            <w:tcW w:w="7512" w:type="dxa"/>
          </w:tcPr>
          <w:p w14:paraId="6F5F3689" w14:textId="4D871779" w:rsidR="00B3021E" w:rsidRPr="00BF281D" w:rsidRDefault="00540DA3" w:rsidP="004240E7">
            <w:pPr>
              <w:pStyle w:val="TabletextLeft"/>
            </w:pPr>
            <w:r>
              <w:t>Gas that is found in geological formation with low permeability which cannot flow through rock to a wellbore. Fracking is typically used to recover the gas</w:t>
            </w:r>
            <w:r w:rsidR="00B3021E" w:rsidRPr="00BF281D">
              <w:t>.</w:t>
            </w:r>
          </w:p>
        </w:tc>
      </w:tr>
    </w:tbl>
    <w:p w14:paraId="686ED565" w14:textId="77777777" w:rsidR="00F9113D" w:rsidRPr="00BF281D" w:rsidRDefault="00F9113D" w:rsidP="00672300">
      <w:pPr>
        <w:sectPr w:rsidR="00F9113D" w:rsidRPr="00BF281D" w:rsidSect="00E21C22">
          <w:headerReference w:type="default" r:id="rId24"/>
          <w:footerReference w:type="default" r:id="rId25"/>
          <w:pgSz w:w="11906" w:h="16838" w:code="9"/>
          <w:pgMar w:top="1985" w:right="1559" w:bottom="1134" w:left="680" w:header="680" w:footer="425" w:gutter="0"/>
          <w:pgNumType w:fmt="lowerRoman" w:start="1"/>
          <w:cols w:space="284"/>
          <w:noEndnote/>
          <w:docGrid w:linePitch="360"/>
        </w:sectPr>
      </w:pPr>
    </w:p>
    <w:p w14:paraId="7EFD7A00" w14:textId="37FC60C1" w:rsidR="00F9113D" w:rsidRPr="00BF281D" w:rsidRDefault="00F9113D" w:rsidP="00FE6C88">
      <w:pPr>
        <w:pStyle w:val="ExecutiveHeading"/>
      </w:pPr>
      <w:bookmarkStart w:id="16" w:name="_Toc215906318"/>
      <w:bookmarkStart w:id="17" w:name="_Toc227746675"/>
      <w:bookmarkStart w:id="18" w:name="_Toc227746679"/>
      <w:bookmarkStart w:id="19" w:name="_Toc227746683"/>
      <w:bookmarkStart w:id="20" w:name="_Toc227746687"/>
      <w:bookmarkStart w:id="21" w:name="_Toc227748309"/>
      <w:bookmarkStart w:id="22" w:name="_Toc227748327"/>
      <w:bookmarkStart w:id="23" w:name="_Toc227748331"/>
      <w:bookmarkStart w:id="24" w:name="_Toc227748335"/>
      <w:bookmarkStart w:id="25" w:name="_Toc227748374"/>
      <w:bookmarkStart w:id="26" w:name="_Toc227748378"/>
      <w:bookmarkStart w:id="27" w:name="_Toc227748382"/>
      <w:bookmarkStart w:id="28" w:name="_Toc227748494"/>
      <w:bookmarkStart w:id="29" w:name="_Toc227748498"/>
      <w:bookmarkStart w:id="30" w:name="_Toc228005205"/>
      <w:bookmarkStart w:id="31" w:name="_Toc228092496"/>
      <w:bookmarkStart w:id="32" w:name="_Toc228264951"/>
      <w:bookmarkStart w:id="33" w:name="_Toc228264973"/>
      <w:bookmarkStart w:id="34" w:name="_Toc228264977"/>
      <w:bookmarkStart w:id="35" w:name="_Toc228264981"/>
      <w:bookmarkStart w:id="36" w:name="_Toc228264985"/>
      <w:bookmarkStart w:id="37" w:name="_Toc228265215"/>
      <w:bookmarkStart w:id="38" w:name="_Toc288198024"/>
      <w:bookmarkStart w:id="39" w:name="_Toc448829185"/>
      <w:bookmarkStart w:id="40" w:name="_Toc456353381"/>
      <w:bookmarkStart w:id="41" w:name="_Toc462313128"/>
      <w:bookmarkStart w:id="42" w:name="_Toc462317837"/>
      <w:bookmarkStart w:id="43" w:name="_Toc462397802"/>
      <w:bookmarkStart w:id="44" w:name="_Toc463002429"/>
      <w:bookmarkStart w:id="45" w:name="_Toc472586341"/>
      <w:bookmarkStart w:id="46" w:name="_Toc482168119"/>
      <w:bookmarkStart w:id="47" w:name="_Toc482174906"/>
      <w:bookmarkStart w:id="48" w:name="_Toc69839564"/>
      <w:bookmarkStart w:id="49" w:name="_Toc67663746"/>
      <w:r w:rsidRPr="00817682">
        <w:lastRenderedPageBreak/>
        <w:t>Executive summary</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1D3EA263" w14:textId="0C40F21F" w:rsidR="00245259" w:rsidRPr="00012DD6" w:rsidRDefault="00E442AA" w:rsidP="00012DD6">
      <w:pPr>
        <w:keepNext/>
        <w:keepLines/>
        <w:spacing w:before="240" w:after="0" w:line="280" w:lineRule="atLeast"/>
        <w:rPr>
          <w:rFonts w:eastAsia="Verdana" w:cs="Times New Roman"/>
          <w:szCs w:val="17"/>
        </w:rPr>
      </w:pPr>
      <w:r w:rsidRPr="00C672BD">
        <w:rPr>
          <w:rFonts w:eastAsia="Times New Roman" w:cs="Times New Roman"/>
          <w:b/>
          <w:color w:val="012169" w:themeColor="accent4"/>
          <w:szCs w:val="28"/>
        </w:rPr>
        <w:t>Purpose of this Regulatory Impact Statement</w:t>
      </w:r>
      <w:r w:rsidR="00214DCB">
        <w:rPr>
          <w:rFonts w:eastAsia="Verdana" w:cs="Times New Roman"/>
          <w:szCs w:val="17"/>
        </w:rPr>
        <w:br/>
      </w:r>
      <w:r w:rsidR="00245259" w:rsidRPr="00012DD6">
        <w:rPr>
          <w:rFonts w:eastAsia="Verdana" w:cs="Times New Roman"/>
          <w:szCs w:val="17"/>
        </w:rPr>
        <w:t>In June 2020, the Victorian Parliament</w:t>
      </w:r>
      <w:r w:rsidR="008972F3">
        <w:rPr>
          <w:rFonts w:eastAsia="Verdana" w:cs="Times New Roman"/>
          <w:szCs w:val="17"/>
        </w:rPr>
        <w:t xml:space="preserve"> passed</w:t>
      </w:r>
      <w:r w:rsidR="00B71137">
        <w:rPr>
          <w:rFonts w:eastAsia="Verdana" w:cs="Times New Roman"/>
          <w:szCs w:val="17"/>
        </w:rPr>
        <w:t xml:space="preserve"> the </w:t>
      </w:r>
      <w:r w:rsidR="00B71137">
        <w:rPr>
          <w:rFonts w:eastAsia="Verdana" w:cs="Times New Roman"/>
          <w:i/>
          <w:iCs/>
          <w:szCs w:val="17"/>
        </w:rPr>
        <w:t>Petroleum Legislation Amendment Act 2020</w:t>
      </w:r>
      <w:r w:rsidR="00B71137" w:rsidRPr="00C73B72">
        <w:rPr>
          <w:i/>
        </w:rPr>
        <w:t xml:space="preserve"> </w:t>
      </w:r>
      <w:r w:rsidR="00B71137">
        <w:rPr>
          <w:rFonts w:eastAsia="Verdana" w:cs="Times New Roman"/>
          <w:szCs w:val="17"/>
        </w:rPr>
        <w:t xml:space="preserve">(the </w:t>
      </w:r>
      <w:r w:rsidR="00501462">
        <w:rPr>
          <w:rFonts w:eastAsia="Verdana" w:cs="Times New Roman"/>
          <w:szCs w:val="17"/>
        </w:rPr>
        <w:t>Amendment Act</w:t>
      </w:r>
      <w:r w:rsidR="00B71137">
        <w:rPr>
          <w:rFonts w:eastAsia="Verdana" w:cs="Times New Roman"/>
          <w:szCs w:val="17"/>
        </w:rPr>
        <w:t xml:space="preserve">) </w:t>
      </w:r>
      <w:r w:rsidR="00EF6B62">
        <w:rPr>
          <w:rFonts w:eastAsia="Verdana" w:cs="Times New Roman"/>
          <w:szCs w:val="17"/>
        </w:rPr>
        <w:t xml:space="preserve">which </w:t>
      </w:r>
      <w:r w:rsidR="00B71137">
        <w:rPr>
          <w:rFonts w:eastAsia="Verdana" w:cs="Times New Roman"/>
          <w:szCs w:val="17"/>
        </w:rPr>
        <w:t>amend</w:t>
      </w:r>
      <w:r w:rsidR="00EC4782">
        <w:rPr>
          <w:rFonts w:eastAsia="Verdana" w:cs="Times New Roman"/>
          <w:szCs w:val="17"/>
        </w:rPr>
        <w:t>ed</w:t>
      </w:r>
      <w:r w:rsidR="00B71137">
        <w:rPr>
          <w:rFonts w:eastAsia="Verdana" w:cs="Times New Roman"/>
          <w:szCs w:val="17"/>
        </w:rPr>
        <w:t xml:space="preserve"> the </w:t>
      </w:r>
      <w:r w:rsidR="00B71137">
        <w:rPr>
          <w:rFonts w:eastAsia="Verdana" w:cs="Times New Roman"/>
          <w:i/>
          <w:iCs/>
          <w:szCs w:val="17"/>
        </w:rPr>
        <w:t>Petroleum Act 1998</w:t>
      </w:r>
      <w:r w:rsidR="001C6E2D">
        <w:rPr>
          <w:rFonts w:eastAsia="Verdana" w:cs="Times New Roman"/>
          <w:szCs w:val="17"/>
        </w:rPr>
        <w:t xml:space="preserve"> (the Petroleum Act)</w:t>
      </w:r>
      <w:r w:rsidR="00245259" w:rsidRPr="00012DD6">
        <w:rPr>
          <w:rFonts w:eastAsia="Verdana" w:cs="Times New Roman"/>
          <w:szCs w:val="17"/>
        </w:rPr>
        <w:t xml:space="preserve"> to allow for an orderly restart of conventional gas exploration and production</w:t>
      </w:r>
      <w:r w:rsidR="00A411F4">
        <w:rPr>
          <w:rFonts w:eastAsia="Verdana" w:cs="Times New Roman"/>
          <w:szCs w:val="17"/>
        </w:rPr>
        <w:t>. The focus of changes to the regulations</w:t>
      </w:r>
      <w:r w:rsidR="003D1A7F">
        <w:rPr>
          <w:rFonts w:eastAsia="Verdana" w:cs="Times New Roman"/>
          <w:szCs w:val="17"/>
        </w:rPr>
        <w:t xml:space="preserve"> is on</w:t>
      </w:r>
      <w:r w:rsidR="00245259" w:rsidRPr="00012DD6">
        <w:rPr>
          <w:rFonts w:eastAsia="Verdana" w:cs="Times New Roman"/>
          <w:szCs w:val="17"/>
        </w:rPr>
        <w:t xml:space="preserve"> enhance</w:t>
      </w:r>
      <w:r w:rsidR="003D1A7F">
        <w:rPr>
          <w:rFonts w:eastAsia="Verdana" w:cs="Times New Roman"/>
          <w:szCs w:val="17"/>
        </w:rPr>
        <w:t>ments aimed at improving</w:t>
      </w:r>
      <w:r w:rsidR="00245259" w:rsidRPr="00012DD6">
        <w:rPr>
          <w:rFonts w:eastAsia="Verdana" w:cs="Times New Roman"/>
          <w:szCs w:val="17"/>
        </w:rPr>
        <w:t xml:space="preserve"> community confidence in the</w:t>
      </w:r>
      <w:r w:rsidR="003D1A7F">
        <w:rPr>
          <w:rFonts w:eastAsia="Verdana" w:cs="Times New Roman"/>
          <w:szCs w:val="17"/>
        </w:rPr>
        <w:t xml:space="preserve"> onshore conventional gas</w:t>
      </w:r>
      <w:r w:rsidR="00245259" w:rsidRPr="00012DD6">
        <w:rPr>
          <w:rFonts w:eastAsia="Verdana" w:cs="Times New Roman"/>
          <w:szCs w:val="17"/>
        </w:rPr>
        <w:t xml:space="preserve"> industry.</w:t>
      </w:r>
    </w:p>
    <w:p w14:paraId="06E87FC4" w14:textId="2F1FAF58" w:rsidR="00245259" w:rsidRPr="00012DD6" w:rsidRDefault="007C618F" w:rsidP="00245259">
      <w:pPr>
        <w:spacing w:after="240"/>
        <w:rPr>
          <w:rFonts w:eastAsia="Verdana" w:cs="Times New Roman"/>
        </w:rPr>
      </w:pPr>
      <w:r>
        <w:rPr>
          <w:rFonts w:eastAsia="Verdana" w:cs="Times New Roman"/>
        </w:rPr>
        <w:br/>
      </w:r>
      <w:r w:rsidR="00245259" w:rsidRPr="00817682">
        <w:rPr>
          <w:rFonts w:eastAsia="Verdana" w:cs="Times New Roman"/>
        </w:rPr>
        <w:t xml:space="preserve">This Regulatory Impact Statement (RIS) was prepared to facilitate consultation on new proposed </w:t>
      </w:r>
      <w:r w:rsidR="00245259" w:rsidRPr="00B34FE1">
        <w:rPr>
          <w:rFonts w:eastAsia="Verdana" w:cs="Times New Roman"/>
        </w:rPr>
        <w:t xml:space="preserve">Petroleum </w:t>
      </w:r>
      <w:r w:rsidR="00E12747" w:rsidRPr="00B34FE1">
        <w:rPr>
          <w:rFonts w:eastAsia="Verdana" w:cs="Times New Roman"/>
        </w:rPr>
        <w:t>R</w:t>
      </w:r>
      <w:r w:rsidR="00245259" w:rsidRPr="00B34FE1">
        <w:rPr>
          <w:rFonts w:eastAsia="Verdana" w:cs="Times New Roman"/>
        </w:rPr>
        <w:t>egulations</w:t>
      </w:r>
      <w:r w:rsidR="001C6E2D" w:rsidRPr="00B34FE1">
        <w:rPr>
          <w:rFonts w:eastAsia="Verdana" w:cs="Times New Roman"/>
        </w:rPr>
        <w:t xml:space="preserve"> 2021</w:t>
      </w:r>
      <w:r w:rsidR="00635D9D">
        <w:rPr>
          <w:rFonts w:eastAsia="Verdana" w:cs="Times New Roman"/>
        </w:rPr>
        <w:t xml:space="preserve"> (proposed regulations)</w:t>
      </w:r>
      <w:r w:rsidR="00245259" w:rsidRPr="00BF281D">
        <w:rPr>
          <w:rFonts w:eastAsia="Verdana" w:cs="Times New Roman"/>
        </w:rPr>
        <w:t xml:space="preserve"> to support the orderly restart of the onshore conventional gas industry. </w:t>
      </w:r>
      <w:r w:rsidR="00F535F2" w:rsidRPr="00B34FE1">
        <w:rPr>
          <w:rFonts w:eastAsia="Verdana" w:cs="Times New Roman"/>
        </w:rPr>
        <w:t>In</w:t>
      </w:r>
      <w:r w:rsidR="00F535F2" w:rsidRPr="00BF281D">
        <w:rPr>
          <w:rFonts w:eastAsia="Verdana" w:cs="Times New Roman"/>
        </w:rPr>
        <w:t xml:space="preserve"> Victoria, regulations sunset every ten years to allow government to periodically assess changes in technology, community expectations </w:t>
      </w:r>
      <w:r w:rsidR="00F535F2">
        <w:rPr>
          <w:rFonts w:eastAsia="Verdana" w:cs="Times New Roman"/>
        </w:rPr>
        <w:t>and</w:t>
      </w:r>
      <w:r w:rsidR="00F535F2" w:rsidRPr="00817682">
        <w:rPr>
          <w:rFonts w:eastAsia="Verdana" w:cs="Times New Roman"/>
        </w:rPr>
        <w:t xml:space="preserve"> business practice</w:t>
      </w:r>
      <w:r w:rsidR="00F535F2">
        <w:rPr>
          <w:rFonts w:eastAsia="Verdana" w:cs="Times New Roman"/>
        </w:rPr>
        <w:t>s</w:t>
      </w:r>
      <w:r w:rsidR="00F535F2" w:rsidRPr="00817682">
        <w:rPr>
          <w:rFonts w:eastAsia="Verdana" w:cs="Times New Roman"/>
        </w:rPr>
        <w:t>, and to update the regulations accordingly.</w:t>
      </w:r>
      <w:r w:rsidR="00F535F2" w:rsidRPr="00817682">
        <w:rPr>
          <w:rFonts w:eastAsia="Verdana" w:cs="Times New Roman"/>
          <w:vertAlign w:val="superscript"/>
        </w:rPr>
        <w:footnoteReference w:id="2"/>
      </w:r>
      <w:r w:rsidR="00245259" w:rsidRPr="00BF281D">
        <w:rPr>
          <w:rFonts w:eastAsia="Verdana" w:cs="Times New Roman"/>
        </w:rPr>
        <w:t xml:space="preserve">The current </w:t>
      </w:r>
      <w:r w:rsidR="00245259" w:rsidRPr="00B34FE1">
        <w:rPr>
          <w:rFonts w:eastAsia="Verdana" w:cs="Times New Roman"/>
        </w:rPr>
        <w:t>Petroleum Regulations 2011</w:t>
      </w:r>
      <w:r w:rsidR="00245259" w:rsidRPr="00BF281D">
        <w:rPr>
          <w:rFonts w:eastAsia="Verdana" w:cs="Times New Roman"/>
        </w:rPr>
        <w:t xml:space="preserve"> </w:t>
      </w:r>
      <w:r w:rsidR="00EB7489">
        <w:rPr>
          <w:rFonts w:eastAsia="Verdana" w:cs="Times New Roman"/>
        </w:rPr>
        <w:t xml:space="preserve">were due to sunset on </w:t>
      </w:r>
      <w:r w:rsidR="00245259" w:rsidRPr="00BF281D">
        <w:rPr>
          <w:rFonts w:eastAsia="Verdana" w:cs="Times New Roman"/>
        </w:rPr>
        <w:t xml:space="preserve">24 May </w:t>
      </w:r>
      <w:r w:rsidR="00245259" w:rsidRPr="00B34FE1">
        <w:rPr>
          <w:rFonts w:eastAsia="Verdana" w:cs="Times New Roman"/>
        </w:rPr>
        <w:t>2021</w:t>
      </w:r>
      <w:r w:rsidR="00012F67" w:rsidRPr="00B34FE1">
        <w:rPr>
          <w:rFonts w:eastAsia="Verdana" w:cs="Times New Roman"/>
        </w:rPr>
        <w:t>.</w:t>
      </w:r>
      <w:r w:rsidR="00EB7489">
        <w:rPr>
          <w:rFonts w:eastAsia="Verdana" w:cs="Times New Roman"/>
        </w:rPr>
        <w:t xml:space="preserve"> </w:t>
      </w:r>
      <w:r w:rsidR="006D126B">
        <w:rPr>
          <w:rFonts w:eastAsia="Verdana" w:cs="Times New Roman"/>
        </w:rPr>
        <w:t xml:space="preserve">The regulations were re-made for a short interim period.  </w:t>
      </w:r>
      <w:r w:rsidR="00245259" w:rsidRPr="00817682">
        <w:rPr>
          <w:rFonts w:eastAsia="Verdana" w:cs="Times New Roman"/>
        </w:rPr>
        <w:t>This RIS analyses the potential impacts of several options</w:t>
      </w:r>
      <w:r w:rsidR="00F535F2">
        <w:rPr>
          <w:rFonts w:eastAsia="Verdana" w:cs="Times New Roman"/>
        </w:rPr>
        <w:t xml:space="preserve"> in making new regulations</w:t>
      </w:r>
      <w:r w:rsidR="00245259" w:rsidRPr="00817682">
        <w:rPr>
          <w:rFonts w:eastAsia="Verdana" w:cs="Times New Roman"/>
        </w:rPr>
        <w:t xml:space="preserve">. </w:t>
      </w:r>
    </w:p>
    <w:p w14:paraId="207A46D7" w14:textId="070131C4" w:rsidR="00245259" w:rsidRPr="00012DD6" w:rsidRDefault="00245259" w:rsidP="00245259">
      <w:pPr>
        <w:spacing w:after="120"/>
        <w:rPr>
          <w:rFonts w:eastAsia="Verdana" w:cs="Times New Roman"/>
          <w:szCs w:val="17"/>
        </w:rPr>
      </w:pPr>
      <w:r w:rsidRPr="00012DD6">
        <w:rPr>
          <w:rFonts w:eastAsia="Verdana" w:cs="Times New Roman"/>
          <w:szCs w:val="17"/>
        </w:rPr>
        <w:t xml:space="preserve">If the </w:t>
      </w:r>
      <w:r w:rsidRPr="00B34FE1">
        <w:rPr>
          <w:rFonts w:eastAsia="Verdana" w:cs="Times New Roman"/>
          <w:szCs w:val="17"/>
        </w:rPr>
        <w:t>Petroleum Regulations 2011</w:t>
      </w:r>
      <w:r w:rsidRPr="00012DD6">
        <w:rPr>
          <w:rFonts w:eastAsia="Verdana" w:cs="Times New Roman"/>
          <w:szCs w:val="17"/>
        </w:rPr>
        <w:t xml:space="preserve"> </w:t>
      </w:r>
      <w:proofErr w:type="gramStart"/>
      <w:r w:rsidRPr="00012DD6">
        <w:rPr>
          <w:rFonts w:eastAsia="Verdana" w:cs="Times New Roman"/>
          <w:szCs w:val="17"/>
        </w:rPr>
        <w:t>were allowed to</w:t>
      </w:r>
      <w:proofErr w:type="gramEnd"/>
      <w:r w:rsidRPr="00012DD6">
        <w:rPr>
          <w:rFonts w:eastAsia="Verdana" w:cs="Times New Roman"/>
          <w:szCs w:val="17"/>
        </w:rPr>
        <w:t xml:space="preserve"> sunset, industry could only be regulated under the Petroleum Act.</w:t>
      </w:r>
      <w:r w:rsidR="0001782D" w:rsidRPr="00012DD6">
        <w:rPr>
          <w:rFonts w:eastAsia="Verdana" w:cs="Times New Roman"/>
          <w:szCs w:val="17"/>
        </w:rPr>
        <w:t xml:space="preserve"> </w:t>
      </w:r>
      <w:r w:rsidRPr="00012DD6">
        <w:rPr>
          <w:rFonts w:eastAsia="Verdana" w:cs="Times New Roman"/>
          <w:szCs w:val="17"/>
        </w:rPr>
        <w:t>The Department of Jobs, Precincts and Regions (DJPR) considers</w:t>
      </w:r>
      <w:r w:rsidR="002B1459">
        <w:rPr>
          <w:rFonts w:eastAsia="Verdana" w:cs="Times New Roman"/>
          <w:szCs w:val="17"/>
        </w:rPr>
        <w:t xml:space="preserve"> the absence of </w:t>
      </w:r>
      <w:r w:rsidR="00B008E2">
        <w:rPr>
          <w:rFonts w:eastAsia="Verdana" w:cs="Times New Roman"/>
          <w:szCs w:val="17"/>
        </w:rPr>
        <w:t xml:space="preserve">specific </w:t>
      </w:r>
      <w:r w:rsidR="002B1459">
        <w:rPr>
          <w:rFonts w:eastAsia="Verdana" w:cs="Times New Roman"/>
          <w:szCs w:val="17"/>
        </w:rPr>
        <w:t>regulations</w:t>
      </w:r>
      <w:r w:rsidRPr="00012DD6">
        <w:rPr>
          <w:rFonts w:eastAsia="Verdana" w:cs="Times New Roman"/>
          <w:szCs w:val="17"/>
        </w:rPr>
        <w:t xml:space="preserve"> </w:t>
      </w:r>
      <w:r w:rsidR="00B008E2">
        <w:rPr>
          <w:rFonts w:eastAsia="Verdana" w:cs="Times New Roman"/>
          <w:szCs w:val="17"/>
        </w:rPr>
        <w:t xml:space="preserve">would </w:t>
      </w:r>
      <w:r w:rsidRPr="00012DD6">
        <w:rPr>
          <w:rFonts w:eastAsia="Verdana" w:cs="Times New Roman"/>
          <w:szCs w:val="17"/>
        </w:rPr>
        <w:t>present the following problems:</w:t>
      </w:r>
    </w:p>
    <w:p w14:paraId="0DFC6845" w14:textId="53DEDFAE" w:rsidR="00245259" w:rsidRPr="00012DD6" w:rsidRDefault="00245259" w:rsidP="00245259">
      <w:pPr>
        <w:numPr>
          <w:ilvl w:val="0"/>
          <w:numId w:val="68"/>
        </w:numPr>
        <w:spacing w:after="120"/>
        <w:rPr>
          <w:rFonts w:eastAsia="Verdana" w:cs="Times New Roman"/>
          <w:szCs w:val="17"/>
        </w:rPr>
      </w:pPr>
      <w:r w:rsidRPr="00817682">
        <w:rPr>
          <w:rFonts w:eastAsia="Verdana" w:cs="Times New Roman"/>
          <w:szCs w:val="17"/>
        </w:rPr>
        <w:t xml:space="preserve">onshore conventional petroleum resource development </w:t>
      </w:r>
      <w:r w:rsidR="002C608F">
        <w:rPr>
          <w:rFonts w:eastAsia="Verdana" w:cs="Times New Roman"/>
          <w:szCs w:val="17"/>
        </w:rPr>
        <w:t xml:space="preserve">would be </w:t>
      </w:r>
      <w:r w:rsidRPr="00817682">
        <w:rPr>
          <w:rFonts w:eastAsia="Verdana" w:cs="Times New Roman"/>
          <w:szCs w:val="17"/>
        </w:rPr>
        <w:t>insufficiently encouraged in Victoria</w:t>
      </w:r>
    </w:p>
    <w:p w14:paraId="2738E174" w14:textId="03C7A27F" w:rsidR="00245259" w:rsidRPr="00012DD6" w:rsidRDefault="00245259" w:rsidP="00245259">
      <w:pPr>
        <w:numPr>
          <w:ilvl w:val="0"/>
          <w:numId w:val="68"/>
        </w:numPr>
        <w:spacing w:after="120"/>
        <w:rPr>
          <w:rFonts w:eastAsia="Verdana" w:cs="Times New Roman"/>
          <w:szCs w:val="17"/>
        </w:rPr>
      </w:pPr>
      <w:r w:rsidRPr="00817682">
        <w:rPr>
          <w:rFonts w:eastAsia="Verdana" w:cs="Times New Roman"/>
          <w:szCs w:val="17"/>
        </w:rPr>
        <w:t xml:space="preserve">the petroleum industry </w:t>
      </w:r>
      <w:r w:rsidR="00A50F1F">
        <w:rPr>
          <w:rFonts w:eastAsia="Verdana" w:cs="Times New Roman"/>
          <w:szCs w:val="17"/>
        </w:rPr>
        <w:t xml:space="preserve">would </w:t>
      </w:r>
      <w:r w:rsidRPr="00817682">
        <w:rPr>
          <w:rFonts w:eastAsia="Verdana" w:cs="Times New Roman"/>
          <w:szCs w:val="17"/>
        </w:rPr>
        <w:t xml:space="preserve">lack </w:t>
      </w:r>
      <w:r w:rsidR="000F37E4">
        <w:rPr>
          <w:rFonts w:eastAsia="Verdana" w:cs="Times New Roman"/>
          <w:szCs w:val="17"/>
        </w:rPr>
        <w:t>a ‘</w:t>
      </w:r>
      <w:r w:rsidR="0054704E">
        <w:rPr>
          <w:rFonts w:eastAsia="Verdana" w:cs="Times New Roman"/>
          <w:szCs w:val="17"/>
        </w:rPr>
        <w:t>social license</w:t>
      </w:r>
      <w:r w:rsidR="000F37E4">
        <w:rPr>
          <w:rFonts w:eastAsia="Verdana" w:cs="Times New Roman"/>
          <w:szCs w:val="17"/>
        </w:rPr>
        <w:t>’</w:t>
      </w:r>
      <w:r w:rsidRPr="00817682">
        <w:rPr>
          <w:rFonts w:eastAsia="Verdana" w:cs="Times New Roman"/>
          <w:szCs w:val="17"/>
        </w:rPr>
        <w:t xml:space="preserve"> to operate</w:t>
      </w:r>
    </w:p>
    <w:p w14:paraId="4C2DF66F" w14:textId="1CB18A00" w:rsidR="00245259" w:rsidRPr="00012DD6" w:rsidRDefault="00245259" w:rsidP="00245259">
      <w:pPr>
        <w:numPr>
          <w:ilvl w:val="0"/>
          <w:numId w:val="68"/>
        </w:numPr>
        <w:spacing w:after="120"/>
        <w:rPr>
          <w:rFonts w:eastAsia="Verdana" w:cs="Times New Roman"/>
          <w:szCs w:val="17"/>
        </w:rPr>
      </w:pPr>
      <w:r w:rsidRPr="00817682">
        <w:rPr>
          <w:rFonts w:eastAsia="Verdana" w:cs="Times New Roman"/>
          <w:szCs w:val="17"/>
        </w:rPr>
        <w:t xml:space="preserve">Victoria’s social and environmental interests </w:t>
      </w:r>
      <w:r w:rsidR="00A41059">
        <w:rPr>
          <w:rFonts w:eastAsia="Verdana" w:cs="Times New Roman"/>
          <w:szCs w:val="17"/>
        </w:rPr>
        <w:t>would be</w:t>
      </w:r>
      <w:r w:rsidR="00A41059" w:rsidRPr="00817682">
        <w:rPr>
          <w:rFonts w:eastAsia="Verdana" w:cs="Times New Roman"/>
          <w:szCs w:val="17"/>
        </w:rPr>
        <w:t xml:space="preserve"> </w:t>
      </w:r>
      <w:r w:rsidRPr="00817682">
        <w:rPr>
          <w:rFonts w:eastAsia="Verdana" w:cs="Times New Roman"/>
          <w:szCs w:val="17"/>
        </w:rPr>
        <w:t>insufficiently protected.</w:t>
      </w:r>
    </w:p>
    <w:p w14:paraId="1A53CB41" w14:textId="6538D117" w:rsidR="00245259" w:rsidRPr="00012DD6" w:rsidRDefault="00245259" w:rsidP="00245259">
      <w:pPr>
        <w:spacing w:after="120"/>
        <w:rPr>
          <w:rFonts w:eastAsia="Verdana" w:cs="Times New Roman"/>
          <w:szCs w:val="17"/>
        </w:rPr>
      </w:pPr>
      <w:r w:rsidRPr="00012DD6">
        <w:rPr>
          <w:rFonts w:eastAsia="Verdana" w:cs="Times New Roman"/>
          <w:szCs w:val="17"/>
        </w:rPr>
        <w:t xml:space="preserve">To address these problems, the re-make </w:t>
      </w:r>
      <w:r w:rsidR="0085717A">
        <w:rPr>
          <w:rFonts w:eastAsia="Verdana" w:cs="Times New Roman"/>
          <w:szCs w:val="17"/>
        </w:rPr>
        <w:t>of regulations, including the</w:t>
      </w:r>
      <w:r w:rsidRPr="00012DD6">
        <w:rPr>
          <w:rFonts w:eastAsia="Verdana" w:cs="Times New Roman"/>
          <w:szCs w:val="17"/>
        </w:rPr>
        <w:t xml:space="preserve"> addition of new regulations</w:t>
      </w:r>
      <w:r w:rsidR="00161DDD">
        <w:rPr>
          <w:rFonts w:eastAsia="Verdana" w:cs="Times New Roman"/>
          <w:szCs w:val="17"/>
        </w:rPr>
        <w:t>,</w:t>
      </w:r>
      <w:r w:rsidRPr="00012DD6">
        <w:rPr>
          <w:rFonts w:eastAsia="Verdana" w:cs="Times New Roman"/>
          <w:szCs w:val="17"/>
        </w:rPr>
        <w:t xml:space="preserve"> are intended to:</w:t>
      </w:r>
    </w:p>
    <w:p w14:paraId="1BA948AB" w14:textId="4FBA403D" w:rsidR="00245259" w:rsidRPr="00817682" w:rsidRDefault="00245259" w:rsidP="00245259">
      <w:pPr>
        <w:numPr>
          <w:ilvl w:val="0"/>
          <w:numId w:val="68"/>
        </w:numPr>
        <w:spacing w:after="120"/>
        <w:rPr>
          <w:rFonts w:eastAsia="Verdana" w:cs="Times New Roman"/>
          <w:szCs w:val="17"/>
        </w:rPr>
      </w:pPr>
      <w:r w:rsidRPr="00817682">
        <w:rPr>
          <w:rFonts w:eastAsia="Verdana" w:cs="Times New Roman"/>
          <w:szCs w:val="17"/>
        </w:rPr>
        <w:t xml:space="preserve">encourage onshore conventional </w:t>
      </w:r>
      <w:r w:rsidR="00A41059">
        <w:rPr>
          <w:rFonts w:eastAsia="Verdana" w:cs="Times New Roman"/>
          <w:szCs w:val="17"/>
        </w:rPr>
        <w:t>gas</w:t>
      </w:r>
      <w:r w:rsidRPr="00817682">
        <w:rPr>
          <w:rFonts w:eastAsia="Verdana" w:cs="Times New Roman"/>
          <w:szCs w:val="17"/>
        </w:rPr>
        <w:t xml:space="preserve"> exploration and development in Victoria</w:t>
      </w:r>
    </w:p>
    <w:p w14:paraId="4855899C" w14:textId="0F6E40DB" w:rsidR="00245259" w:rsidRPr="00BF281D" w:rsidRDefault="00245259" w:rsidP="00245259">
      <w:pPr>
        <w:numPr>
          <w:ilvl w:val="0"/>
          <w:numId w:val="68"/>
        </w:numPr>
        <w:spacing w:after="120"/>
        <w:rPr>
          <w:rFonts w:eastAsia="Verdana" w:cs="Times New Roman"/>
          <w:szCs w:val="17"/>
        </w:rPr>
      </w:pPr>
      <w:r w:rsidRPr="00BF281D">
        <w:rPr>
          <w:rFonts w:eastAsia="Verdana" w:cs="Times New Roman"/>
          <w:szCs w:val="17"/>
        </w:rPr>
        <w:t xml:space="preserve">build community </w:t>
      </w:r>
      <w:r w:rsidR="0054704E">
        <w:rPr>
          <w:rFonts w:eastAsia="Verdana" w:cs="Times New Roman"/>
          <w:szCs w:val="17"/>
        </w:rPr>
        <w:t>social license</w:t>
      </w:r>
      <w:r w:rsidRPr="00BF281D">
        <w:rPr>
          <w:rFonts w:eastAsia="Verdana" w:cs="Times New Roman"/>
          <w:szCs w:val="17"/>
        </w:rPr>
        <w:t xml:space="preserve"> in the onshore </w:t>
      </w:r>
      <w:r w:rsidR="00785836">
        <w:rPr>
          <w:rFonts w:eastAsia="Verdana" w:cs="Times New Roman"/>
          <w:szCs w:val="17"/>
        </w:rPr>
        <w:t xml:space="preserve">conventional </w:t>
      </w:r>
      <w:r w:rsidR="00704CDA">
        <w:rPr>
          <w:rFonts w:eastAsia="Verdana" w:cs="Times New Roman"/>
          <w:szCs w:val="17"/>
        </w:rPr>
        <w:t>gas</w:t>
      </w:r>
      <w:r w:rsidRPr="00BF281D">
        <w:rPr>
          <w:rFonts w:eastAsia="Verdana" w:cs="Times New Roman"/>
          <w:szCs w:val="17"/>
        </w:rPr>
        <w:t xml:space="preserve"> resource sector, and</w:t>
      </w:r>
    </w:p>
    <w:p w14:paraId="148CF613" w14:textId="02AF3335" w:rsidR="00245259" w:rsidRPr="00BF281D" w:rsidRDefault="00245259" w:rsidP="00245259">
      <w:pPr>
        <w:numPr>
          <w:ilvl w:val="0"/>
          <w:numId w:val="68"/>
        </w:numPr>
        <w:spacing w:after="120"/>
        <w:rPr>
          <w:rFonts w:eastAsia="Verdana" w:cs="Times New Roman"/>
          <w:szCs w:val="17"/>
        </w:rPr>
      </w:pPr>
      <w:r w:rsidRPr="00BF281D">
        <w:rPr>
          <w:rFonts w:eastAsia="Verdana" w:cs="Times New Roman"/>
          <w:szCs w:val="17"/>
        </w:rPr>
        <w:t>minimise risk to improve</w:t>
      </w:r>
      <w:r w:rsidR="00A82B6C">
        <w:rPr>
          <w:rFonts w:eastAsia="Verdana" w:cs="Times New Roman"/>
          <w:szCs w:val="17"/>
        </w:rPr>
        <w:t>d</w:t>
      </w:r>
      <w:r w:rsidRPr="00BF281D">
        <w:rPr>
          <w:rFonts w:eastAsia="Verdana" w:cs="Times New Roman"/>
          <w:szCs w:val="17"/>
        </w:rPr>
        <w:t xml:space="preserve"> outcomes for the environment, public </w:t>
      </w:r>
      <w:r w:rsidR="00224455" w:rsidRPr="00BF281D">
        <w:rPr>
          <w:rFonts w:eastAsia="Verdana" w:cs="Times New Roman"/>
          <w:szCs w:val="17"/>
        </w:rPr>
        <w:t>safety,</w:t>
      </w:r>
      <w:r w:rsidRPr="00BF281D">
        <w:rPr>
          <w:rFonts w:eastAsia="Verdana" w:cs="Times New Roman"/>
          <w:szCs w:val="17"/>
        </w:rPr>
        <w:t xml:space="preserve"> and amenity as they relate to </w:t>
      </w:r>
      <w:r w:rsidR="00704CDA">
        <w:rPr>
          <w:rFonts w:eastAsia="Verdana" w:cs="Times New Roman"/>
          <w:szCs w:val="17"/>
        </w:rPr>
        <w:t>gas</w:t>
      </w:r>
      <w:r w:rsidR="00704CDA" w:rsidRPr="00BF281D">
        <w:rPr>
          <w:rFonts w:eastAsia="Verdana" w:cs="Times New Roman"/>
          <w:szCs w:val="17"/>
        </w:rPr>
        <w:t xml:space="preserve"> </w:t>
      </w:r>
      <w:r w:rsidRPr="00BF281D">
        <w:rPr>
          <w:rFonts w:eastAsia="Verdana" w:cs="Times New Roman"/>
          <w:szCs w:val="17"/>
        </w:rPr>
        <w:t>development in Victoria.</w:t>
      </w:r>
    </w:p>
    <w:p w14:paraId="7EC8E68E" w14:textId="164C3181" w:rsidR="00245259" w:rsidRPr="00012DD6" w:rsidRDefault="00245259" w:rsidP="00245259">
      <w:pPr>
        <w:spacing w:after="120"/>
        <w:rPr>
          <w:rFonts w:eastAsia="Verdana" w:cs="Times New Roman"/>
          <w:szCs w:val="17"/>
        </w:rPr>
      </w:pPr>
      <w:r w:rsidRPr="00012DD6">
        <w:rPr>
          <w:rFonts w:eastAsia="Verdana" w:cs="Times New Roman"/>
          <w:szCs w:val="17"/>
        </w:rPr>
        <w:t>These reform objectives</w:t>
      </w:r>
      <w:r w:rsidR="00704CDA">
        <w:rPr>
          <w:rFonts w:eastAsia="Verdana" w:cs="Times New Roman"/>
          <w:szCs w:val="17"/>
        </w:rPr>
        <w:t xml:space="preserve"> form</w:t>
      </w:r>
      <w:r w:rsidR="00704CDA" w:rsidRPr="00012DD6">
        <w:rPr>
          <w:rFonts w:eastAsia="Verdana" w:cs="Times New Roman"/>
          <w:szCs w:val="17"/>
        </w:rPr>
        <w:t xml:space="preserve"> </w:t>
      </w:r>
      <w:r w:rsidRPr="00012DD6">
        <w:rPr>
          <w:rFonts w:eastAsia="Verdana" w:cs="Times New Roman"/>
          <w:szCs w:val="17"/>
        </w:rPr>
        <w:t xml:space="preserve">the criteria for </w:t>
      </w:r>
      <w:r w:rsidR="00E12747" w:rsidRPr="00817682">
        <w:rPr>
          <w:rFonts w:eastAsia="Verdana" w:cs="Times New Roman"/>
          <w:szCs w:val="17"/>
        </w:rPr>
        <w:t>assessment</w:t>
      </w:r>
      <w:r w:rsidRPr="00012DD6">
        <w:rPr>
          <w:rFonts w:eastAsia="Verdana" w:cs="Times New Roman"/>
          <w:szCs w:val="17"/>
        </w:rPr>
        <w:t xml:space="preserve"> of the options under consideration within this RIS. </w:t>
      </w:r>
    </w:p>
    <w:p w14:paraId="7C41C381" w14:textId="45295457" w:rsidR="00245259" w:rsidRPr="00817682" w:rsidRDefault="00245259" w:rsidP="00245259">
      <w:pPr>
        <w:keepNext/>
        <w:keepLines/>
        <w:spacing w:before="240" w:after="0" w:line="280" w:lineRule="atLeast"/>
        <w:rPr>
          <w:rFonts w:eastAsia="Times New Roman" w:cs="Times New Roman"/>
          <w:b/>
          <w:color w:val="62B5E5"/>
          <w:szCs w:val="28"/>
        </w:rPr>
      </w:pPr>
      <w:r w:rsidRPr="00C672BD">
        <w:rPr>
          <w:rFonts w:eastAsia="Times New Roman" w:cs="Times New Roman"/>
          <w:b/>
          <w:color w:val="012169" w:themeColor="accent4"/>
          <w:szCs w:val="28"/>
        </w:rPr>
        <w:t xml:space="preserve">Scope of </w:t>
      </w:r>
      <w:r w:rsidR="00214DCB" w:rsidRPr="00C672BD">
        <w:rPr>
          <w:rFonts w:eastAsia="Times New Roman" w:cs="Times New Roman"/>
          <w:b/>
          <w:color w:val="012169" w:themeColor="accent4"/>
          <w:szCs w:val="28"/>
        </w:rPr>
        <w:t xml:space="preserve">the </w:t>
      </w:r>
      <w:r w:rsidRPr="00C672BD">
        <w:rPr>
          <w:rFonts w:eastAsia="Times New Roman" w:cs="Times New Roman"/>
          <w:b/>
          <w:color w:val="012169" w:themeColor="accent4"/>
          <w:szCs w:val="28"/>
        </w:rPr>
        <w:t>RIS</w:t>
      </w:r>
    </w:p>
    <w:p w14:paraId="689D411E" w14:textId="069EE249" w:rsidR="00A81397" w:rsidRPr="00012DD6" w:rsidRDefault="007220B1" w:rsidP="00245259">
      <w:pPr>
        <w:spacing w:after="120"/>
        <w:rPr>
          <w:rFonts w:eastAsia="Verdana" w:cs="Times New Roman"/>
          <w:szCs w:val="17"/>
        </w:rPr>
      </w:pPr>
      <w:r w:rsidRPr="00012DD6">
        <w:rPr>
          <w:rFonts w:eastAsia="Verdana" w:cs="Times New Roman"/>
          <w:szCs w:val="17"/>
        </w:rPr>
        <w:t>The Petroleum Act</w:t>
      </w:r>
      <w:r w:rsidRPr="00012DD6">
        <w:rPr>
          <w:rFonts w:eastAsia="Verdana" w:cs="Times New Roman"/>
          <w:i/>
          <w:iCs/>
          <w:szCs w:val="17"/>
        </w:rPr>
        <w:t xml:space="preserve"> </w:t>
      </w:r>
      <w:r w:rsidR="00921A5E" w:rsidRPr="00012DD6">
        <w:rPr>
          <w:rFonts w:eastAsia="Verdana" w:cs="Times New Roman"/>
          <w:szCs w:val="17"/>
        </w:rPr>
        <w:t xml:space="preserve">is the primary legislation regulating petroleum exploration and production in Victoria. </w:t>
      </w:r>
      <w:r w:rsidR="00C21A77" w:rsidRPr="00012DD6">
        <w:rPr>
          <w:rFonts w:eastAsia="Verdana" w:cs="Times New Roman"/>
          <w:szCs w:val="17"/>
        </w:rPr>
        <w:t xml:space="preserve">It sets out </w:t>
      </w:r>
      <w:r w:rsidR="003E47CB" w:rsidRPr="00012DD6">
        <w:rPr>
          <w:rFonts w:eastAsia="Verdana" w:cs="Times New Roman"/>
          <w:szCs w:val="17"/>
        </w:rPr>
        <w:t xml:space="preserve">that petroleum resources in Victoria </w:t>
      </w:r>
      <w:r w:rsidR="00872488" w:rsidRPr="00012DD6">
        <w:rPr>
          <w:rFonts w:eastAsia="Verdana" w:cs="Times New Roman"/>
          <w:szCs w:val="17"/>
        </w:rPr>
        <w:t xml:space="preserve">are the property of the Crown, and that it is an offence to explore </w:t>
      </w:r>
      <w:r w:rsidR="0089608A" w:rsidRPr="00012DD6">
        <w:rPr>
          <w:rFonts w:eastAsia="Verdana" w:cs="Times New Roman"/>
          <w:szCs w:val="17"/>
        </w:rPr>
        <w:t xml:space="preserve">or produce petroleum without an authorisation.  </w:t>
      </w:r>
      <w:r w:rsidR="000E73DD" w:rsidRPr="00012DD6">
        <w:rPr>
          <w:rFonts w:eastAsia="Verdana" w:cs="Times New Roman"/>
          <w:szCs w:val="17"/>
        </w:rPr>
        <w:t xml:space="preserve">The Petroleum Act also creates </w:t>
      </w:r>
      <w:r w:rsidR="00714277">
        <w:rPr>
          <w:rFonts w:eastAsia="Verdana" w:cs="Times New Roman"/>
          <w:szCs w:val="17"/>
        </w:rPr>
        <w:t xml:space="preserve">an </w:t>
      </w:r>
      <w:r w:rsidR="000E73DD" w:rsidRPr="00012DD6">
        <w:rPr>
          <w:rFonts w:eastAsia="Verdana" w:cs="Times New Roman"/>
          <w:szCs w:val="17"/>
        </w:rPr>
        <w:t xml:space="preserve">offence for carrying out hydraulic fracturing. </w:t>
      </w:r>
    </w:p>
    <w:p w14:paraId="6DF1462E" w14:textId="6687B81A" w:rsidR="00B34FE1" w:rsidRDefault="00F46FB0" w:rsidP="00245259">
      <w:pPr>
        <w:spacing w:after="120"/>
        <w:rPr>
          <w:rFonts w:eastAsia="Verdana" w:cs="Times New Roman"/>
          <w:szCs w:val="17"/>
        </w:rPr>
      </w:pPr>
      <w:r w:rsidRPr="00012DD6">
        <w:rPr>
          <w:rFonts w:eastAsia="Verdana" w:cs="Times New Roman"/>
          <w:szCs w:val="17"/>
        </w:rPr>
        <w:t>In summary, t</w:t>
      </w:r>
      <w:r w:rsidR="000E73DD" w:rsidRPr="00012DD6">
        <w:rPr>
          <w:rFonts w:eastAsia="Verdana" w:cs="Times New Roman"/>
          <w:szCs w:val="17"/>
        </w:rPr>
        <w:t xml:space="preserve">he </w:t>
      </w:r>
      <w:r w:rsidR="00A81397" w:rsidRPr="00012DD6">
        <w:rPr>
          <w:rFonts w:eastAsia="Verdana" w:cs="Times New Roman"/>
          <w:szCs w:val="17"/>
        </w:rPr>
        <w:t xml:space="preserve">Petroleum </w:t>
      </w:r>
      <w:r w:rsidR="000E73DD" w:rsidRPr="00012DD6">
        <w:rPr>
          <w:rFonts w:eastAsia="Verdana" w:cs="Times New Roman"/>
          <w:szCs w:val="17"/>
        </w:rPr>
        <w:t>Act creates the</w:t>
      </w:r>
      <w:r w:rsidR="000931AB" w:rsidRPr="00012DD6">
        <w:rPr>
          <w:rFonts w:eastAsia="Verdana" w:cs="Times New Roman"/>
          <w:szCs w:val="17"/>
        </w:rPr>
        <w:t xml:space="preserve"> </w:t>
      </w:r>
      <w:r w:rsidR="00467653">
        <w:rPr>
          <w:rFonts w:eastAsia="Verdana" w:cs="Times New Roman"/>
          <w:szCs w:val="17"/>
        </w:rPr>
        <w:t>framework for the grant of</w:t>
      </w:r>
      <w:r w:rsidR="000E73DD" w:rsidRPr="00012DD6">
        <w:rPr>
          <w:rFonts w:eastAsia="Verdana" w:cs="Times New Roman"/>
          <w:szCs w:val="17"/>
        </w:rPr>
        <w:t xml:space="preserve"> exploration permit</w:t>
      </w:r>
      <w:r w:rsidR="00467653">
        <w:rPr>
          <w:rFonts w:eastAsia="Verdana" w:cs="Times New Roman"/>
          <w:szCs w:val="17"/>
        </w:rPr>
        <w:t>s, retention leases</w:t>
      </w:r>
      <w:r w:rsidR="000E73DD" w:rsidRPr="00012DD6">
        <w:rPr>
          <w:rFonts w:eastAsia="Verdana" w:cs="Times New Roman"/>
          <w:szCs w:val="17"/>
        </w:rPr>
        <w:t xml:space="preserve"> and production licence</w:t>
      </w:r>
      <w:r w:rsidR="00467653">
        <w:rPr>
          <w:rFonts w:eastAsia="Verdana" w:cs="Times New Roman"/>
          <w:szCs w:val="17"/>
        </w:rPr>
        <w:t>s</w:t>
      </w:r>
      <w:r w:rsidR="00A81397" w:rsidRPr="00012DD6">
        <w:rPr>
          <w:rFonts w:eastAsia="Verdana" w:cs="Times New Roman"/>
          <w:szCs w:val="17"/>
        </w:rPr>
        <w:t xml:space="preserve">, </w:t>
      </w:r>
      <w:r w:rsidR="00D648E6">
        <w:rPr>
          <w:rFonts w:eastAsia="Verdana" w:cs="Times New Roman"/>
          <w:szCs w:val="17"/>
        </w:rPr>
        <w:t xml:space="preserve">including acreage release processes where relevant, and provisions relating to the administration of these authorities, including provisions for renewal (exploration permits), surrender, </w:t>
      </w:r>
      <w:proofErr w:type="gramStart"/>
      <w:r w:rsidR="00D648E6">
        <w:rPr>
          <w:rFonts w:eastAsia="Verdana" w:cs="Times New Roman"/>
          <w:szCs w:val="17"/>
        </w:rPr>
        <w:t>cancellation</w:t>
      </w:r>
      <w:proofErr w:type="gramEnd"/>
      <w:r w:rsidR="00D648E6">
        <w:rPr>
          <w:rFonts w:eastAsia="Verdana" w:cs="Times New Roman"/>
          <w:szCs w:val="17"/>
        </w:rPr>
        <w:t xml:space="preserve"> and expiry. </w:t>
      </w:r>
      <w:r w:rsidR="0027466A">
        <w:rPr>
          <w:rFonts w:eastAsia="Verdana" w:cs="Times New Roman"/>
          <w:szCs w:val="17"/>
        </w:rPr>
        <w:t>The Petroleum Act</w:t>
      </w:r>
      <w:r w:rsidR="00E15869">
        <w:rPr>
          <w:rFonts w:eastAsia="Verdana" w:cs="Times New Roman"/>
          <w:szCs w:val="17"/>
        </w:rPr>
        <w:t xml:space="preserve"> </w:t>
      </w:r>
      <w:r w:rsidR="0044455B">
        <w:rPr>
          <w:rFonts w:eastAsia="Verdana" w:cs="Times New Roman"/>
          <w:szCs w:val="17"/>
        </w:rPr>
        <w:t xml:space="preserve">provides for approval and </w:t>
      </w:r>
      <w:r w:rsidR="00AD3E1F">
        <w:rPr>
          <w:rFonts w:eastAsia="Verdana" w:cs="Times New Roman"/>
          <w:szCs w:val="17"/>
        </w:rPr>
        <w:t>regulatory oversight of activities undertaken un</w:t>
      </w:r>
      <w:r w:rsidR="00FF608D">
        <w:rPr>
          <w:rFonts w:eastAsia="Verdana" w:cs="Times New Roman"/>
          <w:szCs w:val="17"/>
        </w:rPr>
        <w:t xml:space="preserve">der these authorities via operation plans, </w:t>
      </w:r>
      <w:r w:rsidR="00D41832">
        <w:rPr>
          <w:rFonts w:eastAsia="Verdana" w:cs="Times New Roman"/>
          <w:szCs w:val="17"/>
        </w:rPr>
        <w:t xml:space="preserve">petroleum production development plans and storage development plans. </w:t>
      </w:r>
      <w:r w:rsidR="002B2748">
        <w:rPr>
          <w:rFonts w:eastAsia="Verdana" w:cs="Times New Roman"/>
          <w:szCs w:val="17"/>
        </w:rPr>
        <w:br/>
      </w:r>
      <w:r w:rsidR="002B2748">
        <w:rPr>
          <w:rFonts w:eastAsia="Verdana" w:cs="Times New Roman"/>
          <w:szCs w:val="17"/>
        </w:rPr>
        <w:br/>
      </w:r>
    </w:p>
    <w:p w14:paraId="422922EC" w14:textId="220E19D0" w:rsidR="00D314CC" w:rsidRPr="00012DD6" w:rsidRDefault="00D648E6" w:rsidP="00245259">
      <w:pPr>
        <w:spacing w:after="120"/>
        <w:rPr>
          <w:rFonts w:eastAsia="Verdana" w:cs="Times New Roman"/>
          <w:szCs w:val="17"/>
        </w:rPr>
      </w:pPr>
      <w:r>
        <w:rPr>
          <w:rFonts w:eastAsia="Verdana" w:cs="Times New Roman"/>
          <w:szCs w:val="17"/>
        </w:rPr>
        <w:lastRenderedPageBreak/>
        <w:t xml:space="preserve">The Petroleum Act also establishes </w:t>
      </w:r>
      <w:r w:rsidR="00015B30">
        <w:rPr>
          <w:rFonts w:eastAsia="Verdana" w:cs="Times New Roman"/>
          <w:szCs w:val="17"/>
        </w:rPr>
        <w:t xml:space="preserve">a </w:t>
      </w:r>
      <w:proofErr w:type="gramStart"/>
      <w:r w:rsidR="00A81397" w:rsidRPr="00012DD6">
        <w:rPr>
          <w:rFonts w:eastAsia="Verdana" w:cs="Times New Roman"/>
          <w:szCs w:val="17"/>
        </w:rPr>
        <w:t>royalties</w:t>
      </w:r>
      <w:proofErr w:type="gramEnd"/>
      <w:r w:rsidR="00015B30">
        <w:rPr>
          <w:rFonts w:eastAsia="Verdana" w:cs="Times New Roman"/>
          <w:szCs w:val="17"/>
        </w:rPr>
        <w:t xml:space="preserve"> regime</w:t>
      </w:r>
      <w:r w:rsidR="00A81397" w:rsidRPr="00012DD6">
        <w:rPr>
          <w:rFonts w:eastAsia="Verdana" w:cs="Times New Roman"/>
          <w:szCs w:val="17"/>
        </w:rPr>
        <w:t xml:space="preserve"> and rent</w:t>
      </w:r>
      <w:r w:rsidR="00015B30">
        <w:rPr>
          <w:rFonts w:eastAsia="Verdana" w:cs="Times New Roman"/>
          <w:szCs w:val="17"/>
        </w:rPr>
        <w:t xml:space="preserve"> for Crown land occupation.</w:t>
      </w:r>
      <w:r w:rsidR="00A81397" w:rsidRPr="00012DD6">
        <w:rPr>
          <w:rFonts w:eastAsia="Verdana" w:cs="Times New Roman"/>
          <w:szCs w:val="17"/>
        </w:rPr>
        <w:t xml:space="preserve"> </w:t>
      </w:r>
      <w:r w:rsidR="00101AA4" w:rsidRPr="00012DD6">
        <w:rPr>
          <w:rFonts w:eastAsia="Verdana" w:cs="Times New Roman"/>
          <w:szCs w:val="17"/>
        </w:rPr>
        <w:t xml:space="preserve">It </w:t>
      </w:r>
      <w:r w:rsidR="00377A2A" w:rsidRPr="00012DD6">
        <w:rPr>
          <w:rFonts w:eastAsia="Verdana" w:cs="Times New Roman"/>
          <w:szCs w:val="17"/>
        </w:rPr>
        <w:t xml:space="preserve">specifies </w:t>
      </w:r>
      <w:r w:rsidR="00D475F1">
        <w:rPr>
          <w:rFonts w:eastAsia="Verdana" w:cs="Times New Roman"/>
          <w:szCs w:val="17"/>
        </w:rPr>
        <w:t>certain</w:t>
      </w:r>
      <w:r w:rsidR="00D475F1" w:rsidRPr="00012DD6">
        <w:rPr>
          <w:rFonts w:eastAsia="Verdana" w:cs="Times New Roman"/>
          <w:szCs w:val="17"/>
        </w:rPr>
        <w:t xml:space="preserve"> </w:t>
      </w:r>
      <w:r w:rsidR="00101AA4" w:rsidRPr="00012DD6">
        <w:rPr>
          <w:rFonts w:eastAsia="Verdana" w:cs="Times New Roman"/>
          <w:szCs w:val="17"/>
        </w:rPr>
        <w:t xml:space="preserve">information that must be provided </w:t>
      </w:r>
      <w:r w:rsidR="00B8315B" w:rsidRPr="00012DD6">
        <w:rPr>
          <w:rFonts w:eastAsia="Verdana" w:cs="Times New Roman"/>
          <w:szCs w:val="17"/>
        </w:rPr>
        <w:t>to the</w:t>
      </w:r>
      <w:r w:rsidR="00B8315B">
        <w:rPr>
          <w:rFonts w:eastAsia="Verdana" w:cs="Times New Roman"/>
          <w:szCs w:val="17"/>
        </w:rPr>
        <w:t xml:space="preserve"> </w:t>
      </w:r>
      <w:r w:rsidR="00143C51">
        <w:rPr>
          <w:rFonts w:eastAsia="Verdana" w:cs="Times New Roman"/>
          <w:szCs w:val="17"/>
        </w:rPr>
        <w:t>Minister</w:t>
      </w:r>
      <w:r w:rsidR="00A81693" w:rsidRPr="00012DD6">
        <w:rPr>
          <w:rFonts w:eastAsia="Verdana" w:cs="Times New Roman"/>
          <w:szCs w:val="17"/>
        </w:rPr>
        <w:t xml:space="preserve">, such as </w:t>
      </w:r>
      <w:r w:rsidR="00274DA5">
        <w:rPr>
          <w:rFonts w:eastAsia="Verdana" w:cs="Times New Roman"/>
          <w:szCs w:val="17"/>
        </w:rPr>
        <w:t xml:space="preserve">reports and </w:t>
      </w:r>
      <w:r w:rsidR="00E15753">
        <w:rPr>
          <w:rFonts w:eastAsia="Verdana" w:cs="Times New Roman"/>
          <w:szCs w:val="17"/>
        </w:rPr>
        <w:t>geological data</w:t>
      </w:r>
      <w:r w:rsidR="00282030">
        <w:rPr>
          <w:rFonts w:eastAsia="Verdana" w:cs="Times New Roman"/>
          <w:szCs w:val="17"/>
        </w:rPr>
        <w:t>.</w:t>
      </w:r>
      <w:r w:rsidR="00E15753">
        <w:rPr>
          <w:rFonts w:eastAsia="Verdana" w:cs="Times New Roman"/>
          <w:szCs w:val="17"/>
        </w:rPr>
        <w:t xml:space="preserve"> </w:t>
      </w:r>
      <w:r w:rsidR="00A81397" w:rsidRPr="00012DD6">
        <w:rPr>
          <w:rFonts w:eastAsia="Verdana" w:cs="Times New Roman"/>
          <w:szCs w:val="17"/>
        </w:rPr>
        <w:t xml:space="preserve">The detailed requirements of these plans and information requirements are set out in the </w:t>
      </w:r>
      <w:r w:rsidR="00A81397" w:rsidRPr="00B34FE1">
        <w:rPr>
          <w:rFonts w:eastAsia="Verdana" w:cs="Times New Roman"/>
          <w:szCs w:val="17"/>
        </w:rPr>
        <w:t>Petroleum Regulations 2011</w:t>
      </w:r>
      <w:r w:rsidR="00A81397" w:rsidRPr="00012DD6">
        <w:rPr>
          <w:rFonts w:eastAsia="Verdana" w:cs="Times New Roman"/>
          <w:szCs w:val="17"/>
        </w:rPr>
        <w:t xml:space="preserve">. </w:t>
      </w:r>
    </w:p>
    <w:p w14:paraId="70BA75CC" w14:textId="15CC6179" w:rsidR="00377A2A" w:rsidRPr="00012DD6" w:rsidRDefault="00A81693" w:rsidP="00245259">
      <w:pPr>
        <w:spacing w:after="120"/>
        <w:rPr>
          <w:rFonts w:eastAsia="Verdana" w:cs="Times New Roman"/>
          <w:szCs w:val="17"/>
        </w:rPr>
      </w:pPr>
      <w:r w:rsidRPr="00012DD6">
        <w:rPr>
          <w:rFonts w:eastAsia="Verdana" w:cs="Times New Roman"/>
          <w:szCs w:val="17"/>
        </w:rPr>
        <w:t>The Petroleum Act governs underground storage of petroleum</w:t>
      </w:r>
      <w:r w:rsidR="00A81397" w:rsidRPr="00012DD6">
        <w:rPr>
          <w:rFonts w:eastAsia="Verdana" w:cs="Times New Roman"/>
          <w:szCs w:val="17"/>
        </w:rPr>
        <w:t>, special drilling authorisations</w:t>
      </w:r>
      <w:r w:rsidR="00D475F1">
        <w:rPr>
          <w:rFonts w:eastAsia="Verdana" w:cs="Times New Roman"/>
          <w:szCs w:val="17"/>
        </w:rPr>
        <w:t>, special access authorisations</w:t>
      </w:r>
      <w:r w:rsidR="00A81397" w:rsidRPr="00012DD6">
        <w:rPr>
          <w:rFonts w:eastAsia="Verdana" w:cs="Times New Roman"/>
          <w:szCs w:val="17"/>
        </w:rPr>
        <w:t xml:space="preserve"> </w:t>
      </w:r>
      <w:r w:rsidR="008D616F" w:rsidRPr="00012DD6">
        <w:rPr>
          <w:rFonts w:eastAsia="Verdana" w:cs="Times New Roman"/>
          <w:szCs w:val="17"/>
        </w:rPr>
        <w:t>and interactions wit</w:t>
      </w:r>
      <w:r w:rsidR="00774F39" w:rsidRPr="00012DD6">
        <w:rPr>
          <w:rFonts w:eastAsia="Verdana" w:cs="Times New Roman"/>
          <w:szCs w:val="17"/>
        </w:rPr>
        <w:t xml:space="preserve">h planning laws, </w:t>
      </w:r>
      <w:r w:rsidR="0080061D">
        <w:rPr>
          <w:rFonts w:eastAsia="Verdana" w:cs="Times New Roman"/>
          <w:szCs w:val="17"/>
        </w:rPr>
        <w:t xml:space="preserve">and </w:t>
      </w:r>
      <w:r w:rsidR="00774F39" w:rsidRPr="00012DD6">
        <w:rPr>
          <w:rFonts w:eastAsia="Verdana" w:cs="Times New Roman"/>
          <w:szCs w:val="17"/>
        </w:rPr>
        <w:t>significant environment or aboriginal heritage areas.</w:t>
      </w:r>
      <w:r w:rsidR="00007D63">
        <w:rPr>
          <w:rFonts w:eastAsia="Verdana" w:cs="Times New Roman"/>
          <w:szCs w:val="17"/>
        </w:rPr>
        <w:t xml:space="preserve"> In addition, it</w:t>
      </w:r>
      <w:r w:rsidR="00377A2A" w:rsidRPr="00012DD6">
        <w:rPr>
          <w:rFonts w:eastAsia="Verdana" w:cs="Times New Roman"/>
          <w:szCs w:val="17"/>
        </w:rPr>
        <w:t xml:space="preserve"> provides for </w:t>
      </w:r>
      <w:r w:rsidR="001A3F4C" w:rsidRPr="00012DD6">
        <w:rPr>
          <w:rFonts w:eastAsia="Verdana" w:cs="Times New Roman"/>
          <w:szCs w:val="17"/>
        </w:rPr>
        <w:t xml:space="preserve">enforcement </w:t>
      </w:r>
      <w:r w:rsidR="0080061D">
        <w:rPr>
          <w:rFonts w:eastAsia="Verdana" w:cs="Times New Roman"/>
          <w:szCs w:val="17"/>
        </w:rPr>
        <w:t>powers</w:t>
      </w:r>
      <w:r w:rsidR="001A3F4C" w:rsidRPr="00012DD6">
        <w:rPr>
          <w:rFonts w:eastAsia="Verdana" w:cs="Times New Roman"/>
          <w:szCs w:val="17"/>
        </w:rPr>
        <w:t xml:space="preserve"> such as </w:t>
      </w:r>
      <w:r w:rsidR="00151063">
        <w:rPr>
          <w:rFonts w:eastAsia="Verdana" w:cs="Times New Roman"/>
          <w:szCs w:val="17"/>
        </w:rPr>
        <w:t xml:space="preserve">those in relation to </w:t>
      </w:r>
      <w:r w:rsidR="001A3F4C" w:rsidRPr="00012DD6">
        <w:rPr>
          <w:rFonts w:eastAsia="Verdana" w:cs="Times New Roman"/>
          <w:szCs w:val="17"/>
        </w:rPr>
        <w:t xml:space="preserve">inspections </w:t>
      </w:r>
      <w:r w:rsidR="00151063">
        <w:rPr>
          <w:rFonts w:eastAsia="Verdana" w:cs="Times New Roman"/>
          <w:szCs w:val="17"/>
        </w:rPr>
        <w:t>and issuing</w:t>
      </w:r>
      <w:r w:rsidR="002C5342" w:rsidRPr="00012DD6">
        <w:rPr>
          <w:rFonts w:eastAsia="Verdana" w:cs="Times New Roman"/>
          <w:szCs w:val="17"/>
        </w:rPr>
        <w:t xml:space="preserve"> </w:t>
      </w:r>
      <w:r w:rsidR="00A81397" w:rsidRPr="00012DD6">
        <w:rPr>
          <w:rFonts w:eastAsia="Verdana" w:cs="Times New Roman"/>
          <w:szCs w:val="17"/>
        </w:rPr>
        <w:t>improvement and prohibition notices</w:t>
      </w:r>
      <w:r w:rsidR="00151063">
        <w:rPr>
          <w:rFonts w:eastAsia="Verdana" w:cs="Times New Roman"/>
          <w:szCs w:val="17"/>
        </w:rPr>
        <w:t xml:space="preserve">. The Act includes </w:t>
      </w:r>
      <w:r w:rsidR="00966FDC">
        <w:rPr>
          <w:rFonts w:eastAsia="Verdana" w:cs="Times New Roman"/>
          <w:szCs w:val="17"/>
        </w:rPr>
        <w:t>a</w:t>
      </w:r>
      <w:r w:rsidR="00A81397" w:rsidRPr="00012DD6">
        <w:rPr>
          <w:rFonts w:eastAsia="Verdana" w:cs="Times New Roman"/>
          <w:szCs w:val="17"/>
        </w:rPr>
        <w:t xml:space="preserve"> </w:t>
      </w:r>
      <w:r w:rsidR="00E12747" w:rsidRPr="00817682">
        <w:rPr>
          <w:rFonts w:eastAsia="Verdana" w:cs="Times New Roman"/>
          <w:szCs w:val="17"/>
        </w:rPr>
        <w:t>rehabilitation</w:t>
      </w:r>
      <w:r w:rsidR="00A81397" w:rsidRPr="00012DD6">
        <w:rPr>
          <w:rFonts w:eastAsia="Verdana" w:cs="Times New Roman"/>
          <w:szCs w:val="17"/>
        </w:rPr>
        <w:t xml:space="preserve"> regime</w:t>
      </w:r>
      <w:r w:rsidR="00966FDC">
        <w:rPr>
          <w:rFonts w:eastAsia="Verdana" w:cs="Times New Roman"/>
          <w:szCs w:val="17"/>
        </w:rPr>
        <w:t xml:space="preserve"> in relation to petroleum operations</w:t>
      </w:r>
      <w:r w:rsidR="00D47412" w:rsidRPr="00012DD6">
        <w:rPr>
          <w:rFonts w:eastAsia="Verdana" w:cs="Times New Roman"/>
          <w:szCs w:val="17"/>
        </w:rPr>
        <w:t xml:space="preserve">, as well as </w:t>
      </w:r>
      <w:r w:rsidR="00966FDC">
        <w:rPr>
          <w:rFonts w:eastAsia="Verdana" w:cs="Times New Roman"/>
          <w:szCs w:val="17"/>
        </w:rPr>
        <w:t>certain other</w:t>
      </w:r>
      <w:r w:rsidR="00D47412" w:rsidRPr="00012DD6">
        <w:rPr>
          <w:rFonts w:eastAsia="Verdana" w:cs="Times New Roman"/>
          <w:szCs w:val="17"/>
        </w:rPr>
        <w:t xml:space="preserve"> administrative arrangements</w:t>
      </w:r>
      <w:r w:rsidR="00A81397" w:rsidRPr="00012DD6">
        <w:rPr>
          <w:rFonts w:eastAsia="Verdana" w:cs="Times New Roman"/>
          <w:szCs w:val="17"/>
        </w:rPr>
        <w:t xml:space="preserve">. </w:t>
      </w:r>
    </w:p>
    <w:p w14:paraId="01F617B0" w14:textId="2701F85A" w:rsidR="00245259" w:rsidRPr="00012DD6" w:rsidRDefault="00245259" w:rsidP="00245259">
      <w:pPr>
        <w:spacing w:after="120"/>
        <w:rPr>
          <w:rFonts w:eastAsia="Verdana" w:cs="Times New Roman"/>
          <w:szCs w:val="17"/>
        </w:rPr>
      </w:pPr>
      <w:r w:rsidRPr="00012DD6">
        <w:rPr>
          <w:rFonts w:eastAsia="Verdana" w:cs="Times New Roman"/>
          <w:szCs w:val="17"/>
        </w:rPr>
        <w:t xml:space="preserve">This RIS and </w:t>
      </w:r>
      <w:r w:rsidR="00C47053">
        <w:rPr>
          <w:rFonts w:eastAsia="Verdana" w:cs="Times New Roman"/>
          <w:szCs w:val="17"/>
        </w:rPr>
        <w:t>the draft</w:t>
      </w:r>
      <w:r w:rsidR="00C47053" w:rsidRPr="00012DD6">
        <w:rPr>
          <w:rFonts w:eastAsia="Verdana" w:cs="Times New Roman"/>
          <w:szCs w:val="17"/>
        </w:rPr>
        <w:t xml:space="preserve"> </w:t>
      </w:r>
      <w:r w:rsidRPr="00012DD6">
        <w:rPr>
          <w:rFonts w:eastAsia="Verdana" w:cs="Times New Roman"/>
          <w:szCs w:val="17"/>
        </w:rPr>
        <w:t xml:space="preserve">regulations have been developed to reflect the </w:t>
      </w:r>
      <w:r w:rsidR="00E12747" w:rsidRPr="00817682">
        <w:rPr>
          <w:rFonts w:eastAsia="Verdana" w:cs="Times New Roman"/>
          <w:szCs w:val="17"/>
        </w:rPr>
        <w:t>amendments</w:t>
      </w:r>
      <w:r w:rsidR="00AD7910">
        <w:rPr>
          <w:rFonts w:eastAsia="Verdana" w:cs="Times New Roman"/>
          <w:szCs w:val="17"/>
        </w:rPr>
        <w:t xml:space="preserve"> introduced by the </w:t>
      </w:r>
      <w:r w:rsidR="00AD7910" w:rsidRPr="00C73B72">
        <w:rPr>
          <w:i/>
        </w:rPr>
        <w:t xml:space="preserve">Petroleum </w:t>
      </w:r>
      <w:r w:rsidR="00AD7910" w:rsidRPr="004A6CBE">
        <w:rPr>
          <w:rFonts w:eastAsia="Verdana" w:cs="Times New Roman"/>
          <w:i/>
          <w:iCs/>
          <w:szCs w:val="17"/>
        </w:rPr>
        <w:t>Legislation Amendment Act 2020</w:t>
      </w:r>
      <w:r w:rsidR="00AD7910">
        <w:rPr>
          <w:rFonts w:eastAsia="Verdana" w:cs="Times New Roman"/>
          <w:szCs w:val="17"/>
        </w:rPr>
        <w:t xml:space="preserve"> (the</w:t>
      </w:r>
      <w:r w:rsidR="00BB104B">
        <w:rPr>
          <w:rFonts w:eastAsia="Verdana" w:cs="Times New Roman"/>
          <w:szCs w:val="17"/>
        </w:rPr>
        <w:t xml:space="preserve"> </w:t>
      </w:r>
      <w:r w:rsidR="00AD7910">
        <w:rPr>
          <w:rFonts w:eastAsia="Verdana" w:cs="Times New Roman"/>
          <w:szCs w:val="17"/>
        </w:rPr>
        <w:t>Amendment Act)</w:t>
      </w:r>
      <w:r w:rsidRPr="00012DD6">
        <w:rPr>
          <w:rFonts w:eastAsia="Verdana" w:cs="Times New Roman"/>
          <w:szCs w:val="17"/>
        </w:rPr>
        <w:t>, namely:</w:t>
      </w:r>
    </w:p>
    <w:p w14:paraId="58F77D19" w14:textId="11A16F70" w:rsidR="00245259" w:rsidRPr="00012DD6" w:rsidRDefault="00245259" w:rsidP="00245259">
      <w:pPr>
        <w:numPr>
          <w:ilvl w:val="0"/>
          <w:numId w:val="63"/>
        </w:numPr>
        <w:spacing w:after="120"/>
        <w:rPr>
          <w:rFonts w:eastAsia="Verdana" w:cs="Times New Roman"/>
          <w:szCs w:val="17"/>
        </w:rPr>
      </w:pPr>
      <w:r w:rsidRPr="00012DD6">
        <w:rPr>
          <w:rFonts w:eastAsia="Verdana" w:cs="Times New Roman"/>
          <w:szCs w:val="17"/>
        </w:rPr>
        <w:t xml:space="preserve">to provide for submissions from the Victorian community to be </w:t>
      </w:r>
      <w:proofErr w:type="gramStart"/>
      <w:r w:rsidRPr="00012DD6">
        <w:rPr>
          <w:rFonts w:eastAsia="Verdana" w:cs="Times New Roman"/>
          <w:szCs w:val="17"/>
        </w:rPr>
        <w:t>taken into account</w:t>
      </w:r>
      <w:proofErr w:type="gramEnd"/>
      <w:r w:rsidRPr="00012DD6">
        <w:rPr>
          <w:rFonts w:eastAsia="Verdana" w:cs="Times New Roman"/>
          <w:szCs w:val="17"/>
        </w:rPr>
        <w:t xml:space="preserve"> in the making of certain decisions under the Petroleum Act</w:t>
      </w:r>
      <w:r w:rsidR="008635B5">
        <w:rPr>
          <w:rFonts w:eastAsia="Verdana" w:cs="Times New Roman"/>
          <w:szCs w:val="17"/>
        </w:rPr>
        <w:t>,</w:t>
      </w:r>
      <w:r w:rsidR="000E32F0">
        <w:rPr>
          <w:rFonts w:eastAsia="Verdana" w:cs="Times New Roman"/>
          <w:szCs w:val="17"/>
        </w:rPr>
        <w:t xml:space="preserve"> and </w:t>
      </w:r>
    </w:p>
    <w:p w14:paraId="298710D6" w14:textId="793CCDE3" w:rsidR="00245259" w:rsidRPr="00012DD6" w:rsidRDefault="00245259" w:rsidP="00245259">
      <w:pPr>
        <w:numPr>
          <w:ilvl w:val="0"/>
          <w:numId w:val="63"/>
        </w:numPr>
        <w:spacing w:after="120"/>
        <w:rPr>
          <w:rFonts w:eastAsia="Verdana" w:cs="Times New Roman"/>
          <w:szCs w:val="17"/>
        </w:rPr>
      </w:pPr>
      <w:r w:rsidRPr="00012DD6">
        <w:rPr>
          <w:rFonts w:eastAsia="Verdana" w:cs="Times New Roman"/>
          <w:szCs w:val="17"/>
        </w:rPr>
        <w:t xml:space="preserve">to enable prescribed social, </w:t>
      </w:r>
      <w:r w:rsidR="00117468" w:rsidRPr="00012DD6">
        <w:rPr>
          <w:rFonts w:eastAsia="Verdana" w:cs="Times New Roman"/>
          <w:szCs w:val="17"/>
        </w:rPr>
        <w:t>environmental,</w:t>
      </w:r>
      <w:r w:rsidRPr="00012DD6">
        <w:rPr>
          <w:rFonts w:eastAsia="Verdana" w:cs="Times New Roman"/>
          <w:szCs w:val="17"/>
        </w:rPr>
        <w:t xml:space="preserve"> and economic factors to be </w:t>
      </w:r>
      <w:r w:rsidR="00007D63">
        <w:rPr>
          <w:rFonts w:eastAsia="Verdana" w:cs="Times New Roman"/>
          <w:szCs w:val="17"/>
        </w:rPr>
        <w:t>considered</w:t>
      </w:r>
      <w:r w:rsidRPr="00012DD6">
        <w:rPr>
          <w:rFonts w:eastAsia="Verdana" w:cs="Times New Roman"/>
          <w:szCs w:val="17"/>
        </w:rPr>
        <w:t xml:space="preserve"> in the making of certain decisions under the Petroleum Act</w:t>
      </w:r>
      <w:r w:rsidR="000E32F0">
        <w:rPr>
          <w:rFonts w:eastAsia="Verdana" w:cs="Times New Roman"/>
          <w:szCs w:val="17"/>
        </w:rPr>
        <w:t>.</w:t>
      </w:r>
    </w:p>
    <w:p w14:paraId="648313B5" w14:textId="5E27783D" w:rsidR="00245259" w:rsidRPr="00012DD6" w:rsidRDefault="00A75EE6" w:rsidP="00245259">
      <w:pPr>
        <w:spacing w:after="120"/>
        <w:rPr>
          <w:rFonts w:eastAsia="Verdana" w:cs="Times New Roman"/>
          <w:szCs w:val="17"/>
        </w:rPr>
      </w:pPr>
      <w:r>
        <w:rPr>
          <w:rFonts w:eastAsia="Verdana" w:cs="Times New Roman"/>
          <w:szCs w:val="17"/>
        </w:rPr>
        <w:t>Some</w:t>
      </w:r>
      <w:r w:rsidRPr="00012DD6">
        <w:rPr>
          <w:rFonts w:eastAsia="Verdana" w:cs="Times New Roman"/>
          <w:szCs w:val="17"/>
        </w:rPr>
        <w:t xml:space="preserve"> </w:t>
      </w:r>
      <w:r w:rsidR="00245259" w:rsidRPr="00012DD6">
        <w:rPr>
          <w:rFonts w:eastAsia="Verdana" w:cs="Times New Roman"/>
          <w:szCs w:val="17"/>
        </w:rPr>
        <w:t xml:space="preserve">of the changes required to enable the </w:t>
      </w:r>
      <w:r w:rsidR="00C94BFF">
        <w:rPr>
          <w:rFonts w:eastAsia="Verdana" w:cs="Times New Roman"/>
          <w:szCs w:val="17"/>
        </w:rPr>
        <w:t>Amendment</w:t>
      </w:r>
      <w:r w:rsidR="00245259" w:rsidRPr="00012DD6">
        <w:rPr>
          <w:rFonts w:eastAsia="Verdana" w:cs="Times New Roman"/>
          <w:szCs w:val="17"/>
        </w:rPr>
        <w:t xml:space="preserve"> Act</w:t>
      </w:r>
      <w:r w:rsidR="00950638">
        <w:rPr>
          <w:rFonts w:eastAsia="Verdana" w:cs="Times New Roman"/>
          <w:szCs w:val="17"/>
        </w:rPr>
        <w:t xml:space="preserve"> are in these areas of the regulations</w:t>
      </w:r>
      <w:r w:rsidR="00245259" w:rsidRPr="00012DD6">
        <w:rPr>
          <w:rFonts w:eastAsia="Verdana" w:cs="Times New Roman"/>
          <w:szCs w:val="17"/>
        </w:rPr>
        <w:t>, and are the focus of the options in this RIS:</w:t>
      </w:r>
    </w:p>
    <w:p w14:paraId="52B99C0F" w14:textId="2B3CA8E2" w:rsidR="00F46FB0" w:rsidRPr="00012DD6" w:rsidRDefault="00245259" w:rsidP="00CF69C1">
      <w:pPr>
        <w:numPr>
          <w:ilvl w:val="0"/>
          <w:numId w:val="72"/>
        </w:numPr>
        <w:spacing w:after="120" w:line="240" w:lineRule="auto"/>
        <w:ind w:left="714" w:hanging="357"/>
        <w:rPr>
          <w:rFonts w:eastAsia="Verdana" w:cs="Times New Roman"/>
          <w:szCs w:val="17"/>
        </w:rPr>
      </w:pPr>
      <w:r w:rsidRPr="00817682">
        <w:rPr>
          <w:rFonts w:eastAsia="Verdana" w:cs="Times New Roman"/>
        </w:rPr>
        <w:t xml:space="preserve">authority, </w:t>
      </w:r>
      <w:proofErr w:type="gramStart"/>
      <w:r w:rsidRPr="00817682">
        <w:rPr>
          <w:rFonts w:eastAsia="Verdana" w:cs="Times New Roman"/>
        </w:rPr>
        <w:t>applications</w:t>
      </w:r>
      <w:proofErr w:type="gramEnd"/>
      <w:r w:rsidRPr="00817682">
        <w:rPr>
          <w:rFonts w:eastAsia="Verdana" w:cs="Times New Roman"/>
        </w:rPr>
        <w:t xml:space="preserve"> and grant</w:t>
      </w:r>
      <w:r w:rsidR="00F46FB0" w:rsidRPr="00817682">
        <w:rPr>
          <w:rFonts w:eastAsia="Verdana" w:cs="Times New Roman"/>
        </w:rPr>
        <w:t>s</w:t>
      </w:r>
    </w:p>
    <w:p w14:paraId="23C4E3EC" w14:textId="5127AF15" w:rsidR="00F46FB0" w:rsidRPr="00012DD6" w:rsidRDefault="00245259" w:rsidP="00CF69C1">
      <w:pPr>
        <w:numPr>
          <w:ilvl w:val="0"/>
          <w:numId w:val="72"/>
        </w:numPr>
        <w:spacing w:after="120" w:line="240" w:lineRule="auto"/>
        <w:ind w:left="714" w:hanging="357"/>
        <w:rPr>
          <w:rFonts w:eastAsia="Verdana" w:cs="Times New Roman"/>
          <w:szCs w:val="17"/>
        </w:rPr>
      </w:pPr>
      <w:r w:rsidRPr="00012DD6">
        <w:rPr>
          <w:rFonts w:eastAsia="Verdana" w:cs="Times New Roman"/>
          <w:szCs w:val="17"/>
        </w:rPr>
        <w:t xml:space="preserve">conduct of </w:t>
      </w:r>
      <w:r w:rsidR="00117468" w:rsidRPr="00012DD6">
        <w:rPr>
          <w:rFonts w:eastAsia="Verdana" w:cs="Times New Roman"/>
          <w:szCs w:val="17"/>
        </w:rPr>
        <w:t>operations</w:t>
      </w:r>
      <w:r w:rsidR="001639A6">
        <w:rPr>
          <w:rFonts w:eastAsia="Verdana" w:cs="Times New Roman"/>
          <w:szCs w:val="17"/>
        </w:rPr>
        <w:t>,</w:t>
      </w:r>
      <w:r w:rsidRPr="00012DD6">
        <w:rPr>
          <w:rFonts w:eastAsia="Verdana" w:cs="Times New Roman"/>
          <w:szCs w:val="17"/>
        </w:rPr>
        <w:t xml:space="preserve"> and </w:t>
      </w:r>
    </w:p>
    <w:p w14:paraId="698A5526" w14:textId="002C7E3F" w:rsidR="00245259" w:rsidRPr="00012DD6" w:rsidRDefault="00245259" w:rsidP="00012DD6">
      <w:pPr>
        <w:numPr>
          <w:ilvl w:val="0"/>
          <w:numId w:val="72"/>
        </w:numPr>
        <w:spacing w:after="120" w:line="240" w:lineRule="auto"/>
        <w:ind w:left="714" w:hanging="357"/>
        <w:rPr>
          <w:rFonts w:eastAsia="Verdana" w:cs="Times New Roman"/>
          <w:szCs w:val="17"/>
        </w:rPr>
      </w:pPr>
      <w:r w:rsidRPr="00012DD6">
        <w:rPr>
          <w:rFonts w:eastAsia="Verdana" w:cs="Times New Roman"/>
          <w:szCs w:val="17"/>
        </w:rPr>
        <w:t xml:space="preserve">information requirements. </w:t>
      </w:r>
    </w:p>
    <w:p w14:paraId="73038B63" w14:textId="29FA74A8" w:rsidR="003D5F81" w:rsidRDefault="003D5F81" w:rsidP="00E3490E">
      <w:pPr>
        <w:spacing w:after="120"/>
        <w:rPr>
          <w:rFonts w:eastAsia="Verdana" w:cs="Times New Roman"/>
          <w:szCs w:val="17"/>
        </w:rPr>
      </w:pPr>
      <w:r>
        <w:rPr>
          <w:rFonts w:eastAsia="Verdana" w:cs="Times New Roman"/>
          <w:szCs w:val="17"/>
        </w:rPr>
        <w:t>T</w:t>
      </w:r>
      <w:r w:rsidRPr="003D5F81">
        <w:rPr>
          <w:rFonts w:eastAsia="Verdana" w:cs="Times New Roman"/>
          <w:szCs w:val="17"/>
        </w:rPr>
        <w:t xml:space="preserve">he Victorian government’s decision to lift the moratorium </w:t>
      </w:r>
      <w:r w:rsidR="008130A7">
        <w:rPr>
          <w:rFonts w:eastAsia="Verdana" w:cs="Times New Roman"/>
          <w:szCs w:val="17"/>
        </w:rPr>
        <w:t>was taken in 2020.  This RIS is focussed on implementing th</w:t>
      </w:r>
      <w:r w:rsidR="007C38DF">
        <w:rPr>
          <w:rFonts w:eastAsia="Verdana" w:cs="Times New Roman"/>
          <w:szCs w:val="17"/>
        </w:rPr>
        <w:t>at</w:t>
      </w:r>
      <w:r w:rsidR="008130A7">
        <w:rPr>
          <w:rFonts w:eastAsia="Verdana" w:cs="Times New Roman"/>
          <w:szCs w:val="17"/>
        </w:rPr>
        <w:t xml:space="preserve"> decisio</w:t>
      </w:r>
      <w:r w:rsidR="007C38DF">
        <w:rPr>
          <w:rFonts w:eastAsia="Verdana" w:cs="Times New Roman"/>
          <w:szCs w:val="17"/>
        </w:rPr>
        <w:t xml:space="preserve">n using the best option for the new regulations. </w:t>
      </w:r>
    </w:p>
    <w:p w14:paraId="7AF1934E" w14:textId="7A748F51" w:rsidR="00245259" w:rsidRPr="00012DD6" w:rsidRDefault="00245259" w:rsidP="00C73B72">
      <w:pPr>
        <w:spacing w:after="120"/>
        <w:rPr>
          <w:rFonts w:eastAsia="Verdana" w:cs="Times New Roman"/>
          <w:szCs w:val="17"/>
        </w:rPr>
      </w:pPr>
      <w:r w:rsidRPr="00012DD6">
        <w:rPr>
          <w:rFonts w:eastAsia="Verdana" w:cs="Times New Roman"/>
          <w:szCs w:val="17"/>
        </w:rPr>
        <w:t xml:space="preserve">There are also </w:t>
      </w:r>
      <w:r w:rsidR="00E03625">
        <w:rPr>
          <w:rFonts w:eastAsia="Verdana" w:cs="Times New Roman"/>
          <w:szCs w:val="17"/>
        </w:rPr>
        <w:t xml:space="preserve">certain </w:t>
      </w:r>
      <w:r w:rsidRPr="00012DD6">
        <w:rPr>
          <w:rFonts w:eastAsia="Verdana" w:cs="Times New Roman"/>
          <w:szCs w:val="17"/>
        </w:rPr>
        <w:t xml:space="preserve">minor </w:t>
      </w:r>
      <w:r w:rsidR="00E03625">
        <w:rPr>
          <w:rFonts w:eastAsia="Verdana" w:cs="Times New Roman"/>
          <w:szCs w:val="17"/>
        </w:rPr>
        <w:t xml:space="preserve">and technical components of the </w:t>
      </w:r>
      <w:r w:rsidRPr="00012DD6">
        <w:rPr>
          <w:rFonts w:eastAsia="Verdana" w:cs="Times New Roman"/>
          <w:szCs w:val="17"/>
        </w:rPr>
        <w:t>regulation</w:t>
      </w:r>
      <w:r w:rsidR="00C229E4">
        <w:rPr>
          <w:rFonts w:eastAsia="Verdana" w:cs="Times New Roman"/>
          <w:szCs w:val="17"/>
        </w:rPr>
        <w:t xml:space="preserve"> remake</w:t>
      </w:r>
      <w:r w:rsidRPr="00012DD6">
        <w:rPr>
          <w:rFonts w:eastAsia="Verdana" w:cs="Times New Roman"/>
          <w:szCs w:val="17"/>
        </w:rPr>
        <w:t xml:space="preserve"> </w:t>
      </w:r>
      <w:r w:rsidR="001F480F">
        <w:rPr>
          <w:rFonts w:eastAsia="Verdana" w:cs="Times New Roman"/>
          <w:szCs w:val="17"/>
        </w:rPr>
        <w:t xml:space="preserve">that </w:t>
      </w:r>
      <w:r w:rsidR="00240439">
        <w:rPr>
          <w:rFonts w:eastAsia="Verdana" w:cs="Times New Roman"/>
          <w:szCs w:val="17"/>
        </w:rPr>
        <w:t xml:space="preserve">are </w:t>
      </w:r>
      <w:r w:rsidR="00650B69">
        <w:rPr>
          <w:rFonts w:eastAsia="Verdana" w:cs="Times New Roman"/>
          <w:szCs w:val="17"/>
        </w:rPr>
        <w:t xml:space="preserve">not considered in detail in this RIS.  These </w:t>
      </w:r>
      <w:r w:rsidRPr="00012DD6">
        <w:rPr>
          <w:rFonts w:eastAsia="Verdana" w:cs="Times New Roman"/>
          <w:szCs w:val="17"/>
        </w:rPr>
        <w:t>relat</w:t>
      </w:r>
      <w:r w:rsidR="00650B69">
        <w:rPr>
          <w:rFonts w:eastAsia="Verdana" w:cs="Times New Roman"/>
          <w:szCs w:val="17"/>
        </w:rPr>
        <w:t>e</w:t>
      </w:r>
      <w:r w:rsidRPr="00012DD6">
        <w:rPr>
          <w:rFonts w:eastAsia="Verdana" w:cs="Times New Roman"/>
          <w:szCs w:val="17"/>
        </w:rPr>
        <w:t xml:space="preserve"> to: </w:t>
      </w:r>
    </w:p>
    <w:p w14:paraId="28A11B29" w14:textId="1C96C499" w:rsidR="00245259" w:rsidRPr="00012DD6" w:rsidRDefault="00245259" w:rsidP="00245259">
      <w:pPr>
        <w:numPr>
          <w:ilvl w:val="0"/>
          <w:numId w:val="74"/>
        </w:numPr>
        <w:spacing w:after="120"/>
        <w:rPr>
          <w:rFonts w:eastAsia="Verdana" w:cs="Times New Roman"/>
          <w:szCs w:val="17"/>
        </w:rPr>
      </w:pPr>
      <w:r w:rsidRPr="00012DD6">
        <w:rPr>
          <w:rFonts w:eastAsia="Verdana" w:cs="Times New Roman"/>
          <w:szCs w:val="17"/>
        </w:rPr>
        <w:t xml:space="preserve">dealing with existing authorities </w:t>
      </w:r>
    </w:p>
    <w:p w14:paraId="479BAB31" w14:textId="5F274F7A" w:rsidR="00245259" w:rsidRDefault="00245259" w:rsidP="00245259">
      <w:pPr>
        <w:numPr>
          <w:ilvl w:val="0"/>
          <w:numId w:val="74"/>
        </w:numPr>
        <w:spacing w:after="120"/>
        <w:rPr>
          <w:rFonts w:eastAsia="Verdana" w:cs="Times New Roman"/>
          <w:szCs w:val="17"/>
        </w:rPr>
      </w:pPr>
      <w:r w:rsidRPr="00012DD6">
        <w:rPr>
          <w:rFonts w:eastAsia="Verdana" w:cs="Times New Roman"/>
          <w:szCs w:val="17"/>
        </w:rPr>
        <w:t xml:space="preserve">storage </w:t>
      </w:r>
      <w:r w:rsidR="001440E6">
        <w:rPr>
          <w:rFonts w:eastAsia="Verdana" w:cs="Times New Roman"/>
          <w:szCs w:val="17"/>
        </w:rPr>
        <w:t>development plans</w:t>
      </w:r>
      <w:r w:rsidRPr="00012DD6">
        <w:rPr>
          <w:rFonts w:eastAsia="Verdana" w:cs="Times New Roman"/>
          <w:szCs w:val="17"/>
        </w:rPr>
        <w:t xml:space="preserve"> and petroleum production development plans </w:t>
      </w:r>
    </w:p>
    <w:p w14:paraId="0AAEA6FD" w14:textId="0ACADBD5" w:rsidR="00FD7EB8" w:rsidRPr="00012DD6" w:rsidRDefault="00FD7EB8" w:rsidP="00245259">
      <w:pPr>
        <w:numPr>
          <w:ilvl w:val="0"/>
          <w:numId w:val="74"/>
        </w:numPr>
        <w:spacing w:after="120"/>
        <w:rPr>
          <w:rFonts w:eastAsia="Verdana" w:cs="Times New Roman"/>
          <w:szCs w:val="17"/>
        </w:rPr>
      </w:pPr>
      <w:r>
        <w:rPr>
          <w:rFonts w:eastAsia="Verdana" w:cs="Times New Roman"/>
          <w:szCs w:val="17"/>
        </w:rPr>
        <w:t xml:space="preserve">technical requirements </w:t>
      </w:r>
      <w:r w:rsidR="00BE2B29">
        <w:rPr>
          <w:rFonts w:eastAsia="Verdana" w:cs="Times New Roman"/>
          <w:szCs w:val="17"/>
        </w:rPr>
        <w:t>in an operation plan</w:t>
      </w:r>
      <w:r>
        <w:rPr>
          <w:rFonts w:eastAsia="Verdana" w:cs="Times New Roman"/>
          <w:szCs w:val="17"/>
        </w:rPr>
        <w:t xml:space="preserve"> </w:t>
      </w:r>
      <w:r w:rsidR="00BE2B29">
        <w:rPr>
          <w:rFonts w:eastAsia="Verdana" w:cs="Times New Roman"/>
          <w:szCs w:val="17"/>
        </w:rPr>
        <w:t>including in relation to</w:t>
      </w:r>
      <w:r>
        <w:rPr>
          <w:rFonts w:eastAsia="Verdana" w:cs="Times New Roman"/>
          <w:szCs w:val="17"/>
        </w:rPr>
        <w:t xml:space="preserve"> well construction and decommissioning</w:t>
      </w:r>
    </w:p>
    <w:p w14:paraId="3A035297" w14:textId="699C920E" w:rsidR="00245259" w:rsidRPr="00012DD6" w:rsidRDefault="00245259" w:rsidP="00245259">
      <w:pPr>
        <w:numPr>
          <w:ilvl w:val="0"/>
          <w:numId w:val="74"/>
        </w:numPr>
        <w:spacing w:after="120"/>
        <w:rPr>
          <w:rFonts w:eastAsia="Verdana" w:cs="Times New Roman"/>
          <w:szCs w:val="17"/>
        </w:rPr>
      </w:pPr>
      <w:r w:rsidRPr="00012DD6">
        <w:rPr>
          <w:rFonts w:eastAsia="Verdana" w:cs="Times New Roman"/>
          <w:szCs w:val="17"/>
        </w:rPr>
        <w:t>manner and timing of payment of royalties</w:t>
      </w:r>
      <w:r w:rsidR="00092FFE">
        <w:rPr>
          <w:rFonts w:eastAsia="Verdana" w:cs="Times New Roman"/>
          <w:szCs w:val="17"/>
        </w:rPr>
        <w:t>,</w:t>
      </w:r>
      <w:r w:rsidRPr="00012DD6">
        <w:rPr>
          <w:rFonts w:eastAsia="Verdana" w:cs="Times New Roman"/>
          <w:szCs w:val="17"/>
        </w:rPr>
        <w:t xml:space="preserve"> and </w:t>
      </w:r>
    </w:p>
    <w:p w14:paraId="17873E49" w14:textId="585D35A8" w:rsidR="00CA464D" w:rsidRDefault="00245259" w:rsidP="00C73B72">
      <w:pPr>
        <w:numPr>
          <w:ilvl w:val="0"/>
          <w:numId w:val="74"/>
        </w:numPr>
        <w:spacing w:after="120"/>
        <w:rPr>
          <w:rFonts w:eastAsia="Verdana" w:cs="Times New Roman"/>
          <w:szCs w:val="17"/>
        </w:rPr>
      </w:pPr>
      <w:r w:rsidRPr="00012DD6">
        <w:rPr>
          <w:rFonts w:eastAsia="Verdana" w:cs="Times New Roman"/>
          <w:szCs w:val="17"/>
        </w:rPr>
        <w:t xml:space="preserve">enforcement and </w:t>
      </w:r>
      <w:r w:rsidRPr="009031DD">
        <w:rPr>
          <w:rFonts w:eastAsia="Verdana" w:cs="Times New Roman"/>
          <w:szCs w:val="17"/>
        </w:rPr>
        <w:t>administrative matters</w:t>
      </w:r>
      <w:r w:rsidR="00092FFE">
        <w:rPr>
          <w:rFonts w:eastAsia="Verdana" w:cs="Times New Roman"/>
          <w:szCs w:val="17"/>
        </w:rPr>
        <w:t>,</w:t>
      </w:r>
      <w:r w:rsidRPr="009031DD">
        <w:rPr>
          <w:rFonts w:eastAsia="Verdana" w:cs="Times New Roman"/>
          <w:szCs w:val="17"/>
        </w:rPr>
        <w:t xml:space="preserve"> including review of penalties</w:t>
      </w:r>
      <w:r w:rsidR="00AB19FC" w:rsidRPr="009031DD">
        <w:rPr>
          <w:rFonts w:eastAsia="Verdana" w:cs="Times New Roman"/>
          <w:szCs w:val="17"/>
        </w:rPr>
        <w:t xml:space="preserve"> for certain</w:t>
      </w:r>
      <w:r w:rsidR="00AB19FC">
        <w:rPr>
          <w:rFonts w:eastAsia="Verdana" w:cs="Times New Roman"/>
          <w:szCs w:val="17"/>
        </w:rPr>
        <w:t xml:space="preserve"> requirements under the regulations</w:t>
      </w:r>
      <w:r w:rsidR="00CA464D">
        <w:rPr>
          <w:rFonts w:eastAsia="Verdana" w:cs="Times New Roman"/>
          <w:szCs w:val="17"/>
        </w:rPr>
        <w:t xml:space="preserve">. </w:t>
      </w:r>
    </w:p>
    <w:p w14:paraId="15E1C267" w14:textId="0EEDB359" w:rsidR="00D769D0" w:rsidRPr="00D769D0" w:rsidRDefault="00D769D0" w:rsidP="00D769D0">
      <w:pPr>
        <w:spacing w:after="120"/>
        <w:rPr>
          <w:rFonts w:eastAsia="Verdana" w:cs="Times New Roman"/>
          <w:szCs w:val="17"/>
        </w:rPr>
      </w:pPr>
      <w:r w:rsidRPr="00D769D0">
        <w:rPr>
          <w:rFonts w:eastAsia="Verdana" w:cs="Times New Roman"/>
          <w:szCs w:val="17"/>
        </w:rPr>
        <w:t xml:space="preserve">The </w:t>
      </w:r>
      <w:r w:rsidRPr="00012DD6">
        <w:rPr>
          <w:rFonts w:eastAsia="Verdana" w:cs="Times New Roman"/>
          <w:i/>
          <w:iCs/>
          <w:szCs w:val="17"/>
        </w:rPr>
        <w:t>Subordinate Legislation Act 1994</w:t>
      </w:r>
      <w:r w:rsidRPr="00D769D0">
        <w:rPr>
          <w:rFonts w:eastAsia="Verdana" w:cs="Times New Roman"/>
          <w:szCs w:val="17"/>
        </w:rPr>
        <w:t xml:space="preserve"> requires a RIS to consider “other practicable means of achieving those objectives, including other regulatory as well as non-regulatory options”. In this instance, the Petroleum Act and amendments introduced through the Amendment Act are designed to be enabling. Without supporting regulations</w:t>
      </w:r>
      <w:r w:rsidR="00132655">
        <w:rPr>
          <w:rFonts w:eastAsia="Verdana" w:cs="Times New Roman"/>
          <w:szCs w:val="17"/>
        </w:rPr>
        <w:t xml:space="preserve"> </w:t>
      </w:r>
      <w:r w:rsidRPr="00D769D0">
        <w:rPr>
          <w:rFonts w:eastAsia="Verdana" w:cs="Times New Roman"/>
          <w:szCs w:val="17"/>
        </w:rPr>
        <w:t>there would not be sufficient detail in the</w:t>
      </w:r>
      <w:r w:rsidR="00FA41D1">
        <w:rPr>
          <w:rFonts w:eastAsia="Verdana" w:cs="Times New Roman"/>
          <w:szCs w:val="17"/>
        </w:rPr>
        <w:t xml:space="preserve"> Petroleum</w:t>
      </w:r>
      <w:r w:rsidRPr="00D769D0">
        <w:rPr>
          <w:rFonts w:eastAsia="Verdana" w:cs="Times New Roman"/>
          <w:szCs w:val="17"/>
        </w:rPr>
        <w:t xml:space="preserve"> Act to give authority holders or government necessary clarity to make decisions. It would also not be </w:t>
      </w:r>
      <w:r w:rsidR="00FA41D1">
        <w:rPr>
          <w:rFonts w:eastAsia="Verdana" w:cs="Times New Roman"/>
          <w:szCs w:val="17"/>
        </w:rPr>
        <w:t>effective</w:t>
      </w:r>
      <w:r w:rsidR="00FA41D1" w:rsidRPr="00D769D0">
        <w:rPr>
          <w:rFonts w:eastAsia="Verdana" w:cs="Times New Roman"/>
          <w:szCs w:val="17"/>
        </w:rPr>
        <w:t xml:space="preserve"> </w:t>
      </w:r>
      <w:r w:rsidRPr="00D769D0">
        <w:rPr>
          <w:rFonts w:eastAsia="Verdana" w:cs="Times New Roman"/>
          <w:szCs w:val="17"/>
        </w:rPr>
        <w:t xml:space="preserve">to replace regulations with guidelines for example, due to the highly technical and complex nature of petroleum exploration and development. On this basis, non-regulatory options </w:t>
      </w:r>
      <w:proofErr w:type="gramStart"/>
      <w:r w:rsidRPr="00D769D0">
        <w:rPr>
          <w:rFonts w:eastAsia="Verdana" w:cs="Times New Roman"/>
          <w:szCs w:val="17"/>
        </w:rPr>
        <w:t>are considered to be</w:t>
      </w:r>
      <w:proofErr w:type="gramEnd"/>
      <w:r w:rsidRPr="00D769D0">
        <w:rPr>
          <w:rFonts w:eastAsia="Verdana" w:cs="Times New Roman"/>
          <w:szCs w:val="17"/>
        </w:rPr>
        <w:t xml:space="preserve"> infeasible and </w:t>
      </w:r>
      <w:r w:rsidR="00D85698">
        <w:rPr>
          <w:rFonts w:eastAsia="Verdana" w:cs="Times New Roman"/>
          <w:szCs w:val="17"/>
        </w:rPr>
        <w:t xml:space="preserve">outside </w:t>
      </w:r>
      <w:r w:rsidR="00340D5A">
        <w:rPr>
          <w:rFonts w:eastAsia="Verdana" w:cs="Times New Roman"/>
          <w:szCs w:val="17"/>
        </w:rPr>
        <w:t xml:space="preserve">the </w:t>
      </w:r>
      <w:r w:rsidRPr="00D769D0">
        <w:rPr>
          <w:rFonts w:eastAsia="Verdana" w:cs="Times New Roman"/>
          <w:szCs w:val="17"/>
        </w:rPr>
        <w:t xml:space="preserve">scope for assessment in this RIS. This is </w:t>
      </w:r>
      <w:r w:rsidR="004D45B2">
        <w:rPr>
          <w:rFonts w:eastAsia="Verdana" w:cs="Times New Roman"/>
          <w:szCs w:val="17"/>
        </w:rPr>
        <w:t>consistent</w:t>
      </w:r>
      <w:r w:rsidRPr="00D769D0">
        <w:rPr>
          <w:rFonts w:eastAsia="Verdana" w:cs="Times New Roman"/>
          <w:szCs w:val="17"/>
        </w:rPr>
        <w:t xml:space="preserve"> with the frameworks of the Commonwealth and all States and Territories, which operate using legislation (regulations) to establish and regulate the petroleum industry in their jurisdictions. </w:t>
      </w:r>
    </w:p>
    <w:p w14:paraId="13FCD91E" w14:textId="78CF957E" w:rsidR="00245259" w:rsidRPr="00012DD6" w:rsidRDefault="00D769D0" w:rsidP="00245259">
      <w:pPr>
        <w:spacing w:after="120"/>
        <w:contextualSpacing/>
        <w:rPr>
          <w:rFonts w:eastAsia="Verdana" w:cs="Times New Roman"/>
          <w:szCs w:val="17"/>
        </w:rPr>
      </w:pPr>
      <w:r w:rsidRPr="00D769D0">
        <w:rPr>
          <w:rFonts w:eastAsia="Verdana" w:cs="Times New Roman"/>
          <w:szCs w:val="17"/>
        </w:rPr>
        <w:t>In recognition that</w:t>
      </w:r>
      <w:r w:rsidR="00FA41D1">
        <w:rPr>
          <w:rFonts w:eastAsia="Verdana" w:cs="Times New Roman"/>
          <w:szCs w:val="17"/>
        </w:rPr>
        <w:t xml:space="preserve"> many parts of</w:t>
      </w:r>
      <w:r w:rsidRPr="00D769D0">
        <w:rPr>
          <w:rFonts w:eastAsia="Verdana" w:cs="Times New Roman"/>
          <w:szCs w:val="17"/>
        </w:rPr>
        <w:t xml:space="preserve"> the onshore conventional gas industry </w:t>
      </w:r>
      <w:r w:rsidR="00FA41D1">
        <w:rPr>
          <w:rFonts w:eastAsia="Verdana" w:cs="Times New Roman"/>
          <w:szCs w:val="17"/>
        </w:rPr>
        <w:t>haven’t</w:t>
      </w:r>
      <w:r w:rsidR="00FA41D1" w:rsidRPr="00D769D0">
        <w:rPr>
          <w:rFonts w:eastAsia="Verdana" w:cs="Times New Roman"/>
          <w:szCs w:val="17"/>
        </w:rPr>
        <w:t xml:space="preserve"> </w:t>
      </w:r>
      <w:r w:rsidRPr="00D769D0">
        <w:rPr>
          <w:rFonts w:eastAsia="Verdana" w:cs="Times New Roman"/>
          <w:szCs w:val="17"/>
        </w:rPr>
        <w:t xml:space="preserve">been operational in Victoria in the last </w:t>
      </w:r>
      <w:r w:rsidR="001578F3" w:rsidRPr="009031DD">
        <w:rPr>
          <w:rFonts w:eastAsia="Verdana" w:cs="Times New Roman"/>
          <w:szCs w:val="17"/>
        </w:rPr>
        <w:t xml:space="preserve">seven </w:t>
      </w:r>
      <w:r w:rsidRPr="009031DD">
        <w:rPr>
          <w:rFonts w:eastAsia="Verdana" w:cs="Times New Roman"/>
          <w:szCs w:val="17"/>
        </w:rPr>
        <w:t xml:space="preserve">years, relevant industry fee levels set in the </w:t>
      </w:r>
      <w:r w:rsidRPr="00B34FE1">
        <w:rPr>
          <w:rFonts w:eastAsia="Verdana" w:cs="Times New Roman"/>
          <w:szCs w:val="17"/>
        </w:rPr>
        <w:t xml:space="preserve">Petroleum Regulations </w:t>
      </w:r>
      <w:r w:rsidR="00135FA5" w:rsidRPr="00B34FE1">
        <w:rPr>
          <w:rFonts w:eastAsia="Verdana" w:cs="Times New Roman"/>
          <w:szCs w:val="17"/>
        </w:rPr>
        <w:t>2011</w:t>
      </w:r>
      <w:r w:rsidRPr="009031DD">
        <w:rPr>
          <w:rFonts w:eastAsia="Verdana" w:cs="Times New Roman"/>
          <w:szCs w:val="17"/>
        </w:rPr>
        <w:t xml:space="preserve"> will be maintained</w:t>
      </w:r>
      <w:r w:rsidR="00F00837">
        <w:rPr>
          <w:rFonts w:eastAsia="Verdana" w:cs="Times New Roman"/>
          <w:szCs w:val="17"/>
        </w:rPr>
        <w:t>. Fees</w:t>
      </w:r>
      <w:r w:rsidR="001D2F8C">
        <w:rPr>
          <w:rFonts w:eastAsia="Verdana" w:cs="Times New Roman"/>
          <w:szCs w:val="17"/>
        </w:rPr>
        <w:t xml:space="preserve"> will be considered</w:t>
      </w:r>
      <w:r w:rsidRPr="009031DD">
        <w:rPr>
          <w:rFonts w:eastAsia="Verdana" w:cs="Times New Roman"/>
          <w:szCs w:val="17"/>
        </w:rPr>
        <w:t xml:space="preserve"> </w:t>
      </w:r>
      <w:r w:rsidRPr="00D769D0">
        <w:rPr>
          <w:rFonts w:eastAsia="Verdana" w:cs="Times New Roman"/>
          <w:szCs w:val="17"/>
        </w:rPr>
        <w:t>as part of a broader fees and charges review that will be undertaken by the department in 2021/22.</w:t>
      </w:r>
      <w:r w:rsidR="00245259" w:rsidRPr="00012DD6">
        <w:rPr>
          <w:rFonts w:eastAsia="Verdana" w:cs="Times New Roman"/>
          <w:szCs w:val="17"/>
        </w:rPr>
        <w:br/>
      </w:r>
      <w:r w:rsidR="002B2748">
        <w:rPr>
          <w:rFonts w:eastAsia="Verdana" w:cs="Times New Roman"/>
          <w:szCs w:val="17"/>
        </w:rPr>
        <w:br/>
      </w:r>
      <w:r w:rsidR="002B2748">
        <w:rPr>
          <w:rFonts w:eastAsia="Verdana" w:cs="Times New Roman"/>
          <w:szCs w:val="17"/>
        </w:rPr>
        <w:br/>
      </w:r>
    </w:p>
    <w:p w14:paraId="4470294E" w14:textId="06C959B8" w:rsidR="00245259" w:rsidRPr="00817682" w:rsidRDefault="00245259" w:rsidP="00245259">
      <w:pPr>
        <w:keepNext/>
        <w:keepLines/>
        <w:spacing w:before="240" w:after="0" w:line="280" w:lineRule="atLeast"/>
        <w:rPr>
          <w:rFonts w:eastAsia="Times New Roman" w:cs="Times New Roman"/>
          <w:b/>
          <w:color w:val="62B5E5"/>
          <w:szCs w:val="28"/>
        </w:rPr>
      </w:pPr>
      <w:r w:rsidRPr="00C672BD">
        <w:rPr>
          <w:rFonts w:eastAsia="Times New Roman" w:cs="Times New Roman"/>
          <w:b/>
          <w:color w:val="012169" w:themeColor="accent4"/>
          <w:szCs w:val="28"/>
        </w:rPr>
        <w:lastRenderedPageBreak/>
        <w:t>Summary of Options</w:t>
      </w:r>
    </w:p>
    <w:p w14:paraId="1DED5C72" w14:textId="015B5670" w:rsidR="00245259" w:rsidRPr="00BF281D" w:rsidRDefault="00245259" w:rsidP="00245259">
      <w:pPr>
        <w:spacing w:after="120"/>
        <w:rPr>
          <w:rFonts w:eastAsia="Verdana" w:cs="Times New Roman"/>
        </w:rPr>
      </w:pPr>
      <w:r w:rsidRPr="00BF281D">
        <w:rPr>
          <w:rFonts w:eastAsia="Verdana" w:cs="Times New Roman"/>
        </w:rPr>
        <w:t xml:space="preserve">This RIS </w:t>
      </w:r>
      <w:r w:rsidR="0020277F">
        <w:rPr>
          <w:rFonts w:eastAsia="Verdana" w:cs="Times New Roman"/>
        </w:rPr>
        <w:t>analyses three options in detail</w:t>
      </w:r>
      <w:r w:rsidRPr="00BF281D">
        <w:rPr>
          <w:rFonts w:eastAsia="Verdana" w:cs="Times New Roman"/>
        </w:rPr>
        <w:t>, which are compared to the Base Case of allowing the regulations to sunset:</w:t>
      </w:r>
    </w:p>
    <w:p w14:paraId="3600435A" w14:textId="7583AD00" w:rsidR="00245259" w:rsidRPr="00BF281D" w:rsidRDefault="00245259" w:rsidP="00012DD6">
      <w:pPr>
        <w:numPr>
          <w:ilvl w:val="0"/>
          <w:numId w:val="74"/>
        </w:numPr>
        <w:spacing w:after="120"/>
        <w:rPr>
          <w:rFonts w:eastAsia="Verdana" w:cs="Times New Roman"/>
        </w:rPr>
      </w:pPr>
      <w:r w:rsidRPr="00BF281D">
        <w:rPr>
          <w:rFonts w:eastAsia="Verdana" w:cs="Times New Roman"/>
          <w:szCs w:val="17"/>
        </w:rPr>
        <w:t>Status Quo – reinstat</w:t>
      </w:r>
      <w:r w:rsidR="00D9306D">
        <w:rPr>
          <w:rFonts w:eastAsia="Verdana" w:cs="Times New Roman"/>
          <w:szCs w:val="17"/>
        </w:rPr>
        <w:t>e</w:t>
      </w:r>
      <w:r w:rsidRPr="00BF281D">
        <w:rPr>
          <w:rFonts w:eastAsia="Verdana" w:cs="Times New Roman"/>
          <w:szCs w:val="17"/>
        </w:rPr>
        <w:t xml:space="preserve"> the current </w:t>
      </w:r>
      <w:r w:rsidRPr="00B34FE1">
        <w:rPr>
          <w:rFonts w:eastAsia="Verdana" w:cs="Times New Roman"/>
          <w:szCs w:val="17"/>
        </w:rPr>
        <w:t>Petroleum Regulations 2011</w:t>
      </w:r>
      <w:r w:rsidRPr="00BF281D">
        <w:rPr>
          <w:rFonts w:eastAsia="Verdana" w:cs="Times New Roman"/>
          <w:szCs w:val="17"/>
        </w:rPr>
        <w:t xml:space="preserve"> for a further 10 years with no changes</w:t>
      </w:r>
    </w:p>
    <w:p w14:paraId="4324A78A" w14:textId="77777777" w:rsidR="00245259" w:rsidRPr="00BF281D" w:rsidRDefault="00245259" w:rsidP="00012DD6">
      <w:pPr>
        <w:numPr>
          <w:ilvl w:val="0"/>
          <w:numId w:val="74"/>
        </w:numPr>
        <w:spacing w:after="120"/>
        <w:rPr>
          <w:rFonts w:eastAsia="Verdana" w:cs="Times New Roman"/>
        </w:rPr>
      </w:pPr>
      <w:r w:rsidRPr="00BF281D">
        <w:rPr>
          <w:rFonts w:eastAsia="Verdana" w:cs="Times New Roman"/>
          <w:szCs w:val="17"/>
        </w:rPr>
        <w:t>Option 1 – Outcomes focussed regulations</w:t>
      </w:r>
    </w:p>
    <w:p w14:paraId="703C3CC9" w14:textId="77777777" w:rsidR="00245259" w:rsidRPr="00BF281D" w:rsidRDefault="00245259" w:rsidP="00012DD6">
      <w:pPr>
        <w:numPr>
          <w:ilvl w:val="0"/>
          <w:numId w:val="74"/>
        </w:numPr>
        <w:spacing w:after="120"/>
        <w:rPr>
          <w:rFonts w:eastAsia="Verdana" w:cs="Times New Roman"/>
        </w:rPr>
      </w:pPr>
      <w:r w:rsidRPr="00BF281D">
        <w:rPr>
          <w:rFonts w:eastAsia="Verdana" w:cs="Times New Roman"/>
          <w:szCs w:val="17"/>
        </w:rPr>
        <w:t>Option 2 – Standards based regulations.</w:t>
      </w:r>
    </w:p>
    <w:p w14:paraId="51F4DB30" w14:textId="5A0D03CB" w:rsidR="00245259" w:rsidRPr="00BF281D" w:rsidRDefault="001D2F8C" w:rsidP="00245259">
      <w:pPr>
        <w:rPr>
          <w:rFonts w:eastAsia="Verdana" w:cs="Times New Roman"/>
        </w:rPr>
      </w:pPr>
      <w:r>
        <w:rPr>
          <w:rFonts w:eastAsia="Verdana" w:cs="Times New Roman"/>
        </w:rPr>
        <w:t>Table i</w:t>
      </w:r>
      <w:r w:rsidR="00245259" w:rsidRPr="00BF281D">
        <w:rPr>
          <w:rFonts w:eastAsia="Verdana" w:cs="Times New Roman"/>
        </w:rPr>
        <w:t xml:space="preserve"> summarises </w:t>
      </w:r>
      <w:r w:rsidR="00FA4454">
        <w:rPr>
          <w:rFonts w:eastAsia="Verdana" w:cs="Times New Roman"/>
        </w:rPr>
        <w:t>these</w:t>
      </w:r>
      <w:r w:rsidR="00FA4454" w:rsidRPr="00BF281D">
        <w:rPr>
          <w:rFonts w:eastAsia="Verdana" w:cs="Times New Roman"/>
        </w:rPr>
        <w:t xml:space="preserve"> </w:t>
      </w:r>
      <w:r w:rsidR="00245259" w:rsidRPr="00BF281D">
        <w:rPr>
          <w:rFonts w:eastAsia="Verdana" w:cs="Times New Roman"/>
        </w:rPr>
        <w:t>options.</w:t>
      </w:r>
    </w:p>
    <w:p w14:paraId="39899721" w14:textId="77777777" w:rsidR="00245259" w:rsidRPr="00BF281D" w:rsidRDefault="00245259" w:rsidP="00245259">
      <w:pPr>
        <w:keepNext/>
        <w:keepLines/>
        <w:numPr>
          <w:ilvl w:val="1"/>
          <w:numId w:val="0"/>
        </w:numPr>
        <w:spacing w:before="240" w:after="240"/>
        <w:rPr>
          <w:rFonts w:eastAsia="Times New Roman" w:cs="Times New Roman"/>
          <w:iCs/>
          <w:color w:val="75787B"/>
          <w:sz w:val="17"/>
          <w:szCs w:val="20"/>
        </w:rPr>
      </w:pPr>
      <w:r w:rsidRPr="00C672BD">
        <w:rPr>
          <w:rFonts w:eastAsia="Times New Roman" w:cs="Times New Roman"/>
          <w:iCs/>
          <w:sz w:val="17"/>
          <w:szCs w:val="20"/>
        </w:rPr>
        <w:t>Table i: Summary of options considered</w:t>
      </w:r>
    </w:p>
    <w:tbl>
      <w:tblPr>
        <w:tblStyle w:val="Deloittetable"/>
        <w:tblW w:w="10490" w:type="dxa"/>
        <w:tblLook w:val="04A0" w:firstRow="1" w:lastRow="0" w:firstColumn="1" w:lastColumn="0" w:noHBand="0" w:noVBand="1"/>
      </w:tblPr>
      <w:tblGrid>
        <w:gridCol w:w="2000"/>
        <w:gridCol w:w="6080"/>
        <w:gridCol w:w="2410"/>
      </w:tblGrid>
      <w:tr w:rsidR="00992A62" w:rsidRPr="006F54C0" w14:paraId="1502B2EE" w14:textId="77777777" w:rsidTr="00CF69C1">
        <w:trPr>
          <w:cnfStyle w:val="100000000000" w:firstRow="1" w:lastRow="0" w:firstColumn="0" w:lastColumn="0" w:oddVBand="0" w:evenVBand="0" w:oddHBand="0" w:evenHBand="0" w:firstRowFirstColumn="0" w:firstRowLastColumn="0" w:lastRowFirstColumn="0" w:lastRowLastColumn="0"/>
        </w:trPr>
        <w:tc>
          <w:tcPr>
            <w:tcW w:w="2000" w:type="dxa"/>
          </w:tcPr>
          <w:p w14:paraId="0B47FCA9" w14:textId="77777777" w:rsidR="00992A62" w:rsidRPr="002A4A30" w:rsidRDefault="00992A62" w:rsidP="00CF69C1">
            <w:pPr>
              <w:rPr>
                <w:rFonts w:eastAsia="Verdana" w:cs="Times New Roman"/>
                <w:b/>
                <w:sz w:val="18"/>
              </w:rPr>
            </w:pPr>
            <w:r w:rsidRPr="002A4A30">
              <w:rPr>
                <w:rFonts w:eastAsia="Verdana" w:cs="Times New Roman"/>
                <w:b/>
                <w:sz w:val="18"/>
              </w:rPr>
              <w:t xml:space="preserve">Option </w:t>
            </w:r>
          </w:p>
        </w:tc>
        <w:tc>
          <w:tcPr>
            <w:tcW w:w="6080" w:type="dxa"/>
          </w:tcPr>
          <w:p w14:paraId="63B4A8D3" w14:textId="77777777" w:rsidR="00992A62" w:rsidRPr="002A4A30" w:rsidRDefault="00992A62" w:rsidP="00CF69C1">
            <w:pPr>
              <w:ind w:left="434"/>
              <w:rPr>
                <w:rFonts w:eastAsia="Verdana" w:cs="Times New Roman"/>
                <w:b/>
                <w:bCs/>
                <w:sz w:val="18"/>
              </w:rPr>
            </w:pPr>
            <w:r w:rsidRPr="002A4A30">
              <w:rPr>
                <w:rFonts w:eastAsia="Verdana" w:cs="Times New Roman"/>
                <w:b/>
                <w:bCs/>
                <w:sz w:val="18"/>
              </w:rPr>
              <w:t xml:space="preserve">Summary </w:t>
            </w:r>
          </w:p>
        </w:tc>
        <w:tc>
          <w:tcPr>
            <w:tcW w:w="2410" w:type="dxa"/>
          </w:tcPr>
          <w:p w14:paraId="24BD80CB" w14:textId="77777777" w:rsidR="00992A62" w:rsidRPr="002A4A30" w:rsidRDefault="00992A62" w:rsidP="00CF69C1">
            <w:pPr>
              <w:ind w:left="434"/>
              <w:rPr>
                <w:rFonts w:eastAsia="Verdana" w:cs="Times New Roman"/>
                <w:b/>
                <w:bCs/>
                <w:sz w:val="18"/>
              </w:rPr>
            </w:pPr>
            <w:r w:rsidRPr="002A4A30">
              <w:rPr>
                <w:rFonts w:eastAsia="Verdana" w:cs="Times New Roman"/>
                <w:b/>
                <w:bCs/>
                <w:sz w:val="18"/>
              </w:rPr>
              <w:t xml:space="preserve">Is it a feasible or viable Option? </w:t>
            </w:r>
          </w:p>
        </w:tc>
      </w:tr>
      <w:tr w:rsidR="00992A62" w:rsidRPr="006F54C0" w14:paraId="00657D5C" w14:textId="77777777" w:rsidTr="00CF69C1">
        <w:tc>
          <w:tcPr>
            <w:tcW w:w="2000" w:type="dxa"/>
          </w:tcPr>
          <w:p w14:paraId="23971D5E" w14:textId="77777777" w:rsidR="00992A62" w:rsidRPr="006F54C0" w:rsidRDefault="00992A62" w:rsidP="00CF69C1">
            <w:pPr>
              <w:rPr>
                <w:rFonts w:eastAsia="Verdana" w:cs="Times New Roman"/>
                <w:b/>
                <w:sz w:val="18"/>
              </w:rPr>
            </w:pPr>
            <w:r w:rsidRPr="006F54C0">
              <w:rPr>
                <w:rFonts w:eastAsia="Verdana" w:cs="Times New Roman"/>
                <w:b/>
                <w:sz w:val="18"/>
              </w:rPr>
              <w:t xml:space="preserve">Base Case – </w:t>
            </w:r>
            <w:r w:rsidRPr="006F54C0">
              <w:rPr>
                <w:rFonts w:eastAsia="Verdana" w:cs="Times New Roman"/>
                <w:b/>
                <w:sz w:val="18"/>
              </w:rPr>
              <w:br/>
            </w:r>
            <w:r w:rsidRPr="006F54C0">
              <w:rPr>
                <w:rFonts w:eastAsia="Verdana" w:cs="Times New Roman"/>
                <w:bCs/>
                <w:sz w:val="18"/>
              </w:rPr>
              <w:t>Allow Regulations to sunset.</w:t>
            </w:r>
          </w:p>
        </w:tc>
        <w:tc>
          <w:tcPr>
            <w:tcW w:w="6080" w:type="dxa"/>
          </w:tcPr>
          <w:p w14:paraId="774E6EDE" w14:textId="38554042" w:rsidR="00992A62" w:rsidRPr="005C17D3" w:rsidRDefault="00992A62" w:rsidP="00CF69C1">
            <w:pPr>
              <w:ind w:left="434"/>
              <w:rPr>
                <w:rFonts w:eastAsia="Verdana" w:cs="Times New Roman"/>
                <w:sz w:val="18"/>
              </w:rPr>
            </w:pPr>
            <w:r w:rsidRPr="005C17D3">
              <w:rPr>
                <w:rFonts w:eastAsia="Verdana" w:cs="Times New Roman"/>
                <w:sz w:val="18"/>
              </w:rPr>
              <w:t xml:space="preserve">The Base Case option involves no intervention. In this case, that would mean allowing the </w:t>
            </w:r>
            <w:r w:rsidR="00FA4454" w:rsidRPr="005C17D3">
              <w:rPr>
                <w:rFonts w:eastAsia="Verdana" w:cs="Times New Roman"/>
                <w:sz w:val="18"/>
              </w:rPr>
              <w:t xml:space="preserve">existing </w:t>
            </w:r>
            <w:r w:rsidRPr="005C17D3">
              <w:rPr>
                <w:sz w:val="18"/>
              </w:rPr>
              <w:t xml:space="preserve">Petroleum Regulations </w:t>
            </w:r>
            <w:r w:rsidR="00FA4454" w:rsidRPr="005C17D3">
              <w:rPr>
                <w:rFonts w:eastAsia="Verdana" w:cs="Times New Roman"/>
                <w:sz w:val="18"/>
              </w:rPr>
              <w:t xml:space="preserve">2011 </w:t>
            </w:r>
            <w:r w:rsidRPr="005C17D3">
              <w:rPr>
                <w:rFonts w:eastAsia="Verdana" w:cs="Times New Roman"/>
                <w:sz w:val="18"/>
              </w:rPr>
              <w:t>to sunset. The Act would then operate without supporting regulations. For the purposes of this RIS, the Base Case is the reference case (</w:t>
            </w:r>
            <w:proofErr w:type="gramStart"/>
            <w:r w:rsidRPr="005C17D3">
              <w:rPr>
                <w:rFonts w:eastAsia="Verdana" w:cs="Times New Roman"/>
                <w:sz w:val="18"/>
              </w:rPr>
              <w:t>i.e.</w:t>
            </w:r>
            <w:proofErr w:type="gramEnd"/>
            <w:r w:rsidRPr="005C17D3">
              <w:rPr>
                <w:rFonts w:eastAsia="Verdana" w:cs="Times New Roman"/>
                <w:sz w:val="18"/>
              </w:rPr>
              <w:t xml:space="preserve"> the case against which the Status Quo, Option 1 and Option 2 are compared).</w:t>
            </w:r>
          </w:p>
        </w:tc>
        <w:tc>
          <w:tcPr>
            <w:tcW w:w="2410" w:type="dxa"/>
          </w:tcPr>
          <w:p w14:paraId="1700450B" w14:textId="77777777" w:rsidR="00992A62" w:rsidRPr="002A4A30" w:rsidRDefault="00992A62" w:rsidP="00CF69C1">
            <w:pPr>
              <w:ind w:left="434"/>
              <w:rPr>
                <w:rFonts w:eastAsia="Verdana" w:cs="Times New Roman"/>
                <w:sz w:val="18"/>
              </w:rPr>
            </w:pPr>
            <w:r w:rsidRPr="002A4A30">
              <w:rPr>
                <w:rFonts w:eastAsia="Verdana" w:cs="Times New Roman"/>
                <w:b/>
                <w:bCs/>
                <w:color w:val="C00000"/>
                <w:sz w:val="18"/>
              </w:rPr>
              <w:t>No</w:t>
            </w:r>
            <w:r w:rsidRPr="002A4A30">
              <w:rPr>
                <w:rFonts w:eastAsia="Verdana" w:cs="Times New Roman"/>
                <w:b/>
                <w:bCs/>
                <w:sz w:val="18"/>
              </w:rPr>
              <w:t xml:space="preserve"> </w:t>
            </w:r>
            <w:r w:rsidRPr="002A4A30">
              <w:rPr>
                <w:rFonts w:eastAsia="Verdana" w:cs="Times New Roman"/>
                <w:sz w:val="18"/>
              </w:rPr>
              <w:t>and</w:t>
            </w:r>
            <w:r w:rsidRPr="002A4A30">
              <w:rPr>
                <w:rFonts w:eastAsia="Verdana" w:cs="Times New Roman"/>
                <w:b/>
                <w:bCs/>
                <w:sz w:val="18"/>
              </w:rPr>
              <w:t xml:space="preserve"> </w:t>
            </w:r>
            <w:r>
              <w:rPr>
                <w:rFonts w:eastAsia="Verdana" w:cs="Times New Roman"/>
                <w:b/>
                <w:bCs/>
                <w:color w:val="C00000"/>
                <w:sz w:val="18"/>
              </w:rPr>
              <w:t>No</w:t>
            </w:r>
            <w:r w:rsidRPr="002A4A30">
              <w:rPr>
                <w:rFonts w:eastAsia="Verdana" w:cs="Times New Roman"/>
                <w:sz w:val="18"/>
              </w:rPr>
              <w:t xml:space="preserve"> - Option is not feasible (</w:t>
            </w:r>
            <w:proofErr w:type="gramStart"/>
            <w:r w:rsidRPr="002A4A30">
              <w:rPr>
                <w:rFonts w:eastAsia="Verdana" w:cs="Times New Roman"/>
                <w:sz w:val="18"/>
              </w:rPr>
              <w:t>i.e.</w:t>
            </w:r>
            <w:proofErr w:type="gramEnd"/>
            <w:r w:rsidRPr="002A4A30">
              <w:rPr>
                <w:rFonts w:eastAsia="Verdana" w:cs="Times New Roman"/>
                <w:sz w:val="18"/>
              </w:rPr>
              <w:t xml:space="preserve"> </w:t>
            </w:r>
            <w:r>
              <w:rPr>
                <w:rFonts w:eastAsia="Verdana" w:cs="Times New Roman"/>
                <w:sz w:val="18"/>
              </w:rPr>
              <w:t xml:space="preserve">it is </w:t>
            </w:r>
            <w:r w:rsidRPr="002A4A30">
              <w:rPr>
                <w:rFonts w:eastAsia="Verdana" w:cs="Times New Roman"/>
                <w:sz w:val="18"/>
              </w:rPr>
              <w:t>unworkable)</w:t>
            </w:r>
            <w:r>
              <w:rPr>
                <w:rFonts w:eastAsia="Verdana" w:cs="Times New Roman"/>
                <w:sz w:val="18"/>
              </w:rPr>
              <w:t>, therefore also not viable</w:t>
            </w:r>
            <w:r w:rsidRPr="002A4A30">
              <w:rPr>
                <w:rFonts w:eastAsia="Verdana" w:cs="Times New Roman"/>
                <w:sz w:val="18"/>
              </w:rPr>
              <w:t xml:space="preserve">. </w:t>
            </w:r>
          </w:p>
        </w:tc>
      </w:tr>
      <w:tr w:rsidR="00992A62" w:rsidRPr="006F54C0" w14:paraId="2D12D2A4" w14:textId="77777777" w:rsidTr="00CF69C1">
        <w:tc>
          <w:tcPr>
            <w:tcW w:w="2000" w:type="dxa"/>
          </w:tcPr>
          <w:p w14:paraId="5086D50A" w14:textId="77777777" w:rsidR="00992A62" w:rsidRPr="006F54C0" w:rsidRDefault="00992A62" w:rsidP="00CF69C1">
            <w:pPr>
              <w:rPr>
                <w:rFonts w:eastAsia="Verdana" w:cs="Times New Roman"/>
                <w:bCs/>
                <w:sz w:val="18"/>
              </w:rPr>
            </w:pPr>
            <w:r w:rsidRPr="006F54C0">
              <w:rPr>
                <w:rFonts w:eastAsia="Verdana" w:cs="Times New Roman"/>
                <w:b/>
                <w:sz w:val="18"/>
              </w:rPr>
              <w:t>Status Quo -</w:t>
            </w:r>
            <w:r w:rsidRPr="006F54C0">
              <w:rPr>
                <w:rFonts w:eastAsia="Verdana" w:cs="Times New Roman"/>
                <w:b/>
                <w:sz w:val="18"/>
              </w:rPr>
              <w:br/>
            </w:r>
            <w:r w:rsidRPr="006F54C0">
              <w:rPr>
                <w:rFonts w:eastAsia="Verdana" w:cs="Times New Roman"/>
                <w:bCs/>
                <w:sz w:val="18"/>
              </w:rPr>
              <w:t>Remake current regulations.</w:t>
            </w:r>
          </w:p>
        </w:tc>
        <w:tc>
          <w:tcPr>
            <w:tcW w:w="6080" w:type="dxa"/>
          </w:tcPr>
          <w:p w14:paraId="5FA7B753" w14:textId="4416C687" w:rsidR="00992A62" w:rsidRPr="005C17D3" w:rsidRDefault="00992A62" w:rsidP="00CF69C1">
            <w:pPr>
              <w:ind w:left="434"/>
              <w:rPr>
                <w:rFonts w:eastAsia="Verdana" w:cs="Times New Roman"/>
                <w:sz w:val="18"/>
              </w:rPr>
            </w:pPr>
            <w:r w:rsidRPr="005C17D3">
              <w:rPr>
                <w:rFonts w:eastAsia="Verdana" w:cs="Times New Roman"/>
                <w:sz w:val="18"/>
              </w:rPr>
              <w:t>The Status Quo would consist of a remake of the Petroleum Regulations exactly as they currently stand</w:t>
            </w:r>
            <w:r w:rsidR="00344B7F" w:rsidRPr="005C17D3">
              <w:rPr>
                <w:rFonts w:eastAsia="Verdana" w:cs="Times New Roman"/>
                <w:sz w:val="18"/>
              </w:rPr>
              <w:t xml:space="preserve"> for a further 10 years with no changes</w:t>
            </w:r>
            <w:r w:rsidRPr="005C17D3">
              <w:rPr>
                <w:rFonts w:eastAsia="Verdana" w:cs="Times New Roman"/>
                <w:sz w:val="18"/>
              </w:rPr>
              <w:t xml:space="preserve">. In other words, the existing regulations would be </w:t>
            </w:r>
            <w:r w:rsidR="00BB1268" w:rsidRPr="005C17D3">
              <w:rPr>
                <w:rFonts w:eastAsia="Verdana" w:cs="Times New Roman"/>
                <w:sz w:val="18"/>
              </w:rPr>
              <w:t>reissued in their current form</w:t>
            </w:r>
            <w:r w:rsidRPr="005C17D3">
              <w:rPr>
                <w:rFonts w:eastAsia="Verdana" w:cs="Times New Roman"/>
                <w:sz w:val="18"/>
              </w:rPr>
              <w:t xml:space="preserve">, until </w:t>
            </w:r>
            <w:r w:rsidR="00594052">
              <w:rPr>
                <w:rFonts w:eastAsia="Verdana" w:cs="Times New Roman"/>
                <w:sz w:val="18"/>
              </w:rPr>
              <w:t>October</w:t>
            </w:r>
            <w:r w:rsidR="00D6477E" w:rsidRPr="005C17D3">
              <w:rPr>
                <w:rFonts w:eastAsia="Verdana" w:cs="Times New Roman"/>
                <w:sz w:val="18"/>
              </w:rPr>
              <w:t xml:space="preserve"> </w:t>
            </w:r>
            <w:r w:rsidRPr="005C17D3">
              <w:rPr>
                <w:rFonts w:eastAsia="Verdana" w:cs="Times New Roman"/>
                <w:sz w:val="18"/>
              </w:rPr>
              <w:t>2031.</w:t>
            </w:r>
          </w:p>
        </w:tc>
        <w:tc>
          <w:tcPr>
            <w:tcW w:w="2410" w:type="dxa"/>
          </w:tcPr>
          <w:p w14:paraId="4030D972" w14:textId="77777777" w:rsidR="00992A62" w:rsidRPr="002A4A30" w:rsidRDefault="00992A62" w:rsidP="00CF69C1">
            <w:pPr>
              <w:ind w:left="434"/>
              <w:rPr>
                <w:rFonts w:eastAsia="Verdana" w:cs="Times New Roman"/>
                <w:sz w:val="18"/>
              </w:rPr>
            </w:pPr>
            <w:r w:rsidRPr="001528D0">
              <w:rPr>
                <w:rFonts w:eastAsia="Verdana" w:cs="Times New Roman"/>
                <w:b/>
                <w:bCs/>
                <w:color w:val="046A38" w:themeColor="accent2"/>
                <w:sz w:val="18"/>
              </w:rPr>
              <w:t>Yes</w:t>
            </w:r>
            <w:r w:rsidRPr="002A4A30">
              <w:rPr>
                <w:rFonts w:eastAsia="Verdana" w:cs="Times New Roman"/>
                <w:color w:val="43B02A"/>
                <w:sz w:val="18"/>
              </w:rPr>
              <w:t xml:space="preserve"> </w:t>
            </w:r>
            <w:r w:rsidRPr="002A4A30">
              <w:rPr>
                <w:rFonts w:eastAsia="Verdana" w:cs="Times New Roman"/>
                <w:sz w:val="18"/>
              </w:rPr>
              <w:t xml:space="preserve">- Option is feasible (workable), but </w:t>
            </w:r>
            <w:r w:rsidRPr="002A4A30">
              <w:rPr>
                <w:rFonts w:eastAsia="Verdana" w:cs="Times New Roman"/>
                <w:b/>
                <w:bCs/>
                <w:color w:val="C00000"/>
                <w:sz w:val="18"/>
              </w:rPr>
              <w:t>No</w:t>
            </w:r>
            <w:r w:rsidRPr="002A4A30">
              <w:rPr>
                <w:rFonts w:eastAsia="Verdana" w:cs="Times New Roman"/>
                <w:sz w:val="18"/>
              </w:rPr>
              <w:t>, not viable (</w:t>
            </w:r>
            <w:proofErr w:type="gramStart"/>
            <w:r w:rsidRPr="002A4A30">
              <w:rPr>
                <w:rFonts w:eastAsia="Verdana" w:cs="Times New Roman"/>
                <w:sz w:val="18"/>
              </w:rPr>
              <w:t>i.e.</w:t>
            </w:r>
            <w:proofErr w:type="gramEnd"/>
            <w:r w:rsidRPr="002A4A30">
              <w:rPr>
                <w:rFonts w:eastAsia="Verdana" w:cs="Times New Roman"/>
                <w:sz w:val="18"/>
              </w:rPr>
              <w:t xml:space="preserve"> low CBA ratio). </w:t>
            </w:r>
          </w:p>
        </w:tc>
      </w:tr>
      <w:tr w:rsidR="00992A62" w:rsidRPr="006F54C0" w14:paraId="32DE359D" w14:textId="77777777" w:rsidTr="00CF69C1">
        <w:tc>
          <w:tcPr>
            <w:tcW w:w="2000" w:type="dxa"/>
          </w:tcPr>
          <w:p w14:paraId="4627AA74" w14:textId="354B7C73" w:rsidR="00992A62" w:rsidRPr="006F54C0" w:rsidRDefault="00992A62" w:rsidP="00CF69C1">
            <w:pPr>
              <w:rPr>
                <w:rFonts w:eastAsia="Verdana" w:cs="Times New Roman"/>
                <w:b/>
                <w:sz w:val="18"/>
              </w:rPr>
            </w:pPr>
            <w:r w:rsidRPr="006F54C0">
              <w:rPr>
                <w:rFonts w:eastAsia="Verdana" w:cs="Times New Roman"/>
                <w:b/>
                <w:sz w:val="18"/>
              </w:rPr>
              <w:t xml:space="preserve">Option 1 – </w:t>
            </w:r>
            <w:r w:rsidRPr="006F54C0">
              <w:rPr>
                <w:rFonts w:eastAsia="Verdana" w:cs="Times New Roman"/>
                <w:b/>
                <w:sz w:val="18"/>
              </w:rPr>
              <w:br/>
            </w:r>
            <w:r w:rsidRPr="006F54C0">
              <w:rPr>
                <w:rFonts w:eastAsia="Verdana" w:cs="Times New Roman"/>
                <w:bCs/>
                <w:sz w:val="18"/>
              </w:rPr>
              <w:t>Outcomes focussed</w:t>
            </w:r>
          </w:p>
        </w:tc>
        <w:tc>
          <w:tcPr>
            <w:tcW w:w="6080" w:type="dxa"/>
          </w:tcPr>
          <w:p w14:paraId="7AC30BEA" w14:textId="6B878395" w:rsidR="00992A62" w:rsidRPr="006F54C0" w:rsidRDefault="001C57F4" w:rsidP="00CF69C1">
            <w:pPr>
              <w:ind w:left="434"/>
              <w:rPr>
                <w:rFonts w:eastAsia="Verdana" w:cs="Times New Roman"/>
                <w:sz w:val="18"/>
              </w:rPr>
            </w:pPr>
            <w:r w:rsidRPr="006F54C0">
              <w:rPr>
                <w:rFonts w:eastAsia="Verdana" w:cs="Times New Roman"/>
                <w:bCs/>
                <w:sz w:val="18"/>
              </w:rPr>
              <w:t xml:space="preserve">Option 1 would involve introducing regulations </w:t>
            </w:r>
            <w:r>
              <w:rPr>
                <w:rFonts w:eastAsia="Verdana" w:cs="Times New Roman"/>
                <w:bCs/>
                <w:sz w:val="18"/>
              </w:rPr>
              <w:t>that reflect the amendments to the Petroleum Act and the requirement to re-start the industry, and at the same time are</w:t>
            </w:r>
            <w:r w:rsidRPr="006F54C0">
              <w:rPr>
                <w:rFonts w:eastAsia="Verdana" w:cs="Times New Roman"/>
                <w:bCs/>
                <w:sz w:val="18"/>
              </w:rPr>
              <w:t xml:space="preserve"> more outcomes and objectives focussed than the Status Quo. </w:t>
            </w:r>
          </w:p>
        </w:tc>
        <w:tc>
          <w:tcPr>
            <w:tcW w:w="2410" w:type="dxa"/>
          </w:tcPr>
          <w:p w14:paraId="27ACFFCD" w14:textId="77777777" w:rsidR="00992A62" w:rsidRPr="002A4A30" w:rsidRDefault="00992A62" w:rsidP="00CF69C1">
            <w:pPr>
              <w:ind w:left="434"/>
              <w:rPr>
                <w:rFonts w:eastAsia="Verdana" w:cs="Times New Roman"/>
                <w:bCs/>
                <w:sz w:val="18"/>
              </w:rPr>
            </w:pPr>
            <w:proofErr w:type="gramStart"/>
            <w:r w:rsidRPr="001528D0">
              <w:rPr>
                <w:rFonts w:eastAsia="Verdana" w:cs="Times New Roman"/>
                <w:b/>
                <w:color w:val="046A38" w:themeColor="accent2"/>
                <w:sz w:val="18"/>
              </w:rPr>
              <w:t>Yes</w:t>
            </w:r>
            <w:proofErr w:type="gramEnd"/>
            <w:r w:rsidRPr="002A4A30">
              <w:rPr>
                <w:rFonts w:eastAsia="Verdana" w:cs="Times New Roman"/>
                <w:bCs/>
                <w:sz w:val="18"/>
              </w:rPr>
              <w:t xml:space="preserve"> </w:t>
            </w:r>
            <w:r>
              <w:rPr>
                <w:rFonts w:eastAsia="Verdana" w:cs="Times New Roman"/>
                <w:bCs/>
                <w:sz w:val="18"/>
              </w:rPr>
              <w:t xml:space="preserve">and </w:t>
            </w:r>
            <w:r w:rsidRPr="001528D0">
              <w:rPr>
                <w:rFonts w:eastAsia="Verdana" w:cs="Times New Roman"/>
                <w:b/>
                <w:color w:val="046A38" w:themeColor="accent2"/>
                <w:sz w:val="18"/>
              </w:rPr>
              <w:t>Yes</w:t>
            </w:r>
            <w:r>
              <w:rPr>
                <w:rFonts w:eastAsia="Verdana" w:cs="Times New Roman"/>
                <w:bCs/>
                <w:sz w:val="18"/>
              </w:rPr>
              <w:t xml:space="preserve"> </w:t>
            </w:r>
            <w:r w:rsidRPr="002A4A30">
              <w:rPr>
                <w:rFonts w:eastAsia="Verdana" w:cs="Times New Roman"/>
                <w:bCs/>
                <w:sz w:val="18"/>
              </w:rPr>
              <w:t xml:space="preserve">- Option is both feasible and viable. </w:t>
            </w:r>
          </w:p>
        </w:tc>
      </w:tr>
      <w:tr w:rsidR="00992A62" w:rsidRPr="006F54C0" w14:paraId="52331BB1" w14:textId="77777777" w:rsidTr="00CF69C1">
        <w:tc>
          <w:tcPr>
            <w:tcW w:w="2000" w:type="dxa"/>
          </w:tcPr>
          <w:p w14:paraId="11BB8F38" w14:textId="77777777" w:rsidR="00992A62" w:rsidRPr="006F54C0" w:rsidRDefault="00992A62" w:rsidP="00CF69C1">
            <w:pPr>
              <w:rPr>
                <w:rFonts w:eastAsia="Verdana" w:cs="Times New Roman"/>
                <w:bCs/>
                <w:sz w:val="18"/>
              </w:rPr>
            </w:pPr>
            <w:r w:rsidRPr="006F54C0">
              <w:rPr>
                <w:rFonts w:eastAsia="Verdana" w:cs="Times New Roman"/>
                <w:b/>
                <w:sz w:val="18"/>
              </w:rPr>
              <w:t>Option 2 –</w:t>
            </w:r>
            <w:r w:rsidRPr="006F54C0">
              <w:rPr>
                <w:rFonts w:eastAsia="Verdana" w:cs="Times New Roman"/>
                <w:b/>
                <w:sz w:val="18"/>
              </w:rPr>
              <w:br/>
            </w:r>
            <w:r w:rsidRPr="006F54C0">
              <w:rPr>
                <w:rFonts w:eastAsia="Verdana" w:cs="Times New Roman"/>
                <w:bCs/>
                <w:sz w:val="18"/>
              </w:rPr>
              <w:t>Standards based</w:t>
            </w:r>
          </w:p>
          <w:p w14:paraId="6372203F" w14:textId="77777777" w:rsidR="00992A62" w:rsidRPr="006F54C0" w:rsidRDefault="00992A62" w:rsidP="00CF69C1">
            <w:pPr>
              <w:rPr>
                <w:rFonts w:eastAsia="Verdana" w:cs="Times New Roman"/>
                <w:bCs/>
                <w:sz w:val="18"/>
              </w:rPr>
            </w:pPr>
            <w:r w:rsidRPr="006F54C0">
              <w:rPr>
                <w:rFonts w:eastAsia="Verdana" w:cs="Times New Roman"/>
                <w:b/>
                <w:sz w:val="18"/>
              </w:rPr>
              <w:t>(PREFERRED)</w:t>
            </w:r>
          </w:p>
        </w:tc>
        <w:tc>
          <w:tcPr>
            <w:tcW w:w="6080" w:type="dxa"/>
          </w:tcPr>
          <w:p w14:paraId="2C4C06FA" w14:textId="21DCA672" w:rsidR="00992A62" w:rsidRPr="006F54C0" w:rsidRDefault="00992A62" w:rsidP="00CF69C1">
            <w:pPr>
              <w:ind w:left="434"/>
              <w:rPr>
                <w:rFonts w:eastAsia="Verdana" w:cs="Times New Roman"/>
                <w:b/>
                <w:sz w:val="18"/>
              </w:rPr>
            </w:pPr>
            <w:r w:rsidRPr="006F54C0">
              <w:rPr>
                <w:rFonts w:eastAsia="Verdana" w:cs="Times New Roman"/>
                <w:sz w:val="18"/>
              </w:rPr>
              <w:t xml:space="preserve">Option 2 would involve introducing regulations that </w:t>
            </w:r>
            <w:r w:rsidR="001C57F4">
              <w:rPr>
                <w:rFonts w:eastAsia="Verdana" w:cs="Times New Roman"/>
                <w:bCs/>
                <w:sz w:val="18"/>
              </w:rPr>
              <w:t xml:space="preserve">reflect the amendments to the Petroleum Act and the requirement to re-start the </w:t>
            </w:r>
            <w:r w:rsidR="00BE24FC">
              <w:rPr>
                <w:rFonts w:eastAsia="Verdana" w:cs="Times New Roman"/>
                <w:bCs/>
                <w:sz w:val="18"/>
              </w:rPr>
              <w:t>industry</w:t>
            </w:r>
            <w:r w:rsidR="00BE24FC" w:rsidRPr="006F54C0">
              <w:rPr>
                <w:rFonts w:eastAsia="Verdana" w:cs="Times New Roman"/>
                <w:sz w:val="18"/>
              </w:rPr>
              <w:t>,</w:t>
            </w:r>
            <w:r w:rsidR="001C57F4">
              <w:rPr>
                <w:rFonts w:eastAsia="Verdana" w:cs="Times New Roman"/>
                <w:sz w:val="18"/>
              </w:rPr>
              <w:t xml:space="preserve"> but which </w:t>
            </w:r>
            <w:r w:rsidRPr="006F54C0">
              <w:rPr>
                <w:rFonts w:eastAsia="Verdana" w:cs="Times New Roman"/>
                <w:sz w:val="18"/>
              </w:rPr>
              <w:t>are more prescriptive than both the current</w:t>
            </w:r>
            <w:r w:rsidR="00321F73">
              <w:rPr>
                <w:rFonts w:eastAsia="Verdana" w:cs="Times New Roman"/>
                <w:sz w:val="18"/>
              </w:rPr>
              <w:t xml:space="preserve"> regulations</w:t>
            </w:r>
            <w:r w:rsidRPr="006F54C0">
              <w:rPr>
                <w:rFonts w:eastAsia="Verdana" w:cs="Times New Roman"/>
                <w:sz w:val="18"/>
              </w:rPr>
              <w:t xml:space="preserve"> and Option 1. </w:t>
            </w:r>
            <w:r w:rsidR="001C57F4" w:rsidRPr="006F54C0">
              <w:rPr>
                <w:rFonts w:eastAsia="Verdana" w:cs="Times New Roman"/>
                <w:sz w:val="18"/>
              </w:rPr>
              <w:t xml:space="preserve">This Option also includes the making of a legislative Code of Practice on drilling and well management. </w:t>
            </w:r>
          </w:p>
        </w:tc>
        <w:tc>
          <w:tcPr>
            <w:tcW w:w="2410" w:type="dxa"/>
          </w:tcPr>
          <w:p w14:paraId="7BB4627C" w14:textId="77777777" w:rsidR="00992A62" w:rsidRPr="002A4A30" w:rsidRDefault="00992A62" w:rsidP="00CF69C1">
            <w:pPr>
              <w:ind w:left="434"/>
              <w:rPr>
                <w:rFonts w:eastAsia="Verdana" w:cs="Times New Roman"/>
                <w:sz w:val="18"/>
              </w:rPr>
            </w:pPr>
            <w:proofErr w:type="gramStart"/>
            <w:r w:rsidRPr="001528D0">
              <w:rPr>
                <w:rFonts w:eastAsia="Verdana" w:cs="Times New Roman"/>
                <w:b/>
                <w:color w:val="046A38" w:themeColor="accent2"/>
                <w:sz w:val="18"/>
              </w:rPr>
              <w:t>Yes</w:t>
            </w:r>
            <w:proofErr w:type="gramEnd"/>
            <w:r>
              <w:rPr>
                <w:rFonts w:eastAsia="Verdana" w:cs="Times New Roman"/>
                <w:b/>
                <w:color w:val="43B02A"/>
                <w:sz w:val="18"/>
              </w:rPr>
              <w:t xml:space="preserve"> </w:t>
            </w:r>
            <w:r w:rsidRPr="002A4A30">
              <w:rPr>
                <w:rFonts w:eastAsia="Verdana" w:cs="Times New Roman"/>
                <w:bCs/>
                <w:sz w:val="18"/>
              </w:rPr>
              <w:t>and</w:t>
            </w:r>
            <w:r w:rsidRPr="001528D0">
              <w:rPr>
                <w:rFonts w:eastAsia="Verdana" w:cs="Times New Roman"/>
                <w:b/>
                <w:color w:val="046A38" w:themeColor="accent2"/>
                <w:sz w:val="18"/>
              </w:rPr>
              <w:t xml:space="preserve"> Yes</w:t>
            </w:r>
            <w:r w:rsidRPr="002A4A30">
              <w:rPr>
                <w:rFonts w:eastAsia="Verdana" w:cs="Times New Roman"/>
                <w:b/>
                <w:sz w:val="18"/>
              </w:rPr>
              <w:t xml:space="preserve"> </w:t>
            </w:r>
            <w:r w:rsidRPr="002A4A30">
              <w:rPr>
                <w:rFonts w:eastAsia="Verdana" w:cs="Times New Roman"/>
                <w:bCs/>
                <w:sz w:val="18"/>
              </w:rPr>
              <w:t>- Option is both feasible and viable.</w:t>
            </w:r>
          </w:p>
        </w:tc>
      </w:tr>
    </w:tbl>
    <w:p w14:paraId="50BFB769" w14:textId="6EB6A9E1" w:rsidR="00245259" w:rsidRPr="00BF281D" w:rsidRDefault="00245259" w:rsidP="00245259">
      <w:pPr>
        <w:keepNext/>
        <w:keepLines/>
        <w:spacing w:before="240" w:after="0" w:line="280" w:lineRule="atLeast"/>
        <w:rPr>
          <w:rFonts w:eastAsia="Times New Roman" w:cs="Times New Roman"/>
          <w:b/>
          <w:color w:val="62B5E5"/>
          <w:szCs w:val="28"/>
        </w:rPr>
      </w:pPr>
      <w:r w:rsidRPr="00C672BD">
        <w:rPr>
          <w:rFonts w:eastAsia="Times New Roman" w:cs="Times New Roman"/>
          <w:b/>
          <w:color w:val="012169" w:themeColor="accent4"/>
          <w:szCs w:val="28"/>
        </w:rPr>
        <w:t>Assessment of options</w:t>
      </w:r>
    </w:p>
    <w:p w14:paraId="65EC27D6" w14:textId="28EA28E0" w:rsidR="00245259" w:rsidRPr="00BF281D" w:rsidRDefault="00245259" w:rsidP="00245259">
      <w:pPr>
        <w:rPr>
          <w:rFonts w:eastAsia="Verdana" w:cs="Times New Roman"/>
        </w:rPr>
      </w:pPr>
      <w:r w:rsidRPr="00BF281D">
        <w:rPr>
          <w:rFonts w:eastAsia="Verdana" w:cs="Times New Roman"/>
        </w:rPr>
        <w:t xml:space="preserve">A multi-criteria analysis (MCA) was used to </w:t>
      </w:r>
      <w:r w:rsidR="00FF366D">
        <w:rPr>
          <w:rFonts w:eastAsia="Verdana" w:cs="Times New Roman"/>
        </w:rPr>
        <w:t>establish</w:t>
      </w:r>
      <w:r w:rsidR="00FF366D" w:rsidRPr="00BF281D">
        <w:rPr>
          <w:rFonts w:eastAsia="Verdana" w:cs="Times New Roman"/>
        </w:rPr>
        <w:t xml:space="preserve"> </w:t>
      </w:r>
      <w:r w:rsidRPr="00BF281D">
        <w:rPr>
          <w:rFonts w:eastAsia="Verdana" w:cs="Times New Roman"/>
        </w:rPr>
        <w:t xml:space="preserve">the preferred option, </w:t>
      </w:r>
      <w:bookmarkStart w:id="50" w:name="_Hlk72841676"/>
      <w:r w:rsidRPr="00BF281D">
        <w:rPr>
          <w:rFonts w:eastAsia="Verdana" w:cs="Times New Roman"/>
        </w:rPr>
        <w:t>due to the limited availability of quantitative evidence of the impacts of the proposed options</w:t>
      </w:r>
      <w:bookmarkEnd w:id="50"/>
      <w:r w:rsidRPr="00BF281D">
        <w:rPr>
          <w:rFonts w:eastAsia="Verdana" w:cs="Times New Roman"/>
        </w:rPr>
        <w:t xml:space="preserve">. The Base Case is excluded from detailed analysis as an option due to it being </w:t>
      </w:r>
      <w:r w:rsidR="00F601A0">
        <w:rPr>
          <w:rFonts w:eastAsia="Verdana" w:cs="Times New Roman"/>
        </w:rPr>
        <w:t>infeasible</w:t>
      </w:r>
      <w:r w:rsidR="002E49A8">
        <w:rPr>
          <w:rFonts w:eastAsia="Verdana" w:cs="Times New Roman"/>
        </w:rPr>
        <w:t xml:space="preserve"> as</w:t>
      </w:r>
      <w:r w:rsidRPr="00BF281D">
        <w:rPr>
          <w:rFonts w:eastAsia="Verdana" w:cs="Times New Roman"/>
        </w:rPr>
        <w:t xml:space="preserve"> the Petroleum Act alone does not provide enough specificity to operate, without the supporting regulations.</w:t>
      </w:r>
    </w:p>
    <w:p w14:paraId="6BE5FBA6" w14:textId="1BF0A366" w:rsidR="00043A32" w:rsidRDefault="00245259" w:rsidP="00245259">
      <w:pPr>
        <w:rPr>
          <w:rFonts w:eastAsia="Verdana" w:cs="Times New Roman"/>
        </w:rPr>
      </w:pPr>
      <w:r w:rsidRPr="00BF281D">
        <w:rPr>
          <w:rFonts w:eastAsia="Verdana" w:cs="Times New Roman"/>
        </w:rPr>
        <w:t>The restart of the onshore conventional gas industry requires regulations to provide certainty around how the industry will operate and how risks and consultation will be managed. It is extremely unlikely that the Victorian government would allow the regulations to lapse (</w:t>
      </w:r>
      <w:proofErr w:type="gramStart"/>
      <w:r w:rsidRPr="00BF281D">
        <w:rPr>
          <w:rFonts w:eastAsia="Verdana" w:cs="Times New Roman"/>
        </w:rPr>
        <w:t>i.e.</w:t>
      </w:r>
      <w:proofErr w:type="gramEnd"/>
      <w:r w:rsidRPr="00BF281D">
        <w:rPr>
          <w:rFonts w:eastAsia="Verdana" w:cs="Times New Roman"/>
        </w:rPr>
        <w:t xml:space="preserve"> the Base Case) as this would effectively stall the re-start of the industry </w:t>
      </w:r>
      <w:r w:rsidR="00C63984">
        <w:rPr>
          <w:rFonts w:eastAsia="Verdana" w:cs="Times New Roman"/>
        </w:rPr>
        <w:t xml:space="preserve">and be </w:t>
      </w:r>
      <w:r w:rsidRPr="00BF281D">
        <w:rPr>
          <w:rFonts w:eastAsia="Verdana" w:cs="Times New Roman"/>
        </w:rPr>
        <w:t>contrary to the government’s objectives.</w:t>
      </w:r>
    </w:p>
    <w:p w14:paraId="2FC11DC7" w14:textId="151642C2" w:rsidR="00245259" w:rsidRDefault="006C2466" w:rsidP="00245259">
      <w:pPr>
        <w:rPr>
          <w:rFonts w:eastAsia="Verdana" w:cs="Times New Roman"/>
        </w:rPr>
      </w:pPr>
      <w:r>
        <w:rPr>
          <w:rFonts w:eastAsia="Verdana" w:cs="Times New Roman"/>
        </w:rPr>
        <w:t xml:space="preserve">The </w:t>
      </w:r>
      <w:r w:rsidR="00D70B1A">
        <w:rPr>
          <w:rFonts w:eastAsia="Verdana" w:cs="Times New Roman"/>
        </w:rPr>
        <w:t xml:space="preserve">current </w:t>
      </w:r>
      <w:r>
        <w:rPr>
          <w:rFonts w:eastAsia="Verdana" w:cs="Times New Roman"/>
        </w:rPr>
        <w:t xml:space="preserve">regulations </w:t>
      </w:r>
      <w:r w:rsidR="00FA1276">
        <w:rPr>
          <w:rFonts w:eastAsia="Verdana" w:cs="Times New Roman"/>
        </w:rPr>
        <w:t>were</w:t>
      </w:r>
      <w:r>
        <w:rPr>
          <w:rFonts w:eastAsia="Verdana" w:cs="Times New Roman"/>
        </w:rPr>
        <w:t xml:space="preserve"> extended as is for a short period, to allow sufficient time for community and industry consultation on the </w:t>
      </w:r>
      <w:r w:rsidR="00F736C1">
        <w:rPr>
          <w:rFonts w:eastAsia="Verdana" w:cs="Times New Roman"/>
        </w:rPr>
        <w:t xml:space="preserve">new </w:t>
      </w:r>
      <w:r>
        <w:rPr>
          <w:rFonts w:eastAsia="Verdana" w:cs="Times New Roman"/>
        </w:rPr>
        <w:t>draft regulations. Once this process is completed</w:t>
      </w:r>
      <w:r w:rsidR="00652FA0">
        <w:rPr>
          <w:rFonts w:eastAsia="Verdana" w:cs="Times New Roman"/>
        </w:rPr>
        <w:t>, the</w:t>
      </w:r>
      <w:r w:rsidR="00825A79">
        <w:rPr>
          <w:rFonts w:eastAsia="Verdana" w:cs="Times New Roman"/>
        </w:rPr>
        <w:t xml:space="preserve"> new</w:t>
      </w:r>
      <w:r w:rsidR="00652FA0">
        <w:rPr>
          <w:rFonts w:eastAsia="Verdana" w:cs="Times New Roman"/>
        </w:rPr>
        <w:t xml:space="preserve"> </w:t>
      </w:r>
      <w:r w:rsidR="00933DB6">
        <w:rPr>
          <w:rFonts w:eastAsia="Verdana" w:cs="Times New Roman"/>
        </w:rPr>
        <w:t>Petroleum R</w:t>
      </w:r>
      <w:r w:rsidR="00652FA0">
        <w:rPr>
          <w:rFonts w:eastAsia="Verdana" w:cs="Times New Roman"/>
        </w:rPr>
        <w:t xml:space="preserve">egulations will be finalised, </w:t>
      </w:r>
      <w:r w:rsidR="00933DB6">
        <w:rPr>
          <w:rFonts w:eastAsia="Verdana" w:cs="Times New Roman"/>
        </w:rPr>
        <w:t xml:space="preserve">and are anticipated to commence in </w:t>
      </w:r>
      <w:r w:rsidR="00594052">
        <w:rPr>
          <w:rFonts w:eastAsia="Verdana" w:cs="Times New Roman"/>
        </w:rPr>
        <w:t>October</w:t>
      </w:r>
      <w:r w:rsidR="00933DB6">
        <w:rPr>
          <w:rFonts w:eastAsia="Verdana" w:cs="Times New Roman"/>
        </w:rPr>
        <w:t xml:space="preserve"> 2021. </w:t>
      </w:r>
    </w:p>
    <w:p w14:paraId="3CC96B5E" w14:textId="016D3A31" w:rsidR="00AB7225" w:rsidRPr="00BF281D" w:rsidRDefault="00AB7225" w:rsidP="00245259">
      <w:pPr>
        <w:rPr>
          <w:rFonts w:eastAsia="Verdana" w:cs="Times New Roman"/>
        </w:rPr>
      </w:pPr>
      <w:r>
        <w:rPr>
          <w:rFonts w:eastAsia="Verdana" w:cs="Times New Roman"/>
        </w:rPr>
        <w:lastRenderedPageBreak/>
        <w:t>Where we consid</w:t>
      </w:r>
      <w:r w:rsidR="002526C6">
        <w:rPr>
          <w:rFonts w:eastAsia="Verdana" w:cs="Times New Roman"/>
        </w:rPr>
        <w:t>er the Status Quo option in this RIS, we are referring to a long-term extension of the current version of the regulations</w:t>
      </w:r>
      <w:r w:rsidR="00E962DA">
        <w:rPr>
          <w:rFonts w:eastAsia="Verdana" w:cs="Times New Roman"/>
        </w:rPr>
        <w:t xml:space="preserve"> for another 10 years</w:t>
      </w:r>
      <w:r w:rsidR="002526C6">
        <w:rPr>
          <w:rFonts w:eastAsia="Verdana" w:cs="Times New Roman"/>
        </w:rPr>
        <w:t xml:space="preserve">. </w:t>
      </w:r>
      <w:r w:rsidR="00E962DA">
        <w:rPr>
          <w:rFonts w:eastAsia="Verdana" w:cs="Times New Roman"/>
        </w:rPr>
        <w:t xml:space="preserve">The short extension mentioned above is a short-term temporary measure to ensure coverage. </w:t>
      </w:r>
    </w:p>
    <w:p w14:paraId="1EA01763" w14:textId="79B94FA0" w:rsidR="00245259" w:rsidRPr="00BF281D" w:rsidRDefault="00245259" w:rsidP="00C73B72">
      <w:pPr>
        <w:spacing w:afterLines="40" w:after="96"/>
        <w:rPr>
          <w:rFonts w:eastAsia="Verdana" w:cs="Times New Roman"/>
        </w:rPr>
      </w:pPr>
      <w:r w:rsidRPr="00BF281D">
        <w:rPr>
          <w:rFonts w:eastAsia="Verdana" w:cs="Times New Roman"/>
        </w:rPr>
        <w:t xml:space="preserve">The MCA </w:t>
      </w:r>
      <w:r w:rsidR="004B333E" w:rsidRPr="00BF281D">
        <w:rPr>
          <w:rFonts w:eastAsia="Verdana" w:cs="Times New Roman"/>
        </w:rPr>
        <w:t>involve</w:t>
      </w:r>
      <w:r w:rsidR="004B333E">
        <w:rPr>
          <w:rFonts w:eastAsia="Verdana" w:cs="Times New Roman"/>
        </w:rPr>
        <w:t>d</w:t>
      </w:r>
      <w:r w:rsidRPr="00BF281D">
        <w:rPr>
          <w:rFonts w:eastAsia="Verdana" w:cs="Times New Roman"/>
        </w:rPr>
        <w:t>:</w:t>
      </w:r>
    </w:p>
    <w:p w14:paraId="3FD6FC5B" w14:textId="370842BC" w:rsidR="00C37408" w:rsidRPr="00BF281D" w:rsidRDefault="00245259" w:rsidP="00C73B72">
      <w:pPr>
        <w:numPr>
          <w:ilvl w:val="0"/>
          <w:numId w:val="74"/>
        </w:numPr>
        <w:spacing w:afterLines="40" w:after="96"/>
        <w:rPr>
          <w:rFonts w:eastAsia="Verdana" w:cs="Times New Roman"/>
          <w:szCs w:val="17"/>
        </w:rPr>
      </w:pPr>
      <w:r w:rsidRPr="00BF281D">
        <w:rPr>
          <w:rFonts w:eastAsia="Verdana" w:cs="Times New Roman"/>
          <w:szCs w:val="17"/>
        </w:rPr>
        <w:t>specifying several assessment criteria informed by policy strategy and objectives</w:t>
      </w:r>
      <w:r w:rsidR="00C37408" w:rsidRPr="00BF281D">
        <w:rPr>
          <w:rFonts w:eastAsia="Verdana" w:cs="Times New Roman"/>
          <w:szCs w:val="17"/>
        </w:rPr>
        <w:t xml:space="preserve"> </w:t>
      </w:r>
    </w:p>
    <w:p w14:paraId="740427F9" w14:textId="5CAEFAC3" w:rsidR="00245259" w:rsidRPr="00BF281D" w:rsidRDefault="00245259" w:rsidP="00C73B72">
      <w:pPr>
        <w:numPr>
          <w:ilvl w:val="0"/>
          <w:numId w:val="74"/>
        </w:numPr>
        <w:spacing w:afterLines="40" w:after="96"/>
        <w:rPr>
          <w:rFonts w:eastAsia="Verdana" w:cs="Times New Roman"/>
          <w:szCs w:val="17"/>
        </w:rPr>
      </w:pPr>
      <w:r w:rsidRPr="00BF281D">
        <w:rPr>
          <w:rFonts w:eastAsia="Verdana" w:cs="Times New Roman"/>
          <w:szCs w:val="17"/>
        </w:rPr>
        <w:t>assigning a weighting to each criterion</w:t>
      </w:r>
    </w:p>
    <w:p w14:paraId="5E7E74C4" w14:textId="3D9A81FE" w:rsidR="00245259" w:rsidRPr="00BF281D" w:rsidRDefault="00245259" w:rsidP="00C73B72">
      <w:pPr>
        <w:numPr>
          <w:ilvl w:val="0"/>
          <w:numId w:val="74"/>
        </w:numPr>
        <w:spacing w:afterLines="40" w:after="96"/>
        <w:rPr>
          <w:rFonts w:eastAsia="Verdana" w:cs="Times New Roman"/>
          <w:szCs w:val="17"/>
        </w:rPr>
      </w:pPr>
      <w:r w:rsidRPr="00BF281D">
        <w:rPr>
          <w:rFonts w:eastAsia="Verdana" w:cs="Times New Roman"/>
          <w:szCs w:val="17"/>
        </w:rPr>
        <w:t xml:space="preserve">assigning scores for each option (relative to the </w:t>
      </w:r>
      <w:r w:rsidR="007D4961">
        <w:rPr>
          <w:rFonts w:eastAsia="Verdana" w:cs="Times New Roman"/>
          <w:szCs w:val="17"/>
        </w:rPr>
        <w:t>B</w:t>
      </w:r>
      <w:r w:rsidRPr="00BF281D">
        <w:rPr>
          <w:rFonts w:eastAsia="Verdana" w:cs="Times New Roman"/>
          <w:szCs w:val="17"/>
        </w:rPr>
        <w:t xml:space="preserve">ase </w:t>
      </w:r>
      <w:r w:rsidR="007D4961">
        <w:rPr>
          <w:rFonts w:eastAsia="Verdana" w:cs="Times New Roman"/>
          <w:szCs w:val="17"/>
        </w:rPr>
        <w:t>C</w:t>
      </w:r>
      <w:r w:rsidRPr="00BF281D">
        <w:rPr>
          <w:rFonts w:eastAsia="Verdana" w:cs="Times New Roman"/>
          <w:szCs w:val="17"/>
        </w:rPr>
        <w:t>ase) for each criterion</w:t>
      </w:r>
      <w:r w:rsidR="00C63984">
        <w:rPr>
          <w:rFonts w:eastAsia="Verdana" w:cs="Times New Roman"/>
          <w:szCs w:val="17"/>
        </w:rPr>
        <w:t xml:space="preserve">, and </w:t>
      </w:r>
    </w:p>
    <w:p w14:paraId="45BFC296" w14:textId="57762493" w:rsidR="00C37408" w:rsidRPr="00992A62" w:rsidRDefault="00245259" w:rsidP="00C73B72">
      <w:pPr>
        <w:numPr>
          <w:ilvl w:val="0"/>
          <w:numId w:val="74"/>
        </w:numPr>
        <w:spacing w:afterLines="40" w:after="96"/>
        <w:rPr>
          <w:rFonts w:eastAsia="Verdana" w:cs="Times New Roman"/>
        </w:rPr>
      </w:pPr>
      <w:r w:rsidRPr="00BF281D">
        <w:rPr>
          <w:rFonts w:eastAsia="Verdana" w:cs="Times New Roman"/>
          <w:szCs w:val="17"/>
        </w:rPr>
        <w:t>calculating a weighted score for each option.</w:t>
      </w:r>
    </w:p>
    <w:p w14:paraId="573B3B7E" w14:textId="3E59F224" w:rsidR="00245259" w:rsidRPr="00BF281D" w:rsidRDefault="00245259" w:rsidP="00C73B72">
      <w:pPr>
        <w:spacing w:afterLines="40" w:after="96"/>
        <w:rPr>
          <w:rFonts w:eastAsia="Verdana" w:cs="Times New Roman"/>
        </w:rPr>
      </w:pPr>
      <w:r w:rsidRPr="00BF281D">
        <w:rPr>
          <w:rFonts w:eastAsia="Verdana" w:cs="Times New Roman"/>
        </w:rPr>
        <w:t xml:space="preserve">The following </w:t>
      </w:r>
      <w:r w:rsidR="00B516C9">
        <w:rPr>
          <w:rFonts w:eastAsia="Verdana" w:cs="Times New Roman"/>
        </w:rPr>
        <w:t xml:space="preserve">costs and benefits </w:t>
      </w:r>
      <w:r w:rsidRPr="00BF281D">
        <w:rPr>
          <w:rFonts w:eastAsia="Verdana" w:cs="Times New Roman"/>
        </w:rPr>
        <w:t>criteria were used for the analysis:</w:t>
      </w:r>
    </w:p>
    <w:p w14:paraId="16664524" w14:textId="77777777" w:rsidR="00245259" w:rsidRPr="00BF281D" w:rsidRDefault="00245259" w:rsidP="00C73B72">
      <w:pPr>
        <w:spacing w:afterLines="40" w:after="96"/>
        <w:rPr>
          <w:rFonts w:eastAsia="Verdana" w:cs="Times New Roman"/>
          <w:u w:val="single"/>
        </w:rPr>
      </w:pPr>
      <w:r w:rsidRPr="00BF281D">
        <w:rPr>
          <w:rFonts w:eastAsia="Verdana" w:cs="Times New Roman"/>
          <w:u w:val="single"/>
        </w:rPr>
        <w:t>Benefits</w:t>
      </w:r>
    </w:p>
    <w:p w14:paraId="6C772CEC" w14:textId="77777777" w:rsidR="00245259" w:rsidRPr="00817682" w:rsidRDefault="00245259" w:rsidP="00C73B72">
      <w:pPr>
        <w:numPr>
          <w:ilvl w:val="0"/>
          <w:numId w:val="74"/>
        </w:numPr>
        <w:spacing w:afterLines="40" w:after="96"/>
        <w:rPr>
          <w:rFonts w:eastAsia="Verdana" w:cs="Times New Roman"/>
          <w:szCs w:val="17"/>
        </w:rPr>
      </w:pPr>
      <w:r w:rsidRPr="00012DD6">
        <w:rPr>
          <w:rFonts w:eastAsia="Verdana" w:cs="Times New Roman"/>
          <w:szCs w:val="17"/>
        </w:rPr>
        <w:t>encourage onshore conventional petroleum resource exploration and development in Victoria</w:t>
      </w:r>
    </w:p>
    <w:p w14:paraId="33035870" w14:textId="5530A994" w:rsidR="00245259" w:rsidRPr="00817682" w:rsidRDefault="00245259" w:rsidP="00C73B72">
      <w:pPr>
        <w:numPr>
          <w:ilvl w:val="0"/>
          <w:numId w:val="74"/>
        </w:numPr>
        <w:spacing w:afterLines="40" w:after="96"/>
        <w:rPr>
          <w:rFonts w:eastAsia="Verdana" w:cs="Times New Roman"/>
          <w:szCs w:val="17"/>
        </w:rPr>
      </w:pPr>
      <w:r w:rsidRPr="00012DD6">
        <w:rPr>
          <w:rFonts w:eastAsia="Verdana" w:cs="Times New Roman"/>
          <w:szCs w:val="17"/>
        </w:rPr>
        <w:t xml:space="preserve">build community </w:t>
      </w:r>
      <w:r w:rsidR="0054704E">
        <w:rPr>
          <w:rFonts w:eastAsia="Verdana" w:cs="Times New Roman"/>
          <w:szCs w:val="17"/>
        </w:rPr>
        <w:t>social license</w:t>
      </w:r>
      <w:r w:rsidRPr="00012DD6">
        <w:rPr>
          <w:rFonts w:eastAsia="Verdana" w:cs="Times New Roman"/>
          <w:szCs w:val="17"/>
        </w:rPr>
        <w:t xml:space="preserve"> in the onshore conventional petroleum resource sector</w:t>
      </w:r>
    </w:p>
    <w:p w14:paraId="2264A086" w14:textId="0432AEAF" w:rsidR="00245259" w:rsidRPr="00817682" w:rsidRDefault="00245259" w:rsidP="00C73B72">
      <w:pPr>
        <w:numPr>
          <w:ilvl w:val="0"/>
          <w:numId w:val="74"/>
        </w:numPr>
        <w:spacing w:afterLines="40" w:after="96"/>
        <w:rPr>
          <w:rFonts w:eastAsia="Verdana" w:cs="Times New Roman"/>
          <w:szCs w:val="17"/>
        </w:rPr>
      </w:pPr>
      <w:r w:rsidRPr="00012DD6">
        <w:rPr>
          <w:rFonts w:eastAsia="Verdana" w:cs="Times New Roman"/>
          <w:szCs w:val="17"/>
        </w:rPr>
        <w:t xml:space="preserve">minimise risk to improve outcomes for the environment, public </w:t>
      </w:r>
      <w:r w:rsidR="00BE24FC" w:rsidRPr="00012DD6">
        <w:rPr>
          <w:rFonts w:eastAsia="Verdana" w:cs="Times New Roman"/>
          <w:szCs w:val="17"/>
        </w:rPr>
        <w:t>safety,</w:t>
      </w:r>
      <w:r w:rsidRPr="00012DD6">
        <w:rPr>
          <w:rFonts w:eastAsia="Verdana" w:cs="Times New Roman"/>
          <w:szCs w:val="17"/>
        </w:rPr>
        <w:t xml:space="preserve"> and amenity as they relate to petroleum development in Victoria.</w:t>
      </w:r>
    </w:p>
    <w:p w14:paraId="280B9487" w14:textId="77777777" w:rsidR="00C73B72" w:rsidRDefault="00245259" w:rsidP="00C73B72">
      <w:pPr>
        <w:spacing w:afterLines="40" w:after="96"/>
        <w:rPr>
          <w:rFonts w:eastAsia="Verdana" w:cs="Times New Roman"/>
          <w:u w:val="single"/>
        </w:rPr>
      </w:pPr>
      <w:r w:rsidRPr="00BF281D">
        <w:rPr>
          <w:rFonts w:eastAsia="Verdana" w:cs="Times New Roman"/>
          <w:u w:val="single"/>
        </w:rPr>
        <w:t>Costs</w:t>
      </w:r>
      <w:r w:rsidR="00C73B72">
        <w:rPr>
          <w:rFonts w:eastAsia="Verdana" w:cs="Times New Roman"/>
          <w:u w:val="single"/>
        </w:rPr>
        <w:t xml:space="preserve"> </w:t>
      </w:r>
    </w:p>
    <w:p w14:paraId="22BB11D6" w14:textId="77777777" w:rsidR="00C73B72" w:rsidRDefault="00245259" w:rsidP="00C73B72">
      <w:pPr>
        <w:pStyle w:val="ListParagraph"/>
        <w:numPr>
          <w:ilvl w:val="0"/>
          <w:numId w:val="90"/>
        </w:numPr>
        <w:spacing w:afterLines="40" w:after="96"/>
        <w:rPr>
          <w:rFonts w:eastAsia="Verdana" w:cs="Times New Roman"/>
          <w:szCs w:val="17"/>
        </w:rPr>
      </w:pPr>
      <w:r w:rsidRPr="00C73B72">
        <w:rPr>
          <w:rFonts w:eastAsia="Verdana" w:cs="Times New Roman"/>
          <w:szCs w:val="17"/>
        </w:rPr>
        <w:t>cost to industry</w:t>
      </w:r>
    </w:p>
    <w:p w14:paraId="7D46156E" w14:textId="5DF5333A" w:rsidR="00245259" w:rsidRPr="00C73B72" w:rsidRDefault="00245259" w:rsidP="00C73B72">
      <w:pPr>
        <w:pStyle w:val="ListParagraph"/>
        <w:numPr>
          <w:ilvl w:val="0"/>
          <w:numId w:val="90"/>
        </w:numPr>
        <w:spacing w:afterLines="40" w:after="96"/>
        <w:rPr>
          <w:rFonts w:eastAsia="Verdana" w:cs="Times New Roman"/>
          <w:szCs w:val="17"/>
        </w:rPr>
      </w:pPr>
      <w:r w:rsidRPr="00C73B72">
        <w:rPr>
          <w:rFonts w:eastAsia="Verdana" w:cs="Times New Roman"/>
          <w:szCs w:val="17"/>
        </w:rPr>
        <w:t>cost to government.</w:t>
      </w:r>
    </w:p>
    <w:p w14:paraId="684A231C" w14:textId="2DD91A13" w:rsidR="00A45762" w:rsidRPr="00BF281D" w:rsidRDefault="005067ED" w:rsidP="005315D8">
      <w:pPr>
        <w:spacing w:after="120"/>
        <w:rPr>
          <w:rFonts w:eastAsia="Verdana" w:cs="Times New Roman"/>
          <w:szCs w:val="17"/>
        </w:rPr>
      </w:pPr>
      <w:r>
        <w:rPr>
          <w:rFonts w:eastAsia="Verdana" w:cs="Times New Roman"/>
        </w:rPr>
        <w:t>In the MCA,</w:t>
      </w:r>
      <w:r w:rsidR="00A45762">
        <w:rPr>
          <w:rFonts w:eastAsia="Verdana" w:cs="Times New Roman"/>
        </w:rPr>
        <w:t xml:space="preserve"> a</w:t>
      </w:r>
      <w:r w:rsidR="00A45762" w:rsidRPr="00BF281D">
        <w:rPr>
          <w:rFonts w:eastAsia="Verdana" w:cs="Times New Roman"/>
        </w:rPr>
        <w:t xml:space="preserve"> higher </w:t>
      </w:r>
      <w:r>
        <w:rPr>
          <w:rFonts w:eastAsia="Verdana" w:cs="Times New Roman"/>
        </w:rPr>
        <w:t xml:space="preserve">(positive) </w:t>
      </w:r>
      <w:r w:rsidR="00A45762" w:rsidRPr="00BF281D">
        <w:rPr>
          <w:rFonts w:eastAsia="Verdana" w:cs="Times New Roman"/>
        </w:rPr>
        <w:t>score for costs indicates a lower cost to industry and government than the Base Case</w:t>
      </w:r>
      <w:r w:rsidR="00A45762">
        <w:rPr>
          <w:rFonts w:eastAsia="Verdana" w:cs="Times New Roman"/>
        </w:rPr>
        <w:t>.</w:t>
      </w:r>
    </w:p>
    <w:p w14:paraId="51D2FAE8" w14:textId="769C7F88" w:rsidR="00A45762" w:rsidRDefault="00A45762" w:rsidP="00245259">
      <w:pPr>
        <w:rPr>
          <w:rFonts w:eastAsia="Verdana" w:cs="Times New Roman"/>
        </w:rPr>
      </w:pPr>
      <w:r w:rsidRPr="00817682">
        <w:rPr>
          <w:rFonts w:eastAsia="Verdana" w:cs="Times New Roman"/>
        </w:rPr>
        <w:t>Th</w:t>
      </w:r>
      <w:r w:rsidRPr="00BF281D">
        <w:rPr>
          <w:rFonts w:eastAsia="Verdana" w:cs="Times New Roman"/>
        </w:rPr>
        <w:t>e Base Case option is the weakest option, due to the high degree of uncertainty inherent in a regulatory regime where there is a primary piece of legislation cross-referencing requirements in regulations</w:t>
      </w:r>
      <w:r w:rsidR="003656A2">
        <w:rPr>
          <w:rFonts w:eastAsia="Verdana" w:cs="Times New Roman"/>
        </w:rPr>
        <w:t xml:space="preserve"> that do not exist because</w:t>
      </w:r>
      <w:r w:rsidRPr="00BF281D">
        <w:rPr>
          <w:rFonts w:eastAsia="Verdana" w:cs="Times New Roman"/>
        </w:rPr>
        <w:t xml:space="preserve"> they have sunsetted.</w:t>
      </w:r>
      <w:r w:rsidR="0020277F">
        <w:rPr>
          <w:rFonts w:eastAsia="Verdana" w:cs="Times New Roman"/>
        </w:rPr>
        <w:t xml:space="preserve"> T</w:t>
      </w:r>
      <w:r w:rsidR="0020277F" w:rsidRPr="00BF281D">
        <w:rPr>
          <w:rFonts w:eastAsia="Verdana" w:cs="Times New Roman"/>
        </w:rPr>
        <w:t xml:space="preserve">he Base Case of sunsetted regulations </w:t>
      </w:r>
      <w:proofErr w:type="gramStart"/>
      <w:r w:rsidR="0020277F" w:rsidRPr="00BF281D">
        <w:rPr>
          <w:rFonts w:eastAsia="Verdana" w:cs="Times New Roman"/>
        </w:rPr>
        <w:t>is considered to be</w:t>
      </w:r>
      <w:proofErr w:type="gramEnd"/>
      <w:r w:rsidR="0020277F" w:rsidRPr="00BF281D">
        <w:rPr>
          <w:rFonts w:eastAsia="Verdana" w:cs="Times New Roman"/>
        </w:rPr>
        <w:t xml:space="preserve"> the most expensive option for both industry and government, due to the risk that it would effectively halt the relevant activity. </w:t>
      </w:r>
    </w:p>
    <w:p w14:paraId="04B11BF8" w14:textId="13CAA677" w:rsidR="00245259" w:rsidRDefault="0087225D" w:rsidP="00245259">
      <w:pPr>
        <w:rPr>
          <w:rFonts w:eastAsia="Verdana" w:cs="Times New Roman"/>
        </w:rPr>
      </w:pPr>
      <w:r>
        <w:rPr>
          <w:rFonts w:eastAsia="Verdana" w:cs="Times New Roman"/>
        </w:rPr>
        <w:t xml:space="preserve">Table ii </w:t>
      </w:r>
      <w:r w:rsidR="00245259" w:rsidRPr="00817682">
        <w:rPr>
          <w:rFonts w:eastAsia="Verdana" w:cs="Times New Roman"/>
        </w:rPr>
        <w:t xml:space="preserve">presents the results of the MCA. </w:t>
      </w:r>
      <w:r w:rsidR="00A45762">
        <w:rPr>
          <w:rFonts w:eastAsia="Verdana" w:cs="Times New Roman"/>
        </w:rPr>
        <w:t xml:space="preserve">Options are scored against the </w:t>
      </w:r>
      <w:r w:rsidR="0026370B">
        <w:rPr>
          <w:rFonts w:eastAsia="Verdana" w:cs="Times New Roman"/>
        </w:rPr>
        <w:t>B</w:t>
      </w:r>
      <w:r w:rsidR="00A45762">
        <w:rPr>
          <w:rFonts w:eastAsia="Verdana" w:cs="Times New Roman"/>
        </w:rPr>
        <w:t xml:space="preserve">ase </w:t>
      </w:r>
      <w:r w:rsidR="0026370B">
        <w:rPr>
          <w:rFonts w:eastAsia="Verdana" w:cs="Times New Roman"/>
        </w:rPr>
        <w:t>C</w:t>
      </w:r>
      <w:r w:rsidR="00A45762">
        <w:rPr>
          <w:rFonts w:eastAsia="Verdana" w:cs="Times New Roman"/>
        </w:rPr>
        <w:t xml:space="preserve">ase, which is assigned a score of zero for all criteria. </w:t>
      </w:r>
      <w:r w:rsidR="00245259" w:rsidRPr="00817682">
        <w:rPr>
          <w:rFonts w:eastAsia="Verdana" w:cs="Times New Roman"/>
        </w:rPr>
        <w:t xml:space="preserve">Option 2 receives the highest weighted score of 4.92. This is followed by Option 1 </w:t>
      </w:r>
      <w:r w:rsidR="003656A2">
        <w:rPr>
          <w:rFonts w:eastAsia="Verdana" w:cs="Times New Roman"/>
        </w:rPr>
        <w:t>with</w:t>
      </w:r>
      <w:r w:rsidR="00245259" w:rsidRPr="00817682">
        <w:rPr>
          <w:rFonts w:eastAsia="Verdana" w:cs="Times New Roman"/>
        </w:rPr>
        <w:t xml:space="preserve"> a weighted score of 4.00.</w:t>
      </w:r>
      <w:r w:rsidR="00245259" w:rsidRPr="00BF281D">
        <w:rPr>
          <w:rFonts w:eastAsia="Verdana" w:cs="Times New Roman"/>
        </w:rPr>
        <w:t xml:space="preserve">  The Status Quo option has a lower benefit-cost ratio than both Options 1 and 2, as the regulations w</w:t>
      </w:r>
      <w:r w:rsidR="003656A2">
        <w:rPr>
          <w:rFonts w:eastAsia="Verdana" w:cs="Times New Roman"/>
        </w:rPr>
        <w:t>ould</w:t>
      </w:r>
      <w:r w:rsidR="00245259" w:rsidRPr="00BF281D">
        <w:rPr>
          <w:rFonts w:eastAsia="Verdana" w:cs="Times New Roman"/>
        </w:rPr>
        <w:t xml:space="preserve"> not</w:t>
      </w:r>
      <w:r w:rsidR="003656A2">
        <w:rPr>
          <w:rFonts w:eastAsia="Verdana" w:cs="Times New Roman"/>
        </w:rPr>
        <w:t xml:space="preserve"> align</w:t>
      </w:r>
      <w:r w:rsidR="00245259" w:rsidRPr="00BF281D">
        <w:rPr>
          <w:rFonts w:eastAsia="Verdana" w:cs="Times New Roman"/>
        </w:rPr>
        <w:t xml:space="preserve"> with the Petroleum Act </w:t>
      </w:r>
      <w:r w:rsidR="00F234C7">
        <w:rPr>
          <w:rFonts w:eastAsia="Verdana" w:cs="Times New Roman"/>
        </w:rPr>
        <w:t>(</w:t>
      </w:r>
      <w:r w:rsidR="00245259" w:rsidRPr="00BF281D">
        <w:rPr>
          <w:rFonts w:eastAsia="Verdana" w:cs="Times New Roman"/>
        </w:rPr>
        <w:t>as amended</w:t>
      </w:r>
      <w:r w:rsidR="00F234C7">
        <w:rPr>
          <w:rFonts w:eastAsia="Verdana" w:cs="Times New Roman"/>
        </w:rPr>
        <w:t>)</w:t>
      </w:r>
      <w:r w:rsidR="00245259" w:rsidRPr="00BF281D">
        <w:rPr>
          <w:rFonts w:eastAsia="Verdana" w:cs="Times New Roman"/>
        </w:rPr>
        <w:t xml:space="preserve"> in </w:t>
      </w:r>
      <w:proofErr w:type="gramStart"/>
      <w:r w:rsidR="00245259" w:rsidRPr="00BF281D">
        <w:rPr>
          <w:rFonts w:eastAsia="Verdana" w:cs="Times New Roman"/>
        </w:rPr>
        <w:t>2020, and</w:t>
      </w:r>
      <w:proofErr w:type="gramEnd"/>
      <w:r w:rsidR="00245259" w:rsidRPr="00BF281D">
        <w:rPr>
          <w:rFonts w:eastAsia="Verdana" w:cs="Times New Roman"/>
        </w:rPr>
        <w:t xml:space="preserve"> </w:t>
      </w:r>
      <w:r w:rsidR="003656A2" w:rsidRPr="00BF281D">
        <w:rPr>
          <w:rFonts w:eastAsia="Verdana" w:cs="Times New Roman"/>
        </w:rPr>
        <w:t>w</w:t>
      </w:r>
      <w:r w:rsidR="003656A2">
        <w:rPr>
          <w:rFonts w:eastAsia="Verdana" w:cs="Times New Roman"/>
        </w:rPr>
        <w:t>ould</w:t>
      </w:r>
      <w:r w:rsidR="003656A2" w:rsidRPr="00BF281D">
        <w:rPr>
          <w:rFonts w:eastAsia="Verdana" w:cs="Times New Roman"/>
        </w:rPr>
        <w:t xml:space="preserve"> </w:t>
      </w:r>
      <w:r w:rsidR="00245259" w:rsidRPr="00BF281D">
        <w:rPr>
          <w:rFonts w:eastAsia="Verdana" w:cs="Times New Roman"/>
        </w:rPr>
        <w:t xml:space="preserve">not include the changes required to address the problem statements set out above. </w:t>
      </w:r>
    </w:p>
    <w:p w14:paraId="0848B175" w14:textId="77777777" w:rsidR="00BA506A" w:rsidRPr="00BF281D" w:rsidRDefault="00BA506A" w:rsidP="00BA506A">
      <w:pPr>
        <w:keepNext/>
        <w:keepLines/>
        <w:numPr>
          <w:ilvl w:val="1"/>
          <w:numId w:val="0"/>
        </w:numPr>
        <w:spacing w:before="240" w:after="240"/>
        <w:rPr>
          <w:rFonts w:eastAsia="Times New Roman" w:cs="Times New Roman"/>
          <w:iCs/>
          <w:color w:val="75787B"/>
          <w:sz w:val="17"/>
          <w:szCs w:val="20"/>
        </w:rPr>
      </w:pPr>
      <w:r w:rsidRPr="00C672BD">
        <w:rPr>
          <w:rFonts w:eastAsia="Times New Roman" w:cs="Times New Roman"/>
          <w:iCs/>
          <w:sz w:val="17"/>
          <w:szCs w:val="20"/>
        </w:rPr>
        <w:t>Table ii: MCA results</w:t>
      </w:r>
    </w:p>
    <w:tbl>
      <w:tblPr>
        <w:tblStyle w:val="Deloittetable"/>
        <w:tblW w:w="5198" w:type="pct"/>
        <w:tblLook w:val="04A0" w:firstRow="1" w:lastRow="0" w:firstColumn="1" w:lastColumn="0" w:noHBand="0" w:noVBand="1"/>
      </w:tblPr>
      <w:tblGrid>
        <w:gridCol w:w="6379"/>
        <w:gridCol w:w="953"/>
        <w:gridCol w:w="953"/>
        <w:gridCol w:w="814"/>
        <w:gridCol w:w="951"/>
      </w:tblGrid>
      <w:tr w:rsidR="00BA506A" w:rsidRPr="00BF281D" w14:paraId="1445A7BC" w14:textId="77777777" w:rsidTr="00C73B72">
        <w:trPr>
          <w:cnfStyle w:val="100000000000" w:firstRow="1" w:lastRow="0" w:firstColumn="0" w:lastColumn="0" w:oddVBand="0" w:evenVBand="0" w:oddHBand="0" w:evenHBand="0" w:firstRowFirstColumn="0" w:firstRowLastColumn="0" w:lastRowFirstColumn="0" w:lastRowLastColumn="0"/>
          <w:trHeight w:val="307"/>
          <w:tblHeader/>
        </w:trPr>
        <w:tc>
          <w:tcPr>
            <w:tcW w:w="3174" w:type="pct"/>
          </w:tcPr>
          <w:p w14:paraId="67CC8E4C" w14:textId="77777777" w:rsidR="00BA506A" w:rsidRPr="00BF281D" w:rsidRDefault="00BA506A" w:rsidP="00764265">
            <w:pPr>
              <w:spacing w:after="0" w:line="240" w:lineRule="auto"/>
              <w:jc w:val="center"/>
              <w:rPr>
                <w:rFonts w:asciiTheme="minorHAnsi" w:eastAsia="Times New Roman" w:hAnsiTheme="minorHAnsi" w:cs="Calibri"/>
                <w:b/>
                <w:bCs/>
                <w:color w:val="000000"/>
                <w:sz w:val="16"/>
                <w:szCs w:val="16"/>
                <w:lang w:eastAsia="en-AU"/>
              </w:rPr>
            </w:pPr>
            <w:r w:rsidRPr="00BF281D">
              <w:rPr>
                <w:rFonts w:asciiTheme="minorHAnsi" w:eastAsia="Times New Roman" w:hAnsiTheme="minorHAnsi" w:cs="Calibri"/>
                <w:b/>
                <w:bCs/>
                <w:color w:val="000000"/>
                <w:sz w:val="16"/>
                <w:szCs w:val="16"/>
                <w:lang w:eastAsia="en-AU"/>
              </w:rPr>
              <w:t>Criteria</w:t>
            </w:r>
          </w:p>
        </w:tc>
        <w:tc>
          <w:tcPr>
            <w:tcW w:w="474" w:type="pct"/>
          </w:tcPr>
          <w:p w14:paraId="2D7BEDAD" w14:textId="77777777" w:rsidR="00BA506A" w:rsidRPr="00BF281D" w:rsidRDefault="00BA506A" w:rsidP="00764265">
            <w:pPr>
              <w:spacing w:after="0" w:line="240" w:lineRule="auto"/>
              <w:jc w:val="center"/>
              <w:rPr>
                <w:rFonts w:eastAsia="Times New Roman" w:cs="Times New Roman"/>
                <w:b/>
                <w:bCs/>
                <w:color w:val="000000"/>
                <w:sz w:val="16"/>
                <w:szCs w:val="16"/>
                <w:lang w:eastAsia="en-AU"/>
              </w:rPr>
            </w:pPr>
            <w:r w:rsidRPr="00BF281D">
              <w:rPr>
                <w:rFonts w:eastAsia="Times New Roman" w:cs="Times New Roman"/>
                <w:b/>
                <w:bCs/>
                <w:color w:val="000000"/>
                <w:sz w:val="16"/>
                <w:szCs w:val="16"/>
                <w:lang w:eastAsia="en-AU"/>
              </w:rPr>
              <w:t>Base Case</w:t>
            </w:r>
          </w:p>
        </w:tc>
        <w:tc>
          <w:tcPr>
            <w:tcW w:w="474" w:type="pct"/>
          </w:tcPr>
          <w:p w14:paraId="0659C730" w14:textId="77777777" w:rsidR="00BA506A" w:rsidRPr="00BF281D" w:rsidRDefault="00BA506A" w:rsidP="00764265">
            <w:pPr>
              <w:spacing w:after="0" w:line="240" w:lineRule="auto"/>
              <w:jc w:val="center"/>
              <w:rPr>
                <w:rFonts w:asciiTheme="minorHAnsi" w:eastAsia="Times New Roman" w:hAnsiTheme="minorHAnsi" w:cs="Calibri"/>
                <w:color w:val="000000"/>
                <w:sz w:val="16"/>
                <w:szCs w:val="16"/>
                <w:lang w:eastAsia="en-AU"/>
              </w:rPr>
            </w:pPr>
            <w:r w:rsidRPr="00BF281D">
              <w:rPr>
                <w:rFonts w:eastAsia="Times New Roman" w:cs="Times New Roman"/>
                <w:b/>
                <w:bCs/>
                <w:color w:val="000000"/>
                <w:sz w:val="16"/>
                <w:szCs w:val="16"/>
                <w:lang w:eastAsia="en-AU"/>
              </w:rPr>
              <w:t>Status Quo</w:t>
            </w:r>
          </w:p>
        </w:tc>
        <w:tc>
          <w:tcPr>
            <w:tcW w:w="405" w:type="pct"/>
          </w:tcPr>
          <w:p w14:paraId="3D3B3EE6" w14:textId="77777777" w:rsidR="00BA506A" w:rsidRPr="00BF281D" w:rsidRDefault="00BA506A" w:rsidP="00764265">
            <w:pPr>
              <w:spacing w:after="0" w:line="240" w:lineRule="auto"/>
              <w:ind w:left="0"/>
              <w:jc w:val="center"/>
              <w:rPr>
                <w:rFonts w:eastAsia="Times New Roman" w:cs="Times New Roman"/>
                <w:b/>
                <w:bCs/>
                <w:color w:val="000000"/>
                <w:sz w:val="16"/>
                <w:szCs w:val="16"/>
                <w:lang w:eastAsia="en-AU"/>
              </w:rPr>
            </w:pPr>
            <w:r w:rsidRPr="00BF281D">
              <w:rPr>
                <w:rFonts w:eastAsia="Times New Roman" w:cs="Times New Roman"/>
                <w:b/>
                <w:bCs/>
                <w:color w:val="000000"/>
                <w:sz w:val="16"/>
                <w:szCs w:val="16"/>
                <w:lang w:eastAsia="en-AU"/>
              </w:rPr>
              <w:t>Option 1</w:t>
            </w:r>
          </w:p>
        </w:tc>
        <w:tc>
          <w:tcPr>
            <w:tcW w:w="473" w:type="pct"/>
          </w:tcPr>
          <w:p w14:paraId="24E8DBD1" w14:textId="77777777" w:rsidR="00BA506A" w:rsidRPr="00BF281D" w:rsidRDefault="00BA506A" w:rsidP="00764265">
            <w:pPr>
              <w:spacing w:after="0" w:line="240" w:lineRule="auto"/>
              <w:jc w:val="center"/>
              <w:rPr>
                <w:rFonts w:eastAsia="Times New Roman" w:cs="Times New Roman"/>
                <w:b/>
                <w:bCs/>
                <w:color w:val="000000"/>
                <w:sz w:val="16"/>
                <w:szCs w:val="16"/>
                <w:lang w:eastAsia="en-AU"/>
              </w:rPr>
            </w:pPr>
            <w:r w:rsidRPr="00BF281D">
              <w:rPr>
                <w:rFonts w:eastAsia="Times New Roman" w:cs="Times New Roman"/>
                <w:b/>
                <w:bCs/>
                <w:color w:val="000000"/>
                <w:sz w:val="16"/>
                <w:szCs w:val="16"/>
                <w:lang w:eastAsia="en-AU"/>
              </w:rPr>
              <w:t>Option 2</w:t>
            </w:r>
          </w:p>
        </w:tc>
      </w:tr>
      <w:tr w:rsidR="00BA506A" w:rsidRPr="00BF281D" w14:paraId="442BB1EF" w14:textId="77777777" w:rsidTr="00BB6E9B">
        <w:trPr>
          <w:trHeight w:val="894"/>
        </w:trPr>
        <w:tc>
          <w:tcPr>
            <w:tcW w:w="3174" w:type="pct"/>
            <w:vAlign w:val="center"/>
          </w:tcPr>
          <w:p w14:paraId="4F40A3B9" w14:textId="7A282BE6" w:rsidR="00BA506A" w:rsidRPr="00BF281D" w:rsidRDefault="00BA506A" w:rsidP="00764265">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Encourage onshore conventional petroleum resource exploration and development in Victoria. </w:t>
            </w:r>
            <w:r>
              <w:rPr>
                <w:rFonts w:eastAsia="Times New Roman" w:cs="Times New Roman"/>
                <w:color w:val="000000"/>
                <w:sz w:val="16"/>
                <w:szCs w:val="16"/>
                <w:lang w:eastAsia="en-AU"/>
              </w:rPr>
              <w:t>(16.67% weighting)</w:t>
            </w:r>
          </w:p>
        </w:tc>
        <w:tc>
          <w:tcPr>
            <w:tcW w:w="474" w:type="pct"/>
          </w:tcPr>
          <w:p w14:paraId="7DD5D488"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0</w:t>
            </w:r>
          </w:p>
        </w:tc>
        <w:tc>
          <w:tcPr>
            <w:tcW w:w="474" w:type="pct"/>
          </w:tcPr>
          <w:p w14:paraId="0F476DEE"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w:t>
            </w:r>
          </w:p>
        </w:tc>
        <w:tc>
          <w:tcPr>
            <w:tcW w:w="405" w:type="pct"/>
          </w:tcPr>
          <w:p w14:paraId="4250F523"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4</w:t>
            </w:r>
          </w:p>
        </w:tc>
        <w:tc>
          <w:tcPr>
            <w:tcW w:w="473" w:type="pct"/>
          </w:tcPr>
          <w:p w14:paraId="36D929F7"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5</w:t>
            </w:r>
          </w:p>
        </w:tc>
      </w:tr>
      <w:tr w:rsidR="00BA506A" w:rsidRPr="00BF281D" w14:paraId="140B0638" w14:textId="77777777" w:rsidTr="00BB6E9B">
        <w:trPr>
          <w:trHeight w:val="380"/>
        </w:trPr>
        <w:tc>
          <w:tcPr>
            <w:tcW w:w="3174" w:type="pct"/>
            <w:vAlign w:val="center"/>
          </w:tcPr>
          <w:p w14:paraId="5B56096B" w14:textId="64731AD3" w:rsidR="00BA506A" w:rsidRPr="00BF281D" w:rsidRDefault="00BA506A" w:rsidP="00764265">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Build community </w:t>
            </w:r>
            <w:r w:rsidR="0054704E">
              <w:rPr>
                <w:rFonts w:eastAsia="Times New Roman" w:cs="Times New Roman"/>
                <w:color w:val="000000"/>
                <w:sz w:val="16"/>
                <w:szCs w:val="16"/>
                <w:lang w:eastAsia="en-AU"/>
              </w:rPr>
              <w:t>social license</w:t>
            </w:r>
            <w:r w:rsidRPr="00BF281D">
              <w:rPr>
                <w:rFonts w:eastAsia="Times New Roman" w:cs="Times New Roman"/>
                <w:color w:val="000000"/>
                <w:sz w:val="16"/>
                <w:szCs w:val="16"/>
                <w:lang w:eastAsia="en-AU"/>
              </w:rPr>
              <w:t xml:space="preserve"> in the onshore conventional petroleum resource sector. </w:t>
            </w:r>
            <w:r>
              <w:rPr>
                <w:rFonts w:eastAsia="Times New Roman" w:cs="Times New Roman"/>
                <w:color w:val="000000"/>
                <w:sz w:val="16"/>
                <w:szCs w:val="16"/>
                <w:lang w:eastAsia="en-AU"/>
              </w:rPr>
              <w:t>(16.67% weighting)</w:t>
            </w:r>
          </w:p>
        </w:tc>
        <w:tc>
          <w:tcPr>
            <w:tcW w:w="474" w:type="pct"/>
          </w:tcPr>
          <w:p w14:paraId="0EB447C8"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0</w:t>
            </w:r>
          </w:p>
        </w:tc>
        <w:tc>
          <w:tcPr>
            <w:tcW w:w="474" w:type="pct"/>
          </w:tcPr>
          <w:p w14:paraId="35328B70"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1</w:t>
            </w:r>
          </w:p>
        </w:tc>
        <w:tc>
          <w:tcPr>
            <w:tcW w:w="405" w:type="pct"/>
          </w:tcPr>
          <w:p w14:paraId="6F1C21F9"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4</w:t>
            </w:r>
          </w:p>
        </w:tc>
        <w:tc>
          <w:tcPr>
            <w:tcW w:w="473" w:type="pct"/>
          </w:tcPr>
          <w:p w14:paraId="255048F1"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7</w:t>
            </w:r>
          </w:p>
        </w:tc>
      </w:tr>
      <w:tr w:rsidR="00BA506A" w:rsidRPr="00BF281D" w14:paraId="1E22251E" w14:textId="77777777" w:rsidTr="00BB6E9B">
        <w:trPr>
          <w:trHeight w:val="363"/>
        </w:trPr>
        <w:tc>
          <w:tcPr>
            <w:tcW w:w="3174" w:type="pct"/>
            <w:vAlign w:val="center"/>
          </w:tcPr>
          <w:p w14:paraId="05FA3C75" w14:textId="4C342835" w:rsidR="00BA506A" w:rsidRPr="00BF281D" w:rsidRDefault="00BA506A" w:rsidP="00764265">
            <w:pPr>
              <w:spacing w:after="0" w:line="240" w:lineRule="auto"/>
              <w:rPr>
                <w:rFonts w:ascii="Calibri" w:eastAsia="Times New Roman" w:hAnsi="Calibri" w:cs="Calibri"/>
                <w:b/>
                <w:bCs/>
                <w:color w:val="000000"/>
                <w:sz w:val="22"/>
                <w:szCs w:val="22"/>
                <w:lang w:eastAsia="en-AU"/>
              </w:rPr>
            </w:pPr>
            <w:r w:rsidRPr="00BF281D">
              <w:rPr>
                <w:rFonts w:eastAsia="Times New Roman" w:cs="Times New Roman"/>
                <w:color w:val="000000"/>
                <w:sz w:val="16"/>
                <w:szCs w:val="16"/>
                <w:lang w:eastAsia="en-AU"/>
              </w:rPr>
              <w:t xml:space="preserve">Minimise risk to improve outcomes for the environment, public </w:t>
            </w:r>
            <w:r w:rsidR="00BE24FC" w:rsidRPr="00BF281D">
              <w:rPr>
                <w:rFonts w:eastAsia="Times New Roman" w:cs="Times New Roman"/>
                <w:color w:val="000000"/>
                <w:sz w:val="16"/>
                <w:szCs w:val="16"/>
                <w:lang w:eastAsia="en-AU"/>
              </w:rPr>
              <w:t>safety,</w:t>
            </w:r>
            <w:r w:rsidRPr="00BF281D">
              <w:rPr>
                <w:rFonts w:eastAsia="Times New Roman" w:cs="Times New Roman"/>
                <w:color w:val="000000"/>
                <w:sz w:val="16"/>
                <w:szCs w:val="16"/>
                <w:lang w:eastAsia="en-AU"/>
              </w:rPr>
              <w:t xml:space="preserve"> and amenity as they relate to petroleum development in Victoria.</w:t>
            </w:r>
            <w:r>
              <w:rPr>
                <w:rFonts w:eastAsia="Times New Roman" w:cs="Times New Roman"/>
                <w:color w:val="000000"/>
                <w:sz w:val="16"/>
                <w:szCs w:val="16"/>
                <w:lang w:eastAsia="en-AU"/>
              </w:rPr>
              <w:t xml:space="preserve"> </w:t>
            </w:r>
            <w:r w:rsidR="001F726F">
              <w:rPr>
                <w:rFonts w:eastAsia="Times New Roman" w:cs="Times New Roman"/>
                <w:color w:val="000000"/>
                <w:sz w:val="16"/>
                <w:szCs w:val="16"/>
                <w:lang w:eastAsia="en-AU"/>
              </w:rPr>
              <w:br/>
            </w:r>
            <w:r>
              <w:rPr>
                <w:rFonts w:eastAsia="Times New Roman" w:cs="Times New Roman"/>
                <w:color w:val="000000"/>
                <w:sz w:val="16"/>
                <w:szCs w:val="16"/>
                <w:lang w:eastAsia="en-AU"/>
              </w:rPr>
              <w:t>(16.67% weighting)</w:t>
            </w:r>
          </w:p>
        </w:tc>
        <w:tc>
          <w:tcPr>
            <w:tcW w:w="474" w:type="pct"/>
          </w:tcPr>
          <w:p w14:paraId="6BEE0B20"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0</w:t>
            </w:r>
          </w:p>
        </w:tc>
        <w:tc>
          <w:tcPr>
            <w:tcW w:w="474" w:type="pct"/>
          </w:tcPr>
          <w:p w14:paraId="262DB46D"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3</w:t>
            </w:r>
          </w:p>
        </w:tc>
        <w:tc>
          <w:tcPr>
            <w:tcW w:w="405" w:type="pct"/>
          </w:tcPr>
          <w:p w14:paraId="426F7F5B"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4</w:t>
            </w:r>
          </w:p>
        </w:tc>
        <w:tc>
          <w:tcPr>
            <w:tcW w:w="473" w:type="pct"/>
          </w:tcPr>
          <w:p w14:paraId="4A75A405"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7</w:t>
            </w:r>
          </w:p>
        </w:tc>
      </w:tr>
      <w:tr w:rsidR="00BA506A" w:rsidRPr="00BF281D" w14:paraId="07D93FD4" w14:textId="77777777" w:rsidTr="00BB6E9B">
        <w:trPr>
          <w:trHeight w:val="363"/>
        </w:trPr>
        <w:tc>
          <w:tcPr>
            <w:tcW w:w="3174" w:type="pct"/>
            <w:vAlign w:val="center"/>
          </w:tcPr>
          <w:p w14:paraId="1EF6A673" w14:textId="07F76887" w:rsidR="00BA506A" w:rsidRPr="00BF281D" w:rsidRDefault="00BA506A" w:rsidP="00764265">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Cost to industry (positive score is lower cost than </w:t>
            </w:r>
            <w:r>
              <w:rPr>
                <w:rFonts w:eastAsia="Times New Roman" w:cs="Times New Roman"/>
                <w:color w:val="000000"/>
                <w:sz w:val="16"/>
                <w:szCs w:val="16"/>
                <w:lang w:eastAsia="en-AU"/>
              </w:rPr>
              <w:t>B</w:t>
            </w:r>
            <w:r w:rsidRPr="00BF281D">
              <w:rPr>
                <w:rFonts w:eastAsia="Times New Roman" w:cs="Times New Roman"/>
                <w:color w:val="000000"/>
                <w:sz w:val="16"/>
                <w:szCs w:val="16"/>
                <w:lang w:eastAsia="en-AU"/>
              </w:rPr>
              <w:t xml:space="preserve">ase </w:t>
            </w:r>
            <w:r>
              <w:rPr>
                <w:rFonts w:eastAsia="Times New Roman" w:cs="Times New Roman"/>
                <w:color w:val="000000"/>
                <w:sz w:val="16"/>
                <w:szCs w:val="16"/>
                <w:lang w:eastAsia="en-AU"/>
              </w:rPr>
              <w:t>C</w:t>
            </w:r>
            <w:r w:rsidRPr="00BF281D">
              <w:rPr>
                <w:rFonts w:eastAsia="Times New Roman" w:cs="Times New Roman"/>
                <w:color w:val="000000"/>
                <w:sz w:val="16"/>
                <w:szCs w:val="16"/>
                <w:lang w:eastAsia="en-AU"/>
              </w:rPr>
              <w:t>ase</w:t>
            </w:r>
            <w:r w:rsidRPr="00817682">
              <w:rPr>
                <w:rFonts w:eastAsia="Times New Roman" w:cs="Times New Roman"/>
                <w:color w:val="000000"/>
                <w:sz w:val="16"/>
                <w:szCs w:val="16"/>
                <w:lang w:eastAsia="en-AU"/>
              </w:rPr>
              <w:t>)</w:t>
            </w:r>
            <w:r>
              <w:rPr>
                <w:rFonts w:eastAsia="Times New Roman" w:cs="Times New Roman"/>
                <w:color w:val="000000"/>
                <w:sz w:val="16"/>
                <w:szCs w:val="16"/>
                <w:lang w:eastAsia="en-AU"/>
              </w:rPr>
              <w:t xml:space="preserve"> </w:t>
            </w:r>
            <w:r w:rsidR="001F726F">
              <w:rPr>
                <w:rFonts w:eastAsia="Times New Roman" w:cs="Times New Roman"/>
                <w:color w:val="000000"/>
                <w:sz w:val="16"/>
                <w:szCs w:val="16"/>
                <w:lang w:eastAsia="en-AU"/>
              </w:rPr>
              <w:br/>
            </w:r>
            <w:r>
              <w:rPr>
                <w:rFonts w:eastAsia="Times New Roman" w:cs="Times New Roman"/>
                <w:color w:val="000000"/>
                <w:sz w:val="16"/>
                <w:szCs w:val="16"/>
                <w:lang w:eastAsia="en-AU"/>
              </w:rPr>
              <w:t>(</w:t>
            </w:r>
            <w:r w:rsidR="00501462">
              <w:rPr>
                <w:rFonts w:eastAsia="Times New Roman" w:cs="Times New Roman"/>
                <w:color w:val="000000"/>
                <w:sz w:val="16"/>
                <w:szCs w:val="16"/>
                <w:lang w:eastAsia="en-AU"/>
              </w:rPr>
              <w:t>25%</w:t>
            </w:r>
            <w:r>
              <w:rPr>
                <w:rFonts w:eastAsia="Times New Roman" w:cs="Times New Roman"/>
                <w:color w:val="000000"/>
                <w:sz w:val="16"/>
                <w:szCs w:val="16"/>
                <w:lang w:eastAsia="en-AU"/>
              </w:rPr>
              <w:t xml:space="preserve"> weighting)</w:t>
            </w:r>
          </w:p>
        </w:tc>
        <w:tc>
          <w:tcPr>
            <w:tcW w:w="474" w:type="pct"/>
          </w:tcPr>
          <w:p w14:paraId="775C463E"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0</w:t>
            </w:r>
          </w:p>
        </w:tc>
        <w:tc>
          <w:tcPr>
            <w:tcW w:w="474" w:type="pct"/>
          </w:tcPr>
          <w:p w14:paraId="29FFA8C5"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w:t>
            </w:r>
          </w:p>
        </w:tc>
        <w:tc>
          <w:tcPr>
            <w:tcW w:w="405" w:type="pct"/>
          </w:tcPr>
          <w:p w14:paraId="4FFA44F0"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5</w:t>
            </w:r>
          </w:p>
        </w:tc>
        <w:tc>
          <w:tcPr>
            <w:tcW w:w="473" w:type="pct"/>
          </w:tcPr>
          <w:p w14:paraId="4F338DF1"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3</w:t>
            </w:r>
          </w:p>
        </w:tc>
      </w:tr>
      <w:tr w:rsidR="00BA506A" w:rsidRPr="00BF281D" w14:paraId="4600A1D4" w14:textId="77777777" w:rsidTr="00BB6E9B">
        <w:trPr>
          <w:trHeight w:val="363"/>
        </w:trPr>
        <w:tc>
          <w:tcPr>
            <w:tcW w:w="3174" w:type="pct"/>
            <w:vAlign w:val="center"/>
          </w:tcPr>
          <w:p w14:paraId="3472635C" w14:textId="3971AC67" w:rsidR="00BA506A" w:rsidRPr="00BF281D" w:rsidRDefault="00BA506A" w:rsidP="00764265">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Cost to government (positive score is lower cost than </w:t>
            </w:r>
            <w:r>
              <w:rPr>
                <w:rFonts w:eastAsia="Times New Roman" w:cs="Times New Roman"/>
                <w:color w:val="000000"/>
                <w:sz w:val="16"/>
                <w:szCs w:val="16"/>
                <w:lang w:eastAsia="en-AU"/>
              </w:rPr>
              <w:t>B</w:t>
            </w:r>
            <w:r w:rsidRPr="00BF281D">
              <w:rPr>
                <w:rFonts w:eastAsia="Times New Roman" w:cs="Times New Roman"/>
                <w:color w:val="000000"/>
                <w:sz w:val="16"/>
                <w:szCs w:val="16"/>
                <w:lang w:eastAsia="en-AU"/>
              </w:rPr>
              <w:t xml:space="preserve">ase </w:t>
            </w:r>
            <w:r>
              <w:rPr>
                <w:rFonts w:eastAsia="Times New Roman" w:cs="Times New Roman"/>
                <w:color w:val="000000"/>
                <w:sz w:val="16"/>
                <w:szCs w:val="16"/>
                <w:lang w:eastAsia="en-AU"/>
              </w:rPr>
              <w:t>C</w:t>
            </w:r>
            <w:r w:rsidRPr="00BF281D">
              <w:rPr>
                <w:rFonts w:eastAsia="Times New Roman" w:cs="Times New Roman"/>
                <w:color w:val="000000"/>
                <w:sz w:val="16"/>
                <w:szCs w:val="16"/>
                <w:lang w:eastAsia="en-AU"/>
              </w:rPr>
              <w:t>ase)</w:t>
            </w:r>
            <w:r>
              <w:rPr>
                <w:rFonts w:eastAsia="Times New Roman" w:cs="Times New Roman"/>
                <w:color w:val="000000"/>
                <w:sz w:val="16"/>
                <w:szCs w:val="16"/>
                <w:lang w:eastAsia="en-AU"/>
              </w:rPr>
              <w:t xml:space="preserve"> </w:t>
            </w:r>
            <w:r w:rsidR="001F726F">
              <w:rPr>
                <w:rFonts w:eastAsia="Times New Roman" w:cs="Times New Roman"/>
                <w:color w:val="000000"/>
                <w:sz w:val="16"/>
                <w:szCs w:val="16"/>
                <w:lang w:eastAsia="en-AU"/>
              </w:rPr>
              <w:br/>
            </w:r>
            <w:r>
              <w:rPr>
                <w:rFonts w:eastAsia="Times New Roman" w:cs="Times New Roman"/>
                <w:color w:val="000000"/>
                <w:sz w:val="16"/>
                <w:szCs w:val="16"/>
                <w:lang w:eastAsia="en-AU"/>
              </w:rPr>
              <w:t>(</w:t>
            </w:r>
            <w:r w:rsidR="00501462">
              <w:rPr>
                <w:rFonts w:eastAsia="Times New Roman" w:cs="Times New Roman"/>
                <w:color w:val="000000"/>
                <w:sz w:val="16"/>
                <w:szCs w:val="16"/>
                <w:lang w:eastAsia="en-AU"/>
              </w:rPr>
              <w:t>25</w:t>
            </w:r>
            <w:r>
              <w:rPr>
                <w:rFonts w:eastAsia="Times New Roman" w:cs="Times New Roman"/>
                <w:color w:val="000000"/>
                <w:sz w:val="16"/>
                <w:szCs w:val="16"/>
                <w:lang w:eastAsia="en-AU"/>
              </w:rPr>
              <w:t xml:space="preserve">% weighting) </w:t>
            </w:r>
          </w:p>
        </w:tc>
        <w:tc>
          <w:tcPr>
            <w:tcW w:w="474" w:type="pct"/>
          </w:tcPr>
          <w:p w14:paraId="235A94DE"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0</w:t>
            </w:r>
          </w:p>
        </w:tc>
        <w:tc>
          <w:tcPr>
            <w:tcW w:w="474" w:type="pct"/>
          </w:tcPr>
          <w:p w14:paraId="650DD752"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w:t>
            </w:r>
          </w:p>
        </w:tc>
        <w:tc>
          <w:tcPr>
            <w:tcW w:w="405" w:type="pct"/>
          </w:tcPr>
          <w:p w14:paraId="5F0A5A5A"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3</w:t>
            </w:r>
          </w:p>
        </w:tc>
        <w:tc>
          <w:tcPr>
            <w:tcW w:w="473" w:type="pct"/>
          </w:tcPr>
          <w:p w14:paraId="2B390850" w14:textId="77777777" w:rsidR="00BA506A" w:rsidRPr="00BF281D" w:rsidRDefault="00BA506A"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4</w:t>
            </w:r>
          </w:p>
        </w:tc>
      </w:tr>
      <w:tr w:rsidR="00BA506A" w:rsidRPr="00BF281D" w14:paraId="539400BF" w14:textId="77777777" w:rsidTr="00C73B72">
        <w:trPr>
          <w:trHeight w:val="363"/>
        </w:trPr>
        <w:tc>
          <w:tcPr>
            <w:tcW w:w="3174" w:type="pct"/>
            <w:vAlign w:val="center"/>
          </w:tcPr>
          <w:p w14:paraId="214D27C5" w14:textId="77777777" w:rsidR="00BA506A" w:rsidRPr="00BF281D" w:rsidRDefault="00BA506A" w:rsidP="00764265">
            <w:pPr>
              <w:spacing w:after="0" w:line="240" w:lineRule="auto"/>
              <w:rPr>
                <w:rFonts w:eastAsia="Times New Roman" w:cs="Times New Roman"/>
                <w:b/>
                <w:bCs/>
                <w:color w:val="000000"/>
                <w:sz w:val="16"/>
                <w:szCs w:val="16"/>
                <w:lang w:eastAsia="en-AU"/>
              </w:rPr>
            </w:pPr>
            <w:r w:rsidRPr="00BF281D">
              <w:rPr>
                <w:rFonts w:eastAsia="Times New Roman" w:cs="Times New Roman"/>
                <w:b/>
                <w:bCs/>
                <w:color w:val="000000"/>
                <w:sz w:val="16"/>
                <w:szCs w:val="16"/>
                <w:lang w:eastAsia="en-AU"/>
              </w:rPr>
              <w:t>Weighted score</w:t>
            </w:r>
          </w:p>
        </w:tc>
        <w:tc>
          <w:tcPr>
            <w:tcW w:w="474" w:type="pct"/>
          </w:tcPr>
          <w:p w14:paraId="27FB7DAB" w14:textId="77777777" w:rsidR="00BA506A" w:rsidRPr="00BF281D" w:rsidRDefault="00BA506A" w:rsidP="00764265">
            <w:pPr>
              <w:spacing w:after="0" w:line="240" w:lineRule="auto"/>
              <w:jc w:val="center"/>
              <w:rPr>
                <w:rFonts w:eastAsia="Times New Roman" w:cs="Times New Roman"/>
                <w:b/>
                <w:color w:val="000000"/>
                <w:sz w:val="16"/>
                <w:szCs w:val="16"/>
                <w:lang w:eastAsia="en-AU"/>
              </w:rPr>
            </w:pPr>
            <w:r w:rsidRPr="00BF281D">
              <w:rPr>
                <w:rFonts w:eastAsia="Times New Roman" w:cs="Times New Roman"/>
                <w:b/>
                <w:color w:val="000000"/>
                <w:sz w:val="16"/>
                <w:szCs w:val="16"/>
                <w:lang w:eastAsia="en-AU"/>
              </w:rPr>
              <w:t>0</w:t>
            </w:r>
            <w:r>
              <w:rPr>
                <w:rFonts w:eastAsia="Times New Roman" w:cs="Times New Roman"/>
                <w:b/>
                <w:color w:val="000000"/>
                <w:sz w:val="16"/>
                <w:szCs w:val="16"/>
                <w:lang w:eastAsia="en-AU"/>
              </w:rPr>
              <w:t>.00</w:t>
            </w:r>
          </w:p>
        </w:tc>
        <w:tc>
          <w:tcPr>
            <w:tcW w:w="474" w:type="pct"/>
          </w:tcPr>
          <w:p w14:paraId="7610DF6F" w14:textId="77777777" w:rsidR="00BA506A" w:rsidRPr="00BF281D" w:rsidRDefault="00BA506A" w:rsidP="00764265">
            <w:pPr>
              <w:spacing w:after="0" w:line="240" w:lineRule="auto"/>
              <w:jc w:val="center"/>
              <w:rPr>
                <w:rFonts w:eastAsia="Times New Roman" w:cs="Times New Roman"/>
                <w:b/>
                <w:color w:val="000000"/>
                <w:sz w:val="16"/>
                <w:szCs w:val="16"/>
                <w:lang w:eastAsia="en-AU"/>
              </w:rPr>
            </w:pPr>
            <w:r w:rsidRPr="00BF281D">
              <w:rPr>
                <w:rFonts w:eastAsia="Times New Roman" w:cs="Times New Roman"/>
                <w:b/>
                <w:color w:val="000000"/>
                <w:sz w:val="16"/>
                <w:szCs w:val="16"/>
                <w:lang w:eastAsia="en-AU"/>
              </w:rPr>
              <w:t>2.</w:t>
            </w:r>
            <w:r>
              <w:rPr>
                <w:rFonts w:eastAsia="Times New Roman" w:cs="Times New Roman"/>
                <w:b/>
                <w:color w:val="000000"/>
                <w:sz w:val="16"/>
                <w:szCs w:val="16"/>
                <w:lang w:eastAsia="en-AU"/>
              </w:rPr>
              <w:t>00</w:t>
            </w:r>
          </w:p>
        </w:tc>
        <w:tc>
          <w:tcPr>
            <w:tcW w:w="405" w:type="pct"/>
          </w:tcPr>
          <w:p w14:paraId="0058AF1F" w14:textId="77777777" w:rsidR="00BA506A" w:rsidRPr="00BF281D" w:rsidRDefault="00BA506A" w:rsidP="00764265">
            <w:pPr>
              <w:spacing w:after="0" w:line="240" w:lineRule="auto"/>
              <w:jc w:val="center"/>
              <w:rPr>
                <w:rFonts w:eastAsia="Times New Roman" w:cs="Times New Roman"/>
                <w:b/>
                <w:color w:val="000000"/>
                <w:sz w:val="16"/>
                <w:szCs w:val="16"/>
                <w:lang w:eastAsia="en-AU"/>
              </w:rPr>
            </w:pPr>
            <w:r w:rsidRPr="00BF281D">
              <w:rPr>
                <w:rFonts w:eastAsia="Times New Roman" w:cs="Times New Roman"/>
                <w:b/>
                <w:color w:val="000000"/>
                <w:sz w:val="16"/>
                <w:szCs w:val="16"/>
                <w:lang w:eastAsia="en-AU"/>
              </w:rPr>
              <w:t>4</w:t>
            </w:r>
            <w:r>
              <w:rPr>
                <w:rFonts w:eastAsia="Times New Roman" w:cs="Times New Roman"/>
                <w:b/>
                <w:color w:val="000000"/>
                <w:sz w:val="16"/>
                <w:szCs w:val="16"/>
                <w:lang w:eastAsia="en-AU"/>
              </w:rPr>
              <w:t>.00</w:t>
            </w:r>
          </w:p>
        </w:tc>
        <w:tc>
          <w:tcPr>
            <w:tcW w:w="473" w:type="pct"/>
          </w:tcPr>
          <w:p w14:paraId="6542ED3C" w14:textId="77777777" w:rsidR="00BA506A" w:rsidRPr="00BF281D" w:rsidRDefault="00BA506A" w:rsidP="00764265">
            <w:pPr>
              <w:spacing w:after="0" w:line="240" w:lineRule="auto"/>
              <w:jc w:val="center"/>
              <w:rPr>
                <w:rFonts w:eastAsia="Times New Roman" w:cs="Times New Roman"/>
                <w:b/>
                <w:color w:val="000000"/>
                <w:sz w:val="16"/>
                <w:szCs w:val="16"/>
                <w:lang w:eastAsia="en-AU"/>
              </w:rPr>
            </w:pPr>
            <w:r w:rsidRPr="00BF281D">
              <w:rPr>
                <w:rFonts w:eastAsia="Times New Roman" w:cs="Times New Roman"/>
                <w:b/>
                <w:color w:val="000000"/>
                <w:sz w:val="16"/>
                <w:szCs w:val="16"/>
                <w:lang w:eastAsia="en-AU"/>
              </w:rPr>
              <w:t>4.92</w:t>
            </w:r>
          </w:p>
        </w:tc>
      </w:tr>
    </w:tbl>
    <w:p w14:paraId="54E24A49" w14:textId="77777777" w:rsidR="00BA506A" w:rsidRPr="00BF281D" w:rsidRDefault="00BA506A" w:rsidP="00245259">
      <w:pPr>
        <w:rPr>
          <w:rFonts w:eastAsia="Verdana" w:cs="Times New Roman"/>
        </w:rPr>
      </w:pPr>
    </w:p>
    <w:p w14:paraId="198AA814" w14:textId="0AD62438" w:rsidR="00245259" w:rsidRPr="00BF281D" w:rsidRDefault="00535C14" w:rsidP="00245259">
      <w:pPr>
        <w:rPr>
          <w:rFonts w:eastAsia="Verdana" w:cs="Times New Roman"/>
        </w:rPr>
      </w:pPr>
      <w:r>
        <w:rPr>
          <w:rFonts w:eastAsia="Verdana" w:cs="Times New Roman"/>
        </w:rPr>
        <w:lastRenderedPageBreak/>
        <w:t>Based on the results of the MCA,</w:t>
      </w:r>
      <w:r w:rsidR="00245259" w:rsidRPr="00BF281D">
        <w:rPr>
          <w:rFonts w:eastAsia="Verdana" w:cs="Times New Roman"/>
        </w:rPr>
        <w:t xml:space="preserve"> Option 2 </w:t>
      </w:r>
      <w:r>
        <w:rPr>
          <w:rFonts w:eastAsia="Verdana" w:cs="Times New Roman"/>
        </w:rPr>
        <w:t>would provide</w:t>
      </w:r>
      <w:r w:rsidR="00245259" w:rsidRPr="00BF281D">
        <w:rPr>
          <w:rFonts w:eastAsia="Verdana" w:cs="Times New Roman"/>
        </w:rPr>
        <w:t xml:space="preserve"> the highest net benefit across </w:t>
      </w:r>
      <w:proofErr w:type="gramStart"/>
      <w:r w:rsidR="00245259" w:rsidRPr="00BF281D">
        <w:rPr>
          <w:rFonts w:eastAsia="Verdana" w:cs="Times New Roman"/>
        </w:rPr>
        <w:t>all of</w:t>
      </w:r>
      <w:proofErr w:type="gramEnd"/>
      <w:r w:rsidR="00245259" w:rsidRPr="00BF281D">
        <w:rPr>
          <w:rFonts w:eastAsia="Verdana" w:cs="Times New Roman"/>
        </w:rPr>
        <w:t xml:space="preserve"> the criteria and </w:t>
      </w:r>
      <w:r w:rsidR="00A45762">
        <w:rPr>
          <w:rFonts w:eastAsia="Verdana" w:cs="Times New Roman"/>
        </w:rPr>
        <w:t xml:space="preserve">best </w:t>
      </w:r>
      <w:r w:rsidR="00245259" w:rsidRPr="00BF281D">
        <w:rPr>
          <w:rFonts w:eastAsia="Verdana" w:cs="Times New Roman"/>
        </w:rPr>
        <w:t>achiev</w:t>
      </w:r>
      <w:r w:rsidR="00A45762">
        <w:rPr>
          <w:rFonts w:eastAsia="Verdana" w:cs="Times New Roman"/>
        </w:rPr>
        <w:t>es</w:t>
      </w:r>
      <w:r w:rsidR="00245259" w:rsidRPr="00BF281D">
        <w:rPr>
          <w:rFonts w:eastAsia="Verdana" w:cs="Times New Roman"/>
        </w:rPr>
        <w:t xml:space="preserve"> the objectives of the Act</w:t>
      </w:r>
      <w:r>
        <w:rPr>
          <w:rFonts w:eastAsia="Verdana" w:cs="Times New Roman"/>
        </w:rPr>
        <w:t xml:space="preserve">, and so is </w:t>
      </w:r>
      <w:r w:rsidR="00245259" w:rsidRPr="00BF281D">
        <w:rPr>
          <w:rFonts w:eastAsia="Verdana" w:cs="Times New Roman"/>
        </w:rPr>
        <w:t>incorporated</w:t>
      </w:r>
      <w:r>
        <w:rPr>
          <w:rFonts w:eastAsia="Verdana" w:cs="Times New Roman"/>
        </w:rPr>
        <w:t xml:space="preserve"> as the preferred option</w:t>
      </w:r>
      <w:r w:rsidR="00245259" w:rsidRPr="00BF281D">
        <w:rPr>
          <w:rFonts w:eastAsia="Verdana" w:cs="Times New Roman"/>
        </w:rPr>
        <w:t xml:space="preserve"> in the attached draft Petroleum Regulations 2021. </w:t>
      </w:r>
    </w:p>
    <w:p w14:paraId="35C7CE08" w14:textId="5016D45A" w:rsidR="00827EEC" w:rsidRDefault="00535C14" w:rsidP="00245259">
      <w:pPr>
        <w:rPr>
          <w:rFonts w:eastAsia="Verdana" w:cs="Times New Roman"/>
        </w:rPr>
      </w:pPr>
      <w:r>
        <w:rPr>
          <w:rFonts w:eastAsia="Verdana" w:cs="Times New Roman"/>
        </w:rPr>
        <w:t xml:space="preserve">Option 2 performs most strongly in each of the benefit categories of the impact assessment. </w:t>
      </w:r>
      <w:r w:rsidR="00245259" w:rsidRPr="00BF281D">
        <w:rPr>
          <w:rFonts w:eastAsia="Verdana" w:cs="Times New Roman"/>
        </w:rPr>
        <w:t xml:space="preserve">The certainty and assurance provided by the specificity of Option 2 is important for incentivising investment in Victoria, particularly in the context of the re-start of the industry. Option 2 would also be most effective in building </w:t>
      </w:r>
      <w:r w:rsidR="0054704E">
        <w:rPr>
          <w:rFonts w:eastAsia="Verdana" w:cs="Times New Roman"/>
        </w:rPr>
        <w:t>social license</w:t>
      </w:r>
      <w:r w:rsidR="00245259" w:rsidRPr="00BF281D">
        <w:rPr>
          <w:rFonts w:eastAsia="Verdana" w:cs="Times New Roman"/>
        </w:rPr>
        <w:t xml:space="preserve"> in the Victorian onshore petroleum industry,</w:t>
      </w:r>
      <w:r w:rsidR="000E00CE">
        <w:rPr>
          <w:rFonts w:eastAsia="Verdana" w:cs="Times New Roman"/>
        </w:rPr>
        <w:t xml:space="preserve"> a clear message heard during</w:t>
      </w:r>
      <w:r w:rsidR="00245259" w:rsidRPr="00BF281D">
        <w:rPr>
          <w:rFonts w:eastAsia="Verdana" w:cs="Times New Roman"/>
        </w:rPr>
        <w:t xml:space="preserve"> the Victorian Gas Program consultations. The more prescriptive consultation and risk management requirements under Option 2 </w:t>
      </w:r>
      <w:r w:rsidR="0020277F">
        <w:rPr>
          <w:rFonts w:eastAsia="Verdana" w:cs="Times New Roman"/>
        </w:rPr>
        <w:t xml:space="preserve">relative to Option 1 </w:t>
      </w:r>
      <w:r w:rsidR="00245259" w:rsidRPr="00BF281D">
        <w:rPr>
          <w:rFonts w:eastAsia="Verdana" w:cs="Times New Roman"/>
        </w:rPr>
        <w:t xml:space="preserve">will </w:t>
      </w:r>
      <w:r w:rsidR="0020277F">
        <w:rPr>
          <w:rFonts w:eastAsia="Verdana" w:cs="Times New Roman"/>
        </w:rPr>
        <w:t>help</w:t>
      </w:r>
      <w:r w:rsidR="00245259" w:rsidRPr="00BF281D">
        <w:rPr>
          <w:rFonts w:eastAsia="Verdana" w:cs="Times New Roman"/>
        </w:rPr>
        <w:t xml:space="preserve"> provide communities with confidence that </w:t>
      </w:r>
      <w:proofErr w:type="gramStart"/>
      <w:r w:rsidR="00245259" w:rsidRPr="00BF281D">
        <w:rPr>
          <w:rFonts w:eastAsia="Verdana" w:cs="Times New Roman"/>
        </w:rPr>
        <w:t>concerns</w:t>
      </w:r>
      <w:proofErr w:type="gramEnd"/>
      <w:r w:rsidR="00245259" w:rsidRPr="00BF281D">
        <w:rPr>
          <w:rFonts w:eastAsia="Verdana" w:cs="Times New Roman"/>
        </w:rPr>
        <w:t xml:space="preserve"> and risks </w:t>
      </w:r>
      <w:r w:rsidR="00974255" w:rsidRPr="00BF281D">
        <w:rPr>
          <w:rFonts w:eastAsia="Verdana" w:cs="Times New Roman"/>
        </w:rPr>
        <w:t>w</w:t>
      </w:r>
      <w:r w:rsidR="00974255">
        <w:rPr>
          <w:rFonts w:eastAsia="Verdana" w:cs="Times New Roman"/>
        </w:rPr>
        <w:t>ould</w:t>
      </w:r>
      <w:r w:rsidR="00974255" w:rsidRPr="00BF281D">
        <w:rPr>
          <w:rFonts w:eastAsia="Verdana" w:cs="Times New Roman"/>
        </w:rPr>
        <w:t xml:space="preserve"> </w:t>
      </w:r>
      <w:r w:rsidR="00245259" w:rsidRPr="00BF281D">
        <w:rPr>
          <w:rFonts w:eastAsia="Verdana" w:cs="Times New Roman"/>
        </w:rPr>
        <w:t xml:space="preserve">be properly addressed. Option 2 is also </w:t>
      </w:r>
      <w:r w:rsidR="00A36B1F">
        <w:rPr>
          <w:rFonts w:eastAsia="Verdana" w:cs="Times New Roman"/>
        </w:rPr>
        <w:t>best placed to enable</w:t>
      </w:r>
      <w:r w:rsidR="00245259" w:rsidRPr="00BF281D">
        <w:rPr>
          <w:rFonts w:eastAsia="Verdana" w:cs="Times New Roman"/>
        </w:rPr>
        <w:t xml:space="preserve"> risk identification and mitigation, due to its more detailed information and reporting requirements. </w:t>
      </w:r>
    </w:p>
    <w:p w14:paraId="7B27DE5B" w14:textId="439401E2" w:rsidR="00245259" w:rsidRPr="00BF281D" w:rsidRDefault="00245259" w:rsidP="00245259">
      <w:pPr>
        <w:rPr>
          <w:rFonts w:eastAsia="Verdana" w:cs="Times New Roman"/>
        </w:rPr>
      </w:pPr>
      <w:r w:rsidRPr="00BF281D">
        <w:rPr>
          <w:rFonts w:eastAsia="Verdana" w:cs="Times New Roman"/>
        </w:rPr>
        <w:t xml:space="preserve">On the costs side, the Base Case </w:t>
      </w:r>
      <w:r w:rsidR="009243DE">
        <w:rPr>
          <w:rFonts w:eastAsia="Verdana" w:cs="Times New Roman"/>
        </w:rPr>
        <w:t>of</w:t>
      </w:r>
      <w:r w:rsidRPr="00BF281D">
        <w:rPr>
          <w:rFonts w:eastAsia="Verdana" w:cs="Times New Roman"/>
        </w:rPr>
        <w:t xml:space="preserve"> </w:t>
      </w:r>
      <w:r w:rsidR="008D13F2">
        <w:rPr>
          <w:rFonts w:eastAsia="Verdana" w:cs="Times New Roman"/>
        </w:rPr>
        <w:t>the regulations sunsetting</w:t>
      </w:r>
      <w:r w:rsidR="00064BD0">
        <w:rPr>
          <w:rFonts w:eastAsia="Verdana" w:cs="Times New Roman"/>
        </w:rPr>
        <w:t xml:space="preserve"> </w:t>
      </w:r>
      <w:r w:rsidRPr="00BF281D">
        <w:rPr>
          <w:rFonts w:eastAsia="Verdana" w:cs="Times New Roman"/>
        </w:rPr>
        <w:t xml:space="preserve">is the most expensive option for both industry and government, due to the risk that it </w:t>
      </w:r>
      <w:r w:rsidR="008E798A">
        <w:rPr>
          <w:rFonts w:eastAsia="Verdana" w:cs="Times New Roman"/>
        </w:rPr>
        <w:t>could</w:t>
      </w:r>
      <w:r w:rsidR="008E798A" w:rsidRPr="00BF281D">
        <w:rPr>
          <w:rFonts w:eastAsia="Verdana" w:cs="Times New Roman"/>
        </w:rPr>
        <w:t xml:space="preserve"> </w:t>
      </w:r>
      <w:r w:rsidRPr="00BF281D">
        <w:rPr>
          <w:rFonts w:eastAsia="Verdana" w:cs="Times New Roman"/>
        </w:rPr>
        <w:t xml:space="preserve">effectively halt the relevant activity.  </w:t>
      </w:r>
      <w:r w:rsidR="00D61B37">
        <w:rPr>
          <w:rFonts w:eastAsia="Verdana" w:cs="Times New Roman"/>
        </w:rPr>
        <w:t>All</w:t>
      </w:r>
      <w:r w:rsidRPr="00BF281D">
        <w:rPr>
          <w:rFonts w:eastAsia="Verdana" w:cs="Times New Roman"/>
        </w:rPr>
        <w:t xml:space="preserve"> costs in the Status Quo and Options 1 and 2 have </w:t>
      </w:r>
      <w:r w:rsidR="00D61B37">
        <w:rPr>
          <w:rFonts w:eastAsia="Verdana" w:cs="Times New Roman"/>
        </w:rPr>
        <w:t>receive</w:t>
      </w:r>
      <w:r w:rsidR="00F00492">
        <w:rPr>
          <w:rFonts w:eastAsia="Verdana" w:cs="Times New Roman"/>
        </w:rPr>
        <w:t>d</w:t>
      </w:r>
      <w:r w:rsidRPr="00BF281D">
        <w:rPr>
          <w:rFonts w:eastAsia="Verdana" w:cs="Times New Roman"/>
        </w:rPr>
        <w:t xml:space="preserve"> a positive score compared to the Base Case </w:t>
      </w:r>
      <w:r w:rsidR="00D61B37">
        <w:rPr>
          <w:rFonts w:eastAsia="Verdana" w:cs="Times New Roman"/>
        </w:rPr>
        <w:t xml:space="preserve">(a </w:t>
      </w:r>
      <w:r w:rsidRPr="00BF281D">
        <w:rPr>
          <w:rFonts w:eastAsia="Verdana" w:cs="Times New Roman"/>
        </w:rPr>
        <w:t>positive costs score means that the Status Quo or Option 1 or 2 is lower cost compared to the Base Case</w:t>
      </w:r>
      <w:r w:rsidR="00765009">
        <w:rPr>
          <w:rFonts w:eastAsia="Verdana" w:cs="Times New Roman"/>
        </w:rPr>
        <w:t>)</w:t>
      </w:r>
      <w:r w:rsidRPr="00BF281D">
        <w:rPr>
          <w:rFonts w:eastAsia="Verdana" w:cs="Times New Roman"/>
        </w:rPr>
        <w:t xml:space="preserve">. </w:t>
      </w:r>
      <w:r w:rsidR="00765009">
        <w:rPr>
          <w:rFonts w:eastAsia="Verdana" w:cs="Times New Roman"/>
        </w:rPr>
        <w:t>When comparing options, the</w:t>
      </w:r>
      <w:r w:rsidR="00F43390" w:rsidRPr="00BF281D">
        <w:rPr>
          <w:rFonts w:eastAsia="Verdana" w:cs="Times New Roman"/>
        </w:rPr>
        <w:t xml:space="preserve"> </w:t>
      </w:r>
      <w:r w:rsidRPr="00BF281D">
        <w:rPr>
          <w:rFonts w:eastAsia="Verdana" w:cs="Times New Roman"/>
        </w:rPr>
        <w:t>higher</w:t>
      </w:r>
      <w:r w:rsidR="00765009">
        <w:rPr>
          <w:rFonts w:eastAsia="Verdana" w:cs="Times New Roman"/>
        </w:rPr>
        <w:t xml:space="preserve"> the costs</w:t>
      </w:r>
      <w:r w:rsidRPr="00BF281D">
        <w:rPr>
          <w:rFonts w:eastAsia="Verdana" w:cs="Times New Roman"/>
        </w:rPr>
        <w:t xml:space="preserve"> score</w:t>
      </w:r>
      <w:r w:rsidR="00765009">
        <w:rPr>
          <w:rFonts w:eastAsia="Verdana" w:cs="Times New Roman"/>
        </w:rPr>
        <w:t>,</w:t>
      </w:r>
      <w:r w:rsidR="00F43390">
        <w:rPr>
          <w:rFonts w:eastAsia="Verdana" w:cs="Times New Roman"/>
        </w:rPr>
        <w:t xml:space="preserve"> </w:t>
      </w:r>
      <w:r w:rsidR="00765009">
        <w:rPr>
          <w:rFonts w:eastAsia="Verdana" w:cs="Times New Roman"/>
        </w:rPr>
        <w:t>the</w:t>
      </w:r>
      <w:r w:rsidRPr="00BF281D">
        <w:rPr>
          <w:rFonts w:eastAsia="Verdana" w:cs="Times New Roman"/>
        </w:rPr>
        <w:t xml:space="preserve"> lower</w:t>
      </w:r>
      <w:r w:rsidR="00765009">
        <w:rPr>
          <w:rFonts w:eastAsia="Verdana" w:cs="Times New Roman"/>
        </w:rPr>
        <w:t xml:space="preserve"> the</w:t>
      </w:r>
      <w:r w:rsidRPr="00BF281D">
        <w:rPr>
          <w:rFonts w:eastAsia="Verdana" w:cs="Times New Roman"/>
        </w:rPr>
        <w:t xml:space="preserve"> cost.   </w:t>
      </w:r>
    </w:p>
    <w:p w14:paraId="438A55A0" w14:textId="2763A467" w:rsidR="00245259" w:rsidRPr="00817682" w:rsidRDefault="00245259" w:rsidP="00245259">
      <w:pPr>
        <w:rPr>
          <w:rFonts w:eastAsia="Verdana" w:cs="Times New Roman"/>
        </w:rPr>
      </w:pPr>
      <w:r w:rsidRPr="00BF281D">
        <w:rPr>
          <w:rFonts w:eastAsia="Verdana" w:cs="Times New Roman"/>
        </w:rPr>
        <w:t>In Option 2, the industry costs are likely to be higher</w:t>
      </w:r>
      <w:r w:rsidR="00765009">
        <w:rPr>
          <w:rFonts w:eastAsia="Verdana" w:cs="Times New Roman"/>
        </w:rPr>
        <w:t xml:space="preserve"> overall</w:t>
      </w:r>
      <w:r w:rsidRPr="00BF281D">
        <w:rPr>
          <w:rFonts w:eastAsia="Verdana" w:cs="Times New Roman"/>
        </w:rPr>
        <w:t xml:space="preserve"> </w:t>
      </w:r>
      <w:r w:rsidR="00765009">
        <w:rPr>
          <w:rFonts w:eastAsia="Verdana" w:cs="Times New Roman"/>
        </w:rPr>
        <w:t>when compared to</w:t>
      </w:r>
      <w:r w:rsidRPr="00BF281D">
        <w:rPr>
          <w:rFonts w:eastAsia="Verdana" w:cs="Times New Roman"/>
        </w:rPr>
        <w:t xml:space="preserve"> Option 1 because of the additional reporting and information requirements,</w:t>
      </w:r>
      <w:r w:rsidR="00AB131C">
        <w:rPr>
          <w:rFonts w:eastAsia="Verdana" w:cs="Times New Roman"/>
        </w:rPr>
        <w:t xml:space="preserve"> and this is re</w:t>
      </w:r>
      <w:r w:rsidR="00210272">
        <w:rPr>
          <w:rFonts w:eastAsia="Verdana" w:cs="Times New Roman"/>
        </w:rPr>
        <w:t>f</w:t>
      </w:r>
      <w:r w:rsidR="00AB131C">
        <w:rPr>
          <w:rFonts w:eastAsia="Verdana" w:cs="Times New Roman"/>
        </w:rPr>
        <w:t>lected in the lower score. H</w:t>
      </w:r>
      <w:r w:rsidRPr="00BF281D">
        <w:rPr>
          <w:rFonts w:eastAsia="Verdana" w:cs="Times New Roman"/>
        </w:rPr>
        <w:t>owever</w:t>
      </w:r>
      <w:r w:rsidR="00210272">
        <w:rPr>
          <w:rFonts w:eastAsia="Verdana" w:cs="Times New Roman"/>
        </w:rPr>
        <w:t>,</w:t>
      </w:r>
      <w:r w:rsidRPr="00BF281D">
        <w:rPr>
          <w:rFonts w:eastAsia="Verdana" w:cs="Times New Roman"/>
        </w:rPr>
        <w:t xml:space="preserve"> these costs are offset by </w:t>
      </w:r>
      <w:r w:rsidR="002C28A1">
        <w:rPr>
          <w:rFonts w:eastAsia="Verdana" w:cs="Times New Roman"/>
        </w:rPr>
        <w:t xml:space="preserve">the benefits </w:t>
      </w:r>
      <w:r w:rsidR="00AA7379">
        <w:rPr>
          <w:rFonts w:eastAsia="Verdana" w:cs="Times New Roman"/>
        </w:rPr>
        <w:t xml:space="preserve">this additional activity will provide. </w:t>
      </w:r>
      <w:r w:rsidRPr="00817682">
        <w:rPr>
          <w:rFonts w:eastAsia="Verdana" w:cs="Times New Roman"/>
        </w:rPr>
        <w:t xml:space="preserve"> </w:t>
      </w:r>
    </w:p>
    <w:p w14:paraId="5B55D29C" w14:textId="0001A479" w:rsidR="00245259" w:rsidRPr="00BF281D" w:rsidRDefault="00245259" w:rsidP="00245259">
      <w:pPr>
        <w:rPr>
          <w:rFonts w:eastAsia="Verdana" w:cs="Times New Roman"/>
        </w:rPr>
      </w:pPr>
      <w:r w:rsidRPr="00BF281D">
        <w:rPr>
          <w:rFonts w:eastAsia="Verdana" w:cs="Times New Roman"/>
        </w:rPr>
        <w:t xml:space="preserve">In using the MCA to calculate the benefit-cost ratio, the higher costs for industry in Option 2 are outweighed by the strong benefits of building </w:t>
      </w:r>
      <w:r w:rsidR="0054704E">
        <w:rPr>
          <w:rFonts w:eastAsia="Verdana" w:cs="Times New Roman"/>
        </w:rPr>
        <w:t>social license</w:t>
      </w:r>
      <w:r w:rsidRPr="00BF281D">
        <w:rPr>
          <w:rFonts w:eastAsia="Verdana" w:cs="Times New Roman"/>
        </w:rPr>
        <w:t xml:space="preserve"> and reducing risk to amenity, the </w:t>
      </w:r>
      <w:proofErr w:type="gramStart"/>
      <w:r w:rsidRPr="00BF281D">
        <w:rPr>
          <w:rFonts w:eastAsia="Verdana" w:cs="Times New Roman"/>
        </w:rPr>
        <w:t>environment</w:t>
      </w:r>
      <w:proofErr w:type="gramEnd"/>
      <w:r w:rsidRPr="00BF281D">
        <w:rPr>
          <w:rFonts w:eastAsia="Verdana" w:cs="Times New Roman"/>
        </w:rPr>
        <w:t xml:space="preserve"> and communities, which were identified as key outcomes of the V</w:t>
      </w:r>
      <w:r w:rsidR="00765009">
        <w:rPr>
          <w:rFonts w:eastAsia="Verdana" w:cs="Times New Roman"/>
        </w:rPr>
        <w:t>ictorian Gas Program</w:t>
      </w:r>
      <w:r w:rsidRPr="00BF281D">
        <w:rPr>
          <w:rFonts w:eastAsia="Verdana" w:cs="Times New Roman"/>
        </w:rPr>
        <w:t xml:space="preserve">. The additional levels of reporting and community engagement in Option 2 will be key to achieving those benefit criteria. This will help to build trust in the industry </w:t>
      </w:r>
      <w:r w:rsidR="00F43390" w:rsidRPr="00BF281D">
        <w:rPr>
          <w:rFonts w:eastAsia="Verdana" w:cs="Times New Roman"/>
        </w:rPr>
        <w:t>long-term and</w:t>
      </w:r>
      <w:r w:rsidRPr="00BF281D">
        <w:rPr>
          <w:rFonts w:eastAsia="Verdana" w:cs="Times New Roman"/>
        </w:rPr>
        <w:t xml:space="preserve"> ensure the best outcomes for all Victorians.</w:t>
      </w:r>
    </w:p>
    <w:p w14:paraId="164FCA23" w14:textId="4616E3CD" w:rsidR="00B5561C" w:rsidRDefault="00B5561C" w:rsidP="00245259">
      <w:pPr>
        <w:rPr>
          <w:rFonts w:eastAsia="Verdana" w:cs="Times New Roman"/>
        </w:rPr>
      </w:pPr>
      <w:r>
        <w:rPr>
          <w:rFonts w:eastAsia="Verdana" w:cs="Times New Roman"/>
        </w:rPr>
        <w:t xml:space="preserve">The following table </w:t>
      </w:r>
      <w:r w:rsidR="004B640F">
        <w:rPr>
          <w:rFonts w:eastAsia="Verdana" w:cs="Times New Roman"/>
        </w:rPr>
        <w:t>compares the preferred option (Option 2</w:t>
      </w:r>
      <w:proofErr w:type="gramStart"/>
      <w:r w:rsidR="004B640F">
        <w:rPr>
          <w:rFonts w:eastAsia="Verdana" w:cs="Times New Roman"/>
        </w:rPr>
        <w:t xml:space="preserve">) </w:t>
      </w:r>
      <w:r w:rsidR="00525227">
        <w:rPr>
          <w:rFonts w:eastAsia="Verdana" w:cs="Times New Roman"/>
        </w:rPr>
        <w:t xml:space="preserve"> to</w:t>
      </w:r>
      <w:proofErr w:type="gramEnd"/>
      <w:r w:rsidR="00525227">
        <w:rPr>
          <w:rFonts w:eastAsia="Verdana" w:cs="Times New Roman"/>
        </w:rPr>
        <w:t xml:space="preserve"> the</w:t>
      </w:r>
      <w:r w:rsidR="00B22C8C">
        <w:rPr>
          <w:rFonts w:eastAsia="Verdana" w:cs="Times New Roman"/>
        </w:rPr>
        <w:t xml:space="preserve"> </w:t>
      </w:r>
      <w:r w:rsidR="003E05A3">
        <w:rPr>
          <w:rFonts w:eastAsia="Verdana" w:cs="Times New Roman"/>
        </w:rPr>
        <w:t>current regulations</w:t>
      </w:r>
      <w:r w:rsidR="004B640F">
        <w:rPr>
          <w:rFonts w:eastAsia="Verdana" w:cs="Times New Roman"/>
        </w:rPr>
        <w:t xml:space="preserve"> (</w:t>
      </w:r>
      <w:r w:rsidR="003E05A3">
        <w:rPr>
          <w:rFonts w:eastAsia="Verdana" w:cs="Times New Roman"/>
        </w:rPr>
        <w:t>Status Quo</w:t>
      </w:r>
      <w:r w:rsidR="004B640F">
        <w:rPr>
          <w:rFonts w:eastAsia="Verdana" w:cs="Times New Roman"/>
        </w:rPr>
        <w:t>) to illustrate changes</w:t>
      </w:r>
      <w:r w:rsidR="00525227">
        <w:rPr>
          <w:rFonts w:eastAsia="Verdana" w:cs="Times New Roman"/>
        </w:rPr>
        <w:t xml:space="preserve">. </w:t>
      </w:r>
    </w:p>
    <w:tbl>
      <w:tblPr>
        <w:tblStyle w:val="Deloittetable"/>
        <w:tblW w:w="10773" w:type="dxa"/>
        <w:tblLayout w:type="fixed"/>
        <w:tblLook w:val="06A0" w:firstRow="1" w:lastRow="0" w:firstColumn="1" w:lastColumn="0" w:noHBand="1" w:noVBand="1"/>
      </w:tblPr>
      <w:tblGrid>
        <w:gridCol w:w="2552"/>
        <w:gridCol w:w="2694"/>
        <w:gridCol w:w="5527"/>
      </w:tblGrid>
      <w:tr w:rsidR="00B5561C" w:rsidRPr="00BF281D" w14:paraId="47A67850" w14:textId="77777777" w:rsidTr="002B2748">
        <w:trPr>
          <w:cnfStyle w:val="100000000000" w:firstRow="1" w:lastRow="0" w:firstColumn="0" w:lastColumn="0" w:oddVBand="0" w:evenVBand="0" w:oddHBand="0" w:evenHBand="0" w:firstRowFirstColumn="0" w:firstRowLastColumn="0" w:lastRowFirstColumn="0" w:lastRowLastColumn="0"/>
          <w:trHeight w:val="456"/>
          <w:tblHeader/>
        </w:trPr>
        <w:tc>
          <w:tcPr>
            <w:tcW w:w="2552" w:type="dxa"/>
          </w:tcPr>
          <w:p w14:paraId="3169BAFB" w14:textId="77777777" w:rsidR="00B5561C" w:rsidRPr="00BF281D" w:rsidRDefault="00B5561C" w:rsidP="007C761D">
            <w:pPr>
              <w:spacing w:line="259" w:lineRule="auto"/>
              <w:jc w:val="center"/>
              <w:rPr>
                <w:rFonts w:asciiTheme="minorHAnsi" w:hAnsiTheme="minorHAnsi"/>
                <w:b/>
                <w:bCs/>
                <w:sz w:val="18"/>
              </w:rPr>
            </w:pPr>
            <w:r w:rsidRPr="00BF281D">
              <w:rPr>
                <w:rFonts w:asciiTheme="minorHAnsi" w:hAnsiTheme="minorHAnsi"/>
                <w:b/>
                <w:bCs/>
                <w:sz w:val="18"/>
              </w:rPr>
              <w:t>Area of Act</w:t>
            </w:r>
          </w:p>
        </w:tc>
        <w:tc>
          <w:tcPr>
            <w:tcW w:w="2694" w:type="dxa"/>
          </w:tcPr>
          <w:p w14:paraId="403708E0" w14:textId="3C1F741F" w:rsidR="00B5561C" w:rsidRPr="00BF281D" w:rsidRDefault="003E05A3" w:rsidP="007C761D">
            <w:pPr>
              <w:spacing w:line="259" w:lineRule="auto"/>
              <w:jc w:val="center"/>
              <w:rPr>
                <w:rFonts w:asciiTheme="minorHAnsi" w:hAnsiTheme="minorHAnsi"/>
                <w:b/>
                <w:bCs/>
                <w:sz w:val="18"/>
              </w:rPr>
            </w:pPr>
            <w:r>
              <w:rPr>
                <w:rFonts w:asciiTheme="minorHAnsi" w:hAnsiTheme="minorHAnsi"/>
                <w:b/>
                <w:bCs/>
                <w:sz w:val="18"/>
              </w:rPr>
              <w:t xml:space="preserve">Current Regulations - </w:t>
            </w:r>
            <w:r w:rsidR="00B5561C" w:rsidRPr="00BF281D">
              <w:rPr>
                <w:rFonts w:asciiTheme="minorHAnsi" w:hAnsiTheme="minorHAnsi"/>
                <w:b/>
                <w:bCs/>
                <w:sz w:val="18"/>
              </w:rPr>
              <w:t>2011 Petroleum Regulations</w:t>
            </w:r>
          </w:p>
        </w:tc>
        <w:tc>
          <w:tcPr>
            <w:tcW w:w="5527" w:type="dxa"/>
          </w:tcPr>
          <w:p w14:paraId="2F7D030A" w14:textId="77777777" w:rsidR="004B640F" w:rsidRDefault="004B640F" w:rsidP="007C761D">
            <w:pPr>
              <w:jc w:val="center"/>
              <w:rPr>
                <w:rFonts w:asciiTheme="minorHAnsi" w:hAnsiTheme="minorHAnsi"/>
                <w:b/>
                <w:bCs/>
                <w:sz w:val="18"/>
              </w:rPr>
            </w:pPr>
            <w:r>
              <w:rPr>
                <w:rFonts w:asciiTheme="minorHAnsi" w:hAnsiTheme="minorHAnsi"/>
                <w:b/>
                <w:bCs/>
                <w:sz w:val="18"/>
              </w:rPr>
              <w:t xml:space="preserve">Preferred Option </w:t>
            </w:r>
          </w:p>
          <w:p w14:paraId="5FA13CCD" w14:textId="25CC73A3" w:rsidR="00B5561C" w:rsidRPr="00BF281D" w:rsidRDefault="00B5561C" w:rsidP="007C761D">
            <w:pPr>
              <w:jc w:val="center"/>
              <w:rPr>
                <w:rFonts w:asciiTheme="minorHAnsi" w:hAnsiTheme="minorHAnsi"/>
                <w:b/>
                <w:bCs/>
                <w:sz w:val="18"/>
              </w:rPr>
            </w:pPr>
            <w:r w:rsidRPr="00BF281D">
              <w:rPr>
                <w:rFonts w:asciiTheme="minorHAnsi" w:hAnsiTheme="minorHAnsi"/>
                <w:b/>
                <w:bCs/>
                <w:sz w:val="18"/>
              </w:rPr>
              <w:t>Option 2 – Standards based</w:t>
            </w:r>
          </w:p>
        </w:tc>
      </w:tr>
      <w:tr w:rsidR="00B5561C" w:rsidRPr="00BF281D" w14:paraId="76F302BA" w14:textId="77777777" w:rsidTr="002B2748">
        <w:trPr>
          <w:trHeight w:val="5030"/>
        </w:trPr>
        <w:tc>
          <w:tcPr>
            <w:tcW w:w="2552" w:type="dxa"/>
          </w:tcPr>
          <w:p w14:paraId="586267DB" w14:textId="77777777" w:rsidR="00B5561C" w:rsidRPr="00BF281D" w:rsidRDefault="00B5561C" w:rsidP="007C761D">
            <w:pPr>
              <w:spacing w:line="259" w:lineRule="auto"/>
              <w:rPr>
                <w:rFonts w:asciiTheme="minorHAnsi" w:hAnsiTheme="minorHAnsi"/>
                <w:sz w:val="16"/>
                <w:szCs w:val="16"/>
              </w:rPr>
            </w:pPr>
            <w:r w:rsidRPr="00BF281D">
              <w:rPr>
                <w:rFonts w:asciiTheme="minorHAnsi" w:hAnsiTheme="minorHAnsi"/>
                <w:b/>
                <w:bCs/>
                <w:sz w:val="16"/>
                <w:szCs w:val="16"/>
              </w:rPr>
              <w:t>Authority applications / grant</w:t>
            </w:r>
          </w:p>
          <w:p w14:paraId="523731BF" w14:textId="77777777" w:rsidR="00B5561C" w:rsidRPr="00BF281D" w:rsidRDefault="00B5561C" w:rsidP="007C761D">
            <w:pPr>
              <w:pStyle w:val="ListParagraph"/>
              <w:numPr>
                <w:ilvl w:val="0"/>
                <w:numId w:val="46"/>
              </w:numPr>
              <w:spacing w:after="0" w:line="259" w:lineRule="auto"/>
              <w:rPr>
                <w:rFonts w:asciiTheme="minorHAnsi" w:eastAsiaTheme="minorEastAsia" w:hAnsiTheme="minorHAnsi"/>
                <w:sz w:val="16"/>
                <w:szCs w:val="16"/>
              </w:rPr>
            </w:pPr>
            <w:r w:rsidRPr="00BF281D">
              <w:rPr>
                <w:rFonts w:asciiTheme="minorHAnsi" w:hAnsiTheme="minorHAnsi"/>
                <w:sz w:val="16"/>
                <w:szCs w:val="16"/>
              </w:rPr>
              <w:t>work program and other application requirements for permits, leases, licenses, tenders</w:t>
            </w:r>
          </w:p>
          <w:p w14:paraId="2A7C4986" w14:textId="77777777" w:rsidR="00B5561C" w:rsidRPr="00BF281D" w:rsidRDefault="00B5561C" w:rsidP="007C761D">
            <w:pPr>
              <w:pStyle w:val="ListParagraph"/>
              <w:numPr>
                <w:ilvl w:val="0"/>
                <w:numId w:val="46"/>
              </w:numPr>
              <w:spacing w:after="0" w:line="259" w:lineRule="auto"/>
              <w:rPr>
                <w:rFonts w:asciiTheme="minorHAnsi" w:eastAsiaTheme="minorEastAsia" w:hAnsiTheme="minorHAnsi"/>
                <w:sz w:val="16"/>
                <w:szCs w:val="16"/>
              </w:rPr>
            </w:pPr>
            <w:r w:rsidRPr="00BF281D">
              <w:rPr>
                <w:rFonts w:asciiTheme="minorHAnsi" w:hAnsiTheme="minorHAnsi"/>
                <w:sz w:val="16"/>
                <w:szCs w:val="16"/>
              </w:rPr>
              <w:t>public input processes to tender/grant decision</w:t>
            </w:r>
          </w:p>
          <w:p w14:paraId="7D1D6B0C" w14:textId="77777777" w:rsidR="00B5561C" w:rsidRPr="00BF281D" w:rsidRDefault="00B5561C" w:rsidP="007C761D">
            <w:pPr>
              <w:pStyle w:val="ListParagraph"/>
              <w:numPr>
                <w:ilvl w:val="0"/>
                <w:numId w:val="46"/>
              </w:numPr>
              <w:spacing w:after="0" w:line="259" w:lineRule="auto"/>
              <w:rPr>
                <w:rFonts w:asciiTheme="minorHAnsi" w:eastAsiaTheme="minorEastAsia" w:hAnsiTheme="minorHAnsi"/>
                <w:sz w:val="16"/>
                <w:szCs w:val="16"/>
              </w:rPr>
            </w:pPr>
            <w:r w:rsidRPr="00BF281D">
              <w:rPr>
                <w:rFonts w:asciiTheme="minorHAnsi" w:hAnsiTheme="minorHAnsi"/>
                <w:sz w:val="16"/>
                <w:szCs w:val="16"/>
              </w:rPr>
              <w:t>decision-making criteria</w:t>
            </w:r>
          </w:p>
          <w:p w14:paraId="6CA0B59A" w14:textId="77777777" w:rsidR="00B5561C" w:rsidRPr="00BF281D" w:rsidRDefault="00B5561C" w:rsidP="007C761D">
            <w:pPr>
              <w:pStyle w:val="ListParagraph"/>
              <w:numPr>
                <w:ilvl w:val="0"/>
                <w:numId w:val="46"/>
              </w:numPr>
              <w:spacing w:after="0" w:line="259" w:lineRule="auto"/>
              <w:rPr>
                <w:rFonts w:asciiTheme="minorHAnsi" w:hAnsiTheme="minorHAnsi"/>
                <w:sz w:val="16"/>
                <w:szCs w:val="16"/>
              </w:rPr>
            </w:pPr>
            <w:r w:rsidRPr="00BF281D">
              <w:rPr>
                <w:rFonts w:asciiTheme="minorHAnsi" w:hAnsiTheme="minorHAnsi"/>
                <w:sz w:val="16"/>
                <w:szCs w:val="16"/>
              </w:rPr>
              <w:t>licence conditions</w:t>
            </w:r>
          </w:p>
          <w:p w14:paraId="6C63B3BA" w14:textId="77777777" w:rsidR="00B5561C" w:rsidRPr="00BF281D" w:rsidRDefault="00B5561C" w:rsidP="007C761D">
            <w:pPr>
              <w:pStyle w:val="ListParagraph"/>
              <w:numPr>
                <w:ilvl w:val="0"/>
                <w:numId w:val="46"/>
              </w:numPr>
              <w:spacing w:after="0" w:line="259" w:lineRule="auto"/>
              <w:rPr>
                <w:rFonts w:asciiTheme="minorHAnsi" w:hAnsiTheme="minorHAnsi"/>
                <w:sz w:val="16"/>
                <w:szCs w:val="16"/>
              </w:rPr>
            </w:pPr>
            <w:r w:rsidRPr="00BF281D">
              <w:rPr>
                <w:rFonts w:asciiTheme="minorHAnsi" w:hAnsiTheme="minorHAnsi"/>
                <w:sz w:val="16"/>
                <w:szCs w:val="16"/>
              </w:rPr>
              <w:t>administrative processes following grant decision</w:t>
            </w:r>
          </w:p>
          <w:p w14:paraId="47F2DE3B" w14:textId="77777777" w:rsidR="00B5561C" w:rsidRPr="00BF281D" w:rsidRDefault="00B5561C" w:rsidP="007C761D">
            <w:pPr>
              <w:pStyle w:val="ListParagraph"/>
              <w:numPr>
                <w:ilvl w:val="0"/>
                <w:numId w:val="46"/>
              </w:numPr>
              <w:spacing w:after="0" w:line="259" w:lineRule="auto"/>
              <w:rPr>
                <w:rFonts w:asciiTheme="minorHAnsi" w:hAnsiTheme="minorHAnsi"/>
                <w:sz w:val="16"/>
                <w:szCs w:val="16"/>
              </w:rPr>
            </w:pPr>
            <w:r w:rsidRPr="00BF281D">
              <w:rPr>
                <w:rFonts w:asciiTheme="minorHAnsi" w:hAnsiTheme="minorHAnsi"/>
                <w:sz w:val="16"/>
                <w:szCs w:val="16"/>
              </w:rPr>
              <w:t xml:space="preserve">special access authorisations / special drilling authorisations </w:t>
            </w:r>
          </w:p>
        </w:tc>
        <w:tc>
          <w:tcPr>
            <w:tcW w:w="2694" w:type="dxa"/>
          </w:tcPr>
          <w:p w14:paraId="4B445A6B" w14:textId="77777777" w:rsidR="00B5561C" w:rsidRPr="00BF281D" w:rsidRDefault="00B5561C" w:rsidP="007C761D">
            <w:pPr>
              <w:pStyle w:val="ListParagraph"/>
              <w:numPr>
                <w:ilvl w:val="0"/>
                <w:numId w:val="46"/>
              </w:numPr>
              <w:spacing w:after="0" w:line="240" w:lineRule="auto"/>
              <w:rPr>
                <w:rFonts w:asciiTheme="minorHAnsi" w:eastAsiaTheme="minorEastAsia" w:hAnsiTheme="minorHAnsi"/>
                <w:sz w:val="16"/>
                <w:szCs w:val="16"/>
              </w:rPr>
            </w:pPr>
            <w:r w:rsidRPr="00BF281D">
              <w:rPr>
                <w:rFonts w:asciiTheme="minorHAnsi" w:hAnsiTheme="minorHAnsi"/>
                <w:sz w:val="16"/>
                <w:szCs w:val="16"/>
              </w:rPr>
              <w:t>No additional prescribed requirements in relation to these matters (the Act requirements apply)</w:t>
            </w:r>
          </w:p>
          <w:p w14:paraId="184DA4AC" w14:textId="77777777" w:rsidR="00B5561C" w:rsidRPr="00BF281D" w:rsidRDefault="00B5561C" w:rsidP="007C761D">
            <w:pPr>
              <w:pStyle w:val="ListParagraph"/>
              <w:numPr>
                <w:ilvl w:val="0"/>
                <w:numId w:val="46"/>
              </w:numPr>
              <w:spacing w:after="0" w:line="240" w:lineRule="auto"/>
              <w:rPr>
                <w:rFonts w:asciiTheme="minorHAnsi" w:hAnsiTheme="minorHAnsi"/>
                <w:sz w:val="16"/>
                <w:szCs w:val="16"/>
              </w:rPr>
            </w:pPr>
            <w:r w:rsidRPr="00BF281D">
              <w:rPr>
                <w:rFonts w:asciiTheme="minorHAnsi" w:hAnsiTheme="minorHAnsi"/>
                <w:sz w:val="16"/>
                <w:szCs w:val="16"/>
              </w:rPr>
              <w:t>Note: New legislative provisions for advertising, public comment, and prescribing decision-making criteria will take effect 1 July 2021</w:t>
            </w:r>
          </w:p>
        </w:tc>
        <w:tc>
          <w:tcPr>
            <w:tcW w:w="5527" w:type="dxa"/>
          </w:tcPr>
          <w:p w14:paraId="4ECA69E6" w14:textId="3F7BA0CB" w:rsidR="00B5561C" w:rsidRPr="00BF281D" w:rsidRDefault="00B5561C" w:rsidP="007C761D">
            <w:pPr>
              <w:pStyle w:val="ListParagraph"/>
              <w:numPr>
                <w:ilvl w:val="0"/>
                <w:numId w:val="43"/>
              </w:numPr>
              <w:spacing w:after="0" w:line="240" w:lineRule="auto"/>
              <w:rPr>
                <w:rFonts w:asciiTheme="minorHAnsi" w:eastAsiaTheme="minorEastAsia" w:hAnsiTheme="minorHAnsi"/>
                <w:sz w:val="16"/>
                <w:szCs w:val="16"/>
              </w:rPr>
            </w:pPr>
            <w:r w:rsidRPr="00BF281D">
              <w:rPr>
                <w:rFonts w:asciiTheme="minorHAnsi" w:hAnsiTheme="minorHAnsi"/>
                <w:sz w:val="16"/>
                <w:szCs w:val="16"/>
              </w:rPr>
              <w:t xml:space="preserve">Regulations to explicitly prescribe licensing and application requirements, including risk/impact assessment information </w:t>
            </w:r>
          </w:p>
          <w:p w14:paraId="464D6B01" w14:textId="77777777" w:rsidR="00B5561C" w:rsidRPr="00BF281D" w:rsidRDefault="00B5561C" w:rsidP="007C761D">
            <w:pPr>
              <w:pStyle w:val="ListParagraph"/>
              <w:numPr>
                <w:ilvl w:val="0"/>
                <w:numId w:val="43"/>
              </w:numPr>
              <w:spacing w:after="0" w:line="240" w:lineRule="auto"/>
              <w:rPr>
                <w:rFonts w:asciiTheme="minorHAnsi" w:eastAsiaTheme="minorEastAsia" w:hAnsiTheme="minorHAnsi"/>
                <w:sz w:val="16"/>
                <w:szCs w:val="16"/>
              </w:rPr>
            </w:pPr>
            <w:r w:rsidRPr="00BF281D">
              <w:rPr>
                <w:rFonts w:asciiTheme="minorHAnsi" w:hAnsiTheme="minorHAnsi"/>
                <w:sz w:val="16"/>
                <w:szCs w:val="16"/>
              </w:rPr>
              <w:t xml:space="preserve">Application/notice requirements under the regulations would be detailed and specific and directly linked to the decision-making criteria </w:t>
            </w:r>
          </w:p>
          <w:p w14:paraId="230EE606" w14:textId="77777777" w:rsidR="00B5561C" w:rsidRPr="00BF281D" w:rsidRDefault="00B5561C" w:rsidP="007C761D">
            <w:pPr>
              <w:pStyle w:val="ListParagraph"/>
              <w:numPr>
                <w:ilvl w:val="0"/>
                <w:numId w:val="43"/>
              </w:numPr>
              <w:spacing w:after="0" w:line="240" w:lineRule="auto"/>
              <w:rPr>
                <w:rFonts w:asciiTheme="minorHAnsi" w:eastAsiaTheme="minorEastAsia" w:hAnsiTheme="minorHAnsi"/>
                <w:sz w:val="16"/>
                <w:szCs w:val="16"/>
              </w:rPr>
            </w:pPr>
            <w:r w:rsidRPr="00BF281D">
              <w:rPr>
                <w:rFonts w:asciiTheme="minorHAnsi" w:hAnsiTheme="minorHAnsi"/>
                <w:sz w:val="16"/>
                <w:szCs w:val="16"/>
              </w:rPr>
              <w:t xml:space="preserve">Strong prescription around Minister’s decisions; Minister’s decision-making power fettered by needing to </w:t>
            </w:r>
            <w:proofErr w:type="gramStart"/>
            <w:r w:rsidRPr="00BF281D">
              <w:rPr>
                <w:rFonts w:asciiTheme="minorHAnsi" w:hAnsiTheme="minorHAnsi"/>
                <w:sz w:val="16"/>
                <w:szCs w:val="16"/>
              </w:rPr>
              <w:t>take into account</w:t>
            </w:r>
            <w:proofErr w:type="gramEnd"/>
            <w:r w:rsidRPr="00BF281D">
              <w:rPr>
                <w:rFonts w:asciiTheme="minorHAnsi" w:hAnsiTheme="minorHAnsi"/>
                <w:sz w:val="16"/>
                <w:szCs w:val="16"/>
              </w:rPr>
              <w:t xml:space="preserve"> certain matters (including but not limited to specific social, environmental, economic factors, submissions etc.)</w:t>
            </w:r>
          </w:p>
          <w:p w14:paraId="0D9B33CC" w14:textId="77777777" w:rsidR="00B5561C" w:rsidRPr="00BF281D" w:rsidRDefault="00B5561C" w:rsidP="007C761D">
            <w:pPr>
              <w:pStyle w:val="ListParagraph"/>
              <w:numPr>
                <w:ilvl w:val="1"/>
                <w:numId w:val="43"/>
              </w:numPr>
              <w:spacing w:after="0" w:line="240" w:lineRule="auto"/>
              <w:rPr>
                <w:rFonts w:asciiTheme="minorHAnsi" w:eastAsiaTheme="minorEastAsia" w:hAnsiTheme="minorHAnsi"/>
                <w:sz w:val="16"/>
                <w:szCs w:val="16"/>
              </w:rPr>
            </w:pPr>
            <w:r w:rsidRPr="00BF281D">
              <w:rPr>
                <w:rFonts w:asciiTheme="minorHAnsi" w:hAnsiTheme="minorHAnsi"/>
                <w:sz w:val="16"/>
                <w:szCs w:val="16"/>
              </w:rPr>
              <w:t>Decision-making criteria involves a balancing test of benefits and impacts</w:t>
            </w:r>
          </w:p>
          <w:p w14:paraId="161ED4C1" w14:textId="77777777" w:rsidR="00B5561C" w:rsidRPr="00BF281D" w:rsidRDefault="00B5561C" w:rsidP="007C761D">
            <w:pPr>
              <w:pStyle w:val="ListParagraph"/>
              <w:numPr>
                <w:ilvl w:val="1"/>
                <w:numId w:val="43"/>
              </w:numPr>
              <w:spacing w:after="0" w:line="240" w:lineRule="auto"/>
              <w:rPr>
                <w:rFonts w:asciiTheme="minorHAnsi" w:hAnsiTheme="minorHAnsi"/>
                <w:sz w:val="16"/>
                <w:szCs w:val="16"/>
              </w:rPr>
            </w:pPr>
            <w:r w:rsidRPr="00BF281D">
              <w:rPr>
                <w:rFonts w:asciiTheme="minorHAnsi" w:hAnsiTheme="minorHAnsi"/>
                <w:sz w:val="16"/>
                <w:szCs w:val="16"/>
              </w:rPr>
              <w:t>Evidence of triple-bottom-line factors influenced by various sources, including public submissions, authority applicant/holder and existing govt data/assessment</w:t>
            </w:r>
          </w:p>
          <w:p w14:paraId="37D4BA11" w14:textId="77777777" w:rsidR="00B5561C" w:rsidRPr="00BF281D" w:rsidRDefault="00B5561C" w:rsidP="007C761D">
            <w:pPr>
              <w:pStyle w:val="ListParagraph"/>
              <w:numPr>
                <w:ilvl w:val="0"/>
                <w:numId w:val="43"/>
              </w:numPr>
              <w:spacing w:after="0" w:line="240" w:lineRule="auto"/>
              <w:rPr>
                <w:rFonts w:asciiTheme="minorHAnsi" w:eastAsiaTheme="minorEastAsia" w:hAnsiTheme="minorHAnsi"/>
                <w:sz w:val="16"/>
                <w:szCs w:val="16"/>
              </w:rPr>
            </w:pPr>
            <w:r w:rsidRPr="00BF281D">
              <w:rPr>
                <w:rFonts w:asciiTheme="minorHAnsi" w:hAnsiTheme="minorHAnsi"/>
                <w:sz w:val="16"/>
                <w:szCs w:val="16"/>
              </w:rPr>
              <w:t xml:space="preserve">A more prescriptive approach to community consultation, whereby in addition to the work program, authority holders would be required to specify and commit to undertaking community consultation around specified requirements under operation plan (see below). </w:t>
            </w:r>
          </w:p>
        </w:tc>
      </w:tr>
      <w:tr w:rsidR="00B5561C" w:rsidRPr="00BF281D" w14:paraId="27A4BEE0" w14:textId="77777777" w:rsidTr="002B2748">
        <w:trPr>
          <w:trHeight w:val="1190"/>
        </w:trPr>
        <w:tc>
          <w:tcPr>
            <w:tcW w:w="2552" w:type="dxa"/>
          </w:tcPr>
          <w:p w14:paraId="63BC90A1" w14:textId="77777777" w:rsidR="00B5561C" w:rsidRPr="00BF281D" w:rsidRDefault="00B5561C" w:rsidP="007C761D">
            <w:pPr>
              <w:rPr>
                <w:rFonts w:asciiTheme="minorHAnsi" w:hAnsiTheme="minorHAnsi"/>
                <w:b/>
                <w:bCs/>
                <w:sz w:val="16"/>
                <w:szCs w:val="16"/>
              </w:rPr>
            </w:pPr>
            <w:r w:rsidRPr="00BF281D">
              <w:rPr>
                <w:rFonts w:asciiTheme="minorHAnsi" w:hAnsiTheme="minorHAnsi"/>
                <w:b/>
                <w:bCs/>
                <w:sz w:val="16"/>
                <w:szCs w:val="16"/>
              </w:rPr>
              <w:lastRenderedPageBreak/>
              <w:t xml:space="preserve">Conduct of operations </w:t>
            </w:r>
          </w:p>
          <w:p w14:paraId="54056274" w14:textId="77777777" w:rsidR="00B5561C" w:rsidRPr="00BF281D" w:rsidRDefault="00B5561C" w:rsidP="007C761D">
            <w:pPr>
              <w:pStyle w:val="ListParagraph"/>
              <w:numPr>
                <w:ilvl w:val="0"/>
                <w:numId w:val="45"/>
              </w:numPr>
              <w:spacing w:after="0" w:line="240" w:lineRule="auto"/>
              <w:rPr>
                <w:rFonts w:asciiTheme="minorHAnsi" w:eastAsiaTheme="minorEastAsia" w:hAnsiTheme="minorHAnsi"/>
                <w:sz w:val="16"/>
                <w:szCs w:val="16"/>
              </w:rPr>
            </w:pPr>
            <w:r w:rsidRPr="00BF281D">
              <w:rPr>
                <w:rFonts w:asciiTheme="minorHAnsi" w:hAnsiTheme="minorHAnsi"/>
                <w:sz w:val="16"/>
                <w:szCs w:val="16"/>
              </w:rPr>
              <w:t>operation plan (including notice, consultation)</w:t>
            </w:r>
          </w:p>
          <w:p w14:paraId="6D9EE08B" w14:textId="77777777" w:rsidR="00B5561C" w:rsidRPr="00BF281D" w:rsidRDefault="00B5561C" w:rsidP="007C761D">
            <w:pPr>
              <w:pStyle w:val="ListParagraph"/>
              <w:numPr>
                <w:ilvl w:val="0"/>
                <w:numId w:val="45"/>
              </w:numPr>
              <w:spacing w:after="0" w:line="240" w:lineRule="auto"/>
              <w:rPr>
                <w:rFonts w:asciiTheme="minorHAnsi" w:hAnsiTheme="minorHAnsi"/>
                <w:sz w:val="16"/>
                <w:szCs w:val="16"/>
              </w:rPr>
            </w:pPr>
            <w:r w:rsidRPr="00BF281D">
              <w:rPr>
                <w:rFonts w:asciiTheme="minorHAnsi" w:hAnsiTheme="minorHAnsi"/>
                <w:sz w:val="16"/>
                <w:szCs w:val="16"/>
              </w:rPr>
              <w:t>consent/notice requirements</w:t>
            </w:r>
          </w:p>
          <w:p w14:paraId="03191DA0" w14:textId="77777777" w:rsidR="00B5561C" w:rsidRPr="00BF281D" w:rsidRDefault="00B5561C" w:rsidP="007C761D">
            <w:pPr>
              <w:pStyle w:val="ListParagraph"/>
              <w:numPr>
                <w:ilvl w:val="0"/>
                <w:numId w:val="45"/>
              </w:numPr>
              <w:spacing w:after="0" w:line="240" w:lineRule="auto"/>
              <w:rPr>
                <w:rFonts w:asciiTheme="minorHAnsi" w:hAnsiTheme="minorHAnsi"/>
                <w:sz w:val="16"/>
                <w:szCs w:val="16"/>
              </w:rPr>
            </w:pPr>
            <w:r w:rsidRPr="00BF281D">
              <w:rPr>
                <w:rFonts w:asciiTheme="minorHAnsi" w:hAnsiTheme="minorHAnsi"/>
                <w:sz w:val="16"/>
                <w:szCs w:val="16"/>
              </w:rPr>
              <w:t>compensation</w:t>
            </w:r>
          </w:p>
          <w:p w14:paraId="7592309B" w14:textId="77777777" w:rsidR="00B5561C" w:rsidRPr="00BF281D" w:rsidRDefault="00B5561C" w:rsidP="007C761D">
            <w:pPr>
              <w:pStyle w:val="ListParagraph"/>
              <w:numPr>
                <w:ilvl w:val="0"/>
                <w:numId w:val="45"/>
              </w:numPr>
              <w:spacing w:after="0" w:line="240" w:lineRule="auto"/>
              <w:rPr>
                <w:rFonts w:asciiTheme="minorHAnsi" w:hAnsiTheme="minorHAnsi"/>
                <w:sz w:val="16"/>
                <w:szCs w:val="16"/>
              </w:rPr>
            </w:pPr>
            <w:r w:rsidRPr="00BF281D">
              <w:rPr>
                <w:rFonts w:asciiTheme="minorHAnsi" w:hAnsiTheme="minorHAnsi"/>
                <w:sz w:val="16"/>
                <w:szCs w:val="16"/>
              </w:rPr>
              <w:t>rehabilitation/ bond</w:t>
            </w:r>
          </w:p>
          <w:p w14:paraId="045F8DF8" w14:textId="77777777" w:rsidR="00B5561C" w:rsidRPr="00BF281D" w:rsidRDefault="00B5561C" w:rsidP="007C761D">
            <w:pPr>
              <w:pStyle w:val="ListParagraph"/>
              <w:numPr>
                <w:ilvl w:val="0"/>
                <w:numId w:val="45"/>
              </w:numPr>
              <w:spacing w:after="0" w:line="240" w:lineRule="auto"/>
              <w:rPr>
                <w:rFonts w:asciiTheme="minorHAnsi" w:hAnsiTheme="minorHAnsi"/>
                <w:sz w:val="16"/>
                <w:szCs w:val="16"/>
              </w:rPr>
            </w:pPr>
            <w:r w:rsidRPr="00BF281D">
              <w:rPr>
                <w:rFonts w:asciiTheme="minorHAnsi" w:hAnsiTheme="minorHAnsi"/>
                <w:sz w:val="16"/>
                <w:szCs w:val="16"/>
              </w:rPr>
              <w:t>Code of Practice</w:t>
            </w:r>
          </w:p>
          <w:p w14:paraId="60D61D9C" w14:textId="77777777" w:rsidR="00B5561C" w:rsidRPr="00BF281D" w:rsidRDefault="00B5561C" w:rsidP="007C761D">
            <w:pPr>
              <w:pStyle w:val="ListParagraph"/>
              <w:numPr>
                <w:ilvl w:val="0"/>
                <w:numId w:val="45"/>
              </w:numPr>
              <w:spacing w:after="0" w:line="240" w:lineRule="auto"/>
              <w:rPr>
                <w:rFonts w:asciiTheme="minorHAnsi" w:hAnsiTheme="minorHAnsi"/>
                <w:sz w:val="16"/>
                <w:szCs w:val="16"/>
              </w:rPr>
            </w:pPr>
            <w:r w:rsidRPr="00BF281D">
              <w:rPr>
                <w:rFonts w:asciiTheme="minorHAnsi" w:hAnsiTheme="minorHAnsi"/>
                <w:sz w:val="16"/>
                <w:szCs w:val="16"/>
              </w:rPr>
              <w:t>incident reporting</w:t>
            </w:r>
          </w:p>
          <w:p w14:paraId="113AE48F" w14:textId="77777777" w:rsidR="00B5561C" w:rsidRPr="00BF281D" w:rsidRDefault="00B5561C" w:rsidP="007C761D">
            <w:pPr>
              <w:rPr>
                <w:rFonts w:asciiTheme="minorHAnsi" w:hAnsiTheme="minorHAnsi"/>
                <w:sz w:val="16"/>
                <w:szCs w:val="16"/>
              </w:rPr>
            </w:pPr>
          </w:p>
        </w:tc>
        <w:tc>
          <w:tcPr>
            <w:tcW w:w="2694" w:type="dxa"/>
          </w:tcPr>
          <w:p w14:paraId="1B5EF13B" w14:textId="77777777" w:rsidR="00B5561C" w:rsidRPr="00BF281D" w:rsidRDefault="00B5561C" w:rsidP="007C761D">
            <w:pPr>
              <w:pStyle w:val="ListParagraph"/>
              <w:numPr>
                <w:ilvl w:val="0"/>
                <w:numId w:val="45"/>
              </w:numPr>
              <w:spacing w:after="0" w:line="240" w:lineRule="auto"/>
              <w:rPr>
                <w:rFonts w:asciiTheme="minorHAnsi" w:eastAsiaTheme="minorEastAsia" w:hAnsiTheme="minorHAnsi"/>
                <w:sz w:val="16"/>
                <w:szCs w:val="16"/>
              </w:rPr>
            </w:pPr>
            <w:r w:rsidRPr="00BF281D">
              <w:rPr>
                <w:rFonts w:asciiTheme="minorHAnsi" w:hAnsiTheme="minorHAnsi"/>
                <w:sz w:val="16"/>
                <w:szCs w:val="16"/>
              </w:rPr>
              <w:t xml:space="preserve">Operation plan - outcomes-based approach focused on identifying, </w:t>
            </w:r>
            <w:proofErr w:type="gramStart"/>
            <w:r w:rsidRPr="00BF281D">
              <w:rPr>
                <w:rFonts w:asciiTheme="minorHAnsi" w:hAnsiTheme="minorHAnsi"/>
                <w:sz w:val="16"/>
                <w:szCs w:val="16"/>
              </w:rPr>
              <w:t>mitigating</w:t>
            </w:r>
            <w:proofErr w:type="gramEnd"/>
            <w:r w:rsidRPr="00BF281D">
              <w:rPr>
                <w:rFonts w:asciiTheme="minorHAnsi" w:hAnsiTheme="minorHAnsi"/>
                <w:sz w:val="16"/>
                <w:szCs w:val="16"/>
              </w:rPr>
              <w:t xml:space="preserve"> and monitoring environmental and safety/ integrity risks. Operation plan must include description of operation, EMP, WOMP, and undertake regular reviews.  </w:t>
            </w:r>
          </w:p>
          <w:p w14:paraId="24592F84" w14:textId="77777777" w:rsidR="00B5561C" w:rsidRPr="00BF281D" w:rsidRDefault="00B5561C" w:rsidP="007C761D">
            <w:pPr>
              <w:pStyle w:val="ListParagraph"/>
              <w:numPr>
                <w:ilvl w:val="0"/>
                <w:numId w:val="45"/>
              </w:numPr>
              <w:spacing w:after="0" w:line="240" w:lineRule="auto"/>
              <w:rPr>
                <w:rFonts w:asciiTheme="minorHAnsi" w:eastAsiaTheme="minorEastAsia" w:hAnsiTheme="minorHAnsi"/>
                <w:color w:val="000000" w:themeColor="text1"/>
                <w:sz w:val="16"/>
                <w:szCs w:val="16"/>
              </w:rPr>
            </w:pPr>
            <w:r w:rsidRPr="00BF281D">
              <w:rPr>
                <w:rFonts w:asciiTheme="minorHAnsi" w:hAnsiTheme="minorHAnsi"/>
                <w:sz w:val="16"/>
                <w:szCs w:val="16"/>
              </w:rPr>
              <w:t>Report on incident that causes, or could have caused, substantial damage (environment, integrity of operation or the immediate area; or is indicative of a possible future incident; report must be given as soon as is practicable; written follow up report</w:t>
            </w:r>
          </w:p>
        </w:tc>
        <w:tc>
          <w:tcPr>
            <w:tcW w:w="5527" w:type="dxa"/>
          </w:tcPr>
          <w:p w14:paraId="7569D14B" w14:textId="77777777" w:rsidR="00B5561C" w:rsidRPr="00BF281D" w:rsidRDefault="00B5561C" w:rsidP="007C761D">
            <w:pPr>
              <w:pStyle w:val="ListParagraph"/>
              <w:numPr>
                <w:ilvl w:val="0"/>
                <w:numId w:val="41"/>
              </w:numPr>
              <w:spacing w:after="0" w:line="240" w:lineRule="auto"/>
              <w:rPr>
                <w:rFonts w:asciiTheme="minorHAnsi" w:eastAsiaTheme="minorEastAsia" w:hAnsiTheme="minorHAnsi"/>
                <w:sz w:val="16"/>
                <w:szCs w:val="16"/>
              </w:rPr>
            </w:pPr>
            <w:r w:rsidRPr="00BF281D">
              <w:rPr>
                <w:rFonts w:asciiTheme="minorHAnsi" w:hAnsiTheme="minorHAnsi"/>
                <w:sz w:val="16"/>
                <w:szCs w:val="16"/>
              </w:rPr>
              <w:t xml:space="preserve">Prescriptive elements as requirements for operation plan, including EMP, WOMP (management of underground component) </w:t>
            </w:r>
          </w:p>
          <w:p w14:paraId="778F2846" w14:textId="77777777" w:rsidR="00B5561C" w:rsidRPr="00BF281D" w:rsidRDefault="00B5561C" w:rsidP="007C761D">
            <w:pPr>
              <w:pStyle w:val="ListParagraph"/>
              <w:numPr>
                <w:ilvl w:val="0"/>
                <w:numId w:val="41"/>
              </w:numPr>
              <w:spacing w:after="0" w:line="240" w:lineRule="auto"/>
              <w:rPr>
                <w:rFonts w:asciiTheme="minorHAnsi" w:eastAsiaTheme="minorEastAsia" w:hAnsiTheme="minorHAnsi"/>
                <w:sz w:val="16"/>
                <w:szCs w:val="16"/>
              </w:rPr>
            </w:pPr>
            <w:r w:rsidRPr="00BF281D">
              <w:rPr>
                <w:rFonts w:asciiTheme="minorHAnsi" w:hAnsiTheme="minorHAnsi"/>
                <w:sz w:val="16"/>
                <w:szCs w:val="16"/>
              </w:rPr>
              <w:t>General rehabilitation requirements would be prescribed (above ground component) as part of a rehabilitation plan that sits under the operation plan.</w:t>
            </w:r>
          </w:p>
          <w:p w14:paraId="4A08F359" w14:textId="77777777" w:rsidR="00B5561C" w:rsidRPr="00BF281D" w:rsidRDefault="00B5561C" w:rsidP="007C761D">
            <w:pPr>
              <w:pStyle w:val="ListParagraph"/>
              <w:numPr>
                <w:ilvl w:val="0"/>
                <w:numId w:val="41"/>
              </w:numPr>
              <w:spacing w:after="0" w:line="240" w:lineRule="auto"/>
              <w:rPr>
                <w:rFonts w:asciiTheme="minorHAnsi" w:hAnsiTheme="minorHAnsi"/>
                <w:sz w:val="16"/>
                <w:szCs w:val="16"/>
              </w:rPr>
            </w:pPr>
            <w:r w:rsidRPr="00BF281D">
              <w:rPr>
                <w:rFonts w:asciiTheme="minorHAnsi" w:hAnsiTheme="minorHAnsi"/>
                <w:sz w:val="16"/>
                <w:szCs w:val="16"/>
              </w:rPr>
              <w:t>Prescribe requirements for liability assessment information to be provided with the operation plan.</w:t>
            </w:r>
          </w:p>
          <w:p w14:paraId="546C8927" w14:textId="77777777" w:rsidR="00B5561C" w:rsidRPr="00BF281D" w:rsidRDefault="00B5561C" w:rsidP="007C761D">
            <w:pPr>
              <w:pStyle w:val="ListParagraph"/>
              <w:numPr>
                <w:ilvl w:val="0"/>
                <w:numId w:val="41"/>
              </w:numPr>
              <w:spacing w:after="0" w:line="240" w:lineRule="auto"/>
              <w:rPr>
                <w:rFonts w:asciiTheme="minorHAnsi" w:eastAsiaTheme="minorEastAsia" w:hAnsiTheme="minorHAnsi"/>
                <w:sz w:val="16"/>
                <w:szCs w:val="16"/>
              </w:rPr>
            </w:pPr>
            <w:r w:rsidRPr="00BF281D">
              <w:rPr>
                <w:rFonts w:asciiTheme="minorHAnsi" w:hAnsiTheme="minorHAnsi"/>
                <w:sz w:val="16"/>
                <w:szCs w:val="16"/>
              </w:rPr>
              <w:t>Competency standards to be applied for well construction and decommissioning.</w:t>
            </w:r>
          </w:p>
          <w:p w14:paraId="62D6859E" w14:textId="77777777" w:rsidR="00B5561C" w:rsidRPr="00BF281D" w:rsidRDefault="00B5561C" w:rsidP="007C761D">
            <w:pPr>
              <w:pStyle w:val="ListParagraph"/>
              <w:numPr>
                <w:ilvl w:val="0"/>
                <w:numId w:val="41"/>
              </w:numPr>
              <w:spacing w:after="0" w:line="240" w:lineRule="auto"/>
              <w:rPr>
                <w:rFonts w:asciiTheme="minorHAnsi" w:hAnsiTheme="minorHAnsi"/>
                <w:sz w:val="16"/>
                <w:szCs w:val="16"/>
              </w:rPr>
            </w:pPr>
            <w:r w:rsidRPr="00BF281D">
              <w:rPr>
                <w:rFonts w:asciiTheme="minorHAnsi" w:hAnsiTheme="minorHAnsi"/>
                <w:sz w:val="16"/>
                <w:szCs w:val="16"/>
              </w:rPr>
              <w:t>Prescribed requirement to specify and commit to community engagement during activities under the operation plan.</w:t>
            </w:r>
          </w:p>
          <w:p w14:paraId="5AD0E02E" w14:textId="77777777" w:rsidR="00B5561C" w:rsidRPr="00BF281D" w:rsidRDefault="00B5561C" w:rsidP="007C761D">
            <w:pPr>
              <w:pStyle w:val="ListParagraph"/>
              <w:numPr>
                <w:ilvl w:val="0"/>
                <w:numId w:val="41"/>
              </w:numPr>
              <w:spacing w:after="0" w:line="240" w:lineRule="auto"/>
              <w:rPr>
                <w:rFonts w:asciiTheme="minorHAnsi" w:eastAsiaTheme="minorEastAsia" w:hAnsiTheme="minorHAnsi"/>
                <w:sz w:val="16"/>
                <w:szCs w:val="16"/>
              </w:rPr>
            </w:pPr>
            <w:r w:rsidRPr="00BF281D">
              <w:rPr>
                <w:rFonts w:asciiTheme="minorHAnsi" w:eastAsiaTheme="minorEastAsia" w:hAnsiTheme="minorHAnsi"/>
                <w:sz w:val="16"/>
                <w:szCs w:val="16"/>
              </w:rPr>
              <w:t>Prescribed requirement for industry to baseline, monitor and report against aquifer impacts.</w:t>
            </w:r>
          </w:p>
          <w:p w14:paraId="1A352020" w14:textId="77777777" w:rsidR="00B5561C" w:rsidRPr="00BF281D" w:rsidRDefault="00B5561C" w:rsidP="007C761D">
            <w:pPr>
              <w:pStyle w:val="ListParagraph"/>
              <w:numPr>
                <w:ilvl w:val="0"/>
                <w:numId w:val="41"/>
              </w:numPr>
              <w:spacing w:after="0" w:line="240" w:lineRule="auto"/>
              <w:rPr>
                <w:rFonts w:asciiTheme="minorHAnsi" w:eastAsiaTheme="minorEastAsia" w:hAnsiTheme="minorHAnsi"/>
                <w:sz w:val="16"/>
                <w:szCs w:val="16"/>
              </w:rPr>
            </w:pPr>
            <w:r w:rsidRPr="00BF281D">
              <w:rPr>
                <w:rFonts w:asciiTheme="minorHAnsi" w:eastAsiaTheme="minorEastAsia" w:hAnsiTheme="minorHAnsi"/>
                <w:sz w:val="16"/>
                <w:szCs w:val="16"/>
              </w:rPr>
              <w:t xml:space="preserve">Prescribe requirement for EMP to provide an estimate of </w:t>
            </w:r>
            <w:r>
              <w:rPr>
                <w:rFonts w:asciiTheme="minorHAnsi" w:eastAsiaTheme="minorEastAsia" w:hAnsiTheme="minorHAnsi"/>
                <w:sz w:val="16"/>
                <w:szCs w:val="16"/>
              </w:rPr>
              <w:t>hydrocarbon</w:t>
            </w:r>
            <w:r w:rsidRPr="00BF281D">
              <w:rPr>
                <w:rFonts w:asciiTheme="minorHAnsi" w:eastAsiaTheme="minorEastAsia" w:hAnsiTheme="minorHAnsi"/>
                <w:sz w:val="16"/>
                <w:szCs w:val="16"/>
              </w:rPr>
              <w:t xml:space="preserve"> emissions from the operation and how these will be minimized.</w:t>
            </w:r>
          </w:p>
          <w:p w14:paraId="031E362F" w14:textId="77777777" w:rsidR="00B5561C" w:rsidRPr="00BF281D" w:rsidRDefault="00B5561C" w:rsidP="007C761D">
            <w:pPr>
              <w:pStyle w:val="ListParagraph"/>
              <w:numPr>
                <w:ilvl w:val="0"/>
                <w:numId w:val="41"/>
              </w:numPr>
              <w:spacing w:after="0" w:line="259" w:lineRule="auto"/>
              <w:rPr>
                <w:rFonts w:asciiTheme="minorHAnsi" w:eastAsiaTheme="minorEastAsia" w:hAnsiTheme="minorHAnsi"/>
                <w:sz w:val="16"/>
                <w:szCs w:val="16"/>
              </w:rPr>
            </w:pPr>
            <w:r w:rsidRPr="00BF281D">
              <w:rPr>
                <w:rFonts w:asciiTheme="minorHAnsi" w:hAnsiTheme="minorHAnsi"/>
                <w:sz w:val="16"/>
                <w:szCs w:val="16"/>
              </w:rPr>
              <w:t>Stronger prescription for consultation processes in relation to preparation of an operation plan (</w:t>
            </w:r>
            <w:proofErr w:type="gramStart"/>
            <w:r w:rsidRPr="00BF281D">
              <w:rPr>
                <w:rFonts w:asciiTheme="minorHAnsi" w:hAnsiTheme="minorHAnsi"/>
                <w:sz w:val="16"/>
                <w:szCs w:val="16"/>
              </w:rPr>
              <w:t>e.g.</w:t>
            </w:r>
            <w:proofErr w:type="gramEnd"/>
            <w:r w:rsidRPr="00BF281D">
              <w:rPr>
                <w:rFonts w:asciiTheme="minorHAnsi" w:hAnsiTheme="minorHAnsi"/>
                <w:sz w:val="16"/>
                <w:szCs w:val="16"/>
              </w:rPr>
              <w:t xml:space="preserve"> requirements to make operations plans or other information available in support of the notice requirements).</w:t>
            </w:r>
          </w:p>
          <w:p w14:paraId="39115249" w14:textId="77777777" w:rsidR="00B5561C" w:rsidRPr="00BF281D" w:rsidRDefault="00B5561C" w:rsidP="007C761D">
            <w:pPr>
              <w:pStyle w:val="ListParagraph"/>
              <w:numPr>
                <w:ilvl w:val="0"/>
                <w:numId w:val="41"/>
              </w:numPr>
              <w:spacing w:after="0" w:line="240" w:lineRule="auto"/>
              <w:rPr>
                <w:rFonts w:asciiTheme="minorHAnsi" w:eastAsiaTheme="minorEastAsia" w:hAnsiTheme="minorHAnsi"/>
                <w:sz w:val="16"/>
                <w:szCs w:val="16"/>
              </w:rPr>
            </w:pPr>
            <w:r w:rsidRPr="00BF281D">
              <w:rPr>
                <w:rFonts w:asciiTheme="minorHAnsi" w:hAnsiTheme="minorHAnsi"/>
                <w:sz w:val="16"/>
                <w:szCs w:val="16"/>
              </w:rPr>
              <w:t>Regulations would be supported by a Code of Practice for well operations management, which will also be a legislative instrument and used for enforcement</w:t>
            </w:r>
          </w:p>
          <w:p w14:paraId="404EBC90" w14:textId="254EAD08" w:rsidR="00B5561C" w:rsidRPr="00BF281D" w:rsidRDefault="00B5561C" w:rsidP="002B2748">
            <w:pPr>
              <w:pStyle w:val="ListParagraph"/>
              <w:numPr>
                <w:ilvl w:val="0"/>
                <w:numId w:val="41"/>
              </w:numPr>
              <w:spacing w:after="0" w:line="259" w:lineRule="auto"/>
              <w:rPr>
                <w:rFonts w:asciiTheme="minorHAnsi" w:hAnsiTheme="minorHAnsi"/>
                <w:sz w:val="16"/>
                <w:szCs w:val="16"/>
              </w:rPr>
            </w:pPr>
            <w:r w:rsidRPr="00BF281D">
              <w:rPr>
                <w:rFonts w:asciiTheme="minorHAnsi" w:hAnsiTheme="minorHAnsi"/>
                <w:sz w:val="16"/>
                <w:szCs w:val="16"/>
              </w:rPr>
              <w:t>Prescriptive incident reporting requirements to align with comparable regulatory regimes (</w:t>
            </w:r>
            <w:proofErr w:type="gramStart"/>
            <w:r w:rsidRPr="00BF281D">
              <w:rPr>
                <w:rFonts w:asciiTheme="minorHAnsi" w:hAnsiTheme="minorHAnsi"/>
                <w:sz w:val="16"/>
                <w:szCs w:val="16"/>
              </w:rPr>
              <w:t>e.g.</w:t>
            </w:r>
            <w:proofErr w:type="gramEnd"/>
            <w:r w:rsidRPr="00BF281D">
              <w:rPr>
                <w:rFonts w:asciiTheme="minorHAnsi" w:hAnsiTheme="minorHAnsi"/>
                <w:sz w:val="16"/>
                <w:szCs w:val="16"/>
              </w:rPr>
              <w:t xml:space="preserve"> under offshore petroleum framework).</w:t>
            </w:r>
          </w:p>
        </w:tc>
      </w:tr>
      <w:tr w:rsidR="00B5561C" w:rsidRPr="00BF281D" w14:paraId="478501FF" w14:textId="77777777" w:rsidTr="002B2748">
        <w:trPr>
          <w:trHeight w:val="1190"/>
        </w:trPr>
        <w:tc>
          <w:tcPr>
            <w:tcW w:w="2552" w:type="dxa"/>
          </w:tcPr>
          <w:p w14:paraId="763B53B0" w14:textId="77777777" w:rsidR="00B5561C" w:rsidRPr="00BF281D" w:rsidRDefault="00B5561C" w:rsidP="007C761D">
            <w:pPr>
              <w:spacing w:after="0" w:line="240" w:lineRule="auto"/>
              <w:rPr>
                <w:b/>
                <w:bCs/>
                <w:sz w:val="16"/>
                <w:szCs w:val="16"/>
              </w:rPr>
            </w:pPr>
            <w:r w:rsidRPr="00BF281D">
              <w:rPr>
                <w:b/>
                <w:bCs/>
                <w:sz w:val="16"/>
                <w:szCs w:val="16"/>
              </w:rPr>
              <w:t>Information</w:t>
            </w:r>
          </w:p>
          <w:p w14:paraId="5D068F9B" w14:textId="77777777" w:rsidR="00B5561C" w:rsidRPr="00BF281D" w:rsidRDefault="00B5561C" w:rsidP="007C761D">
            <w:pPr>
              <w:pStyle w:val="ListParagraph"/>
              <w:numPr>
                <w:ilvl w:val="0"/>
                <w:numId w:val="50"/>
              </w:numPr>
              <w:spacing w:after="0" w:line="240" w:lineRule="auto"/>
              <w:rPr>
                <w:rFonts w:eastAsiaTheme="minorEastAsia"/>
                <w:sz w:val="16"/>
                <w:szCs w:val="16"/>
              </w:rPr>
            </w:pPr>
            <w:r w:rsidRPr="00BF281D">
              <w:rPr>
                <w:sz w:val="16"/>
                <w:szCs w:val="16"/>
              </w:rPr>
              <w:t>reporting / submission of samples</w:t>
            </w:r>
          </w:p>
          <w:p w14:paraId="5FC01322" w14:textId="77777777" w:rsidR="00B5561C" w:rsidRPr="00BF281D" w:rsidRDefault="00B5561C" w:rsidP="007C761D">
            <w:pPr>
              <w:pStyle w:val="ListParagraph"/>
              <w:numPr>
                <w:ilvl w:val="0"/>
                <w:numId w:val="50"/>
              </w:numPr>
              <w:spacing w:after="0" w:line="240" w:lineRule="auto"/>
              <w:rPr>
                <w:sz w:val="16"/>
                <w:szCs w:val="16"/>
              </w:rPr>
            </w:pPr>
            <w:r w:rsidRPr="00BF281D">
              <w:rPr>
                <w:sz w:val="16"/>
                <w:szCs w:val="16"/>
              </w:rPr>
              <w:t>release of information</w:t>
            </w:r>
          </w:p>
          <w:p w14:paraId="66AAF9C8" w14:textId="77777777" w:rsidR="00B5561C" w:rsidRPr="00BF281D" w:rsidRDefault="00B5561C" w:rsidP="007C761D">
            <w:pPr>
              <w:pStyle w:val="ListParagraph"/>
              <w:numPr>
                <w:ilvl w:val="0"/>
                <w:numId w:val="50"/>
              </w:numPr>
              <w:spacing w:after="0" w:line="240" w:lineRule="auto"/>
              <w:rPr>
                <w:sz w:val="16"/>
                <w:szCs w:val="16"/>
              </w:rPr>
            </w:pPr>
            <w:r w:rsidRPr="00BF281D">
              <w:rPr>
                <w:sz w:val="16"/>
                <w:szCs w:val="16"/>
              </w:rPr>
              <w:t>petroleum register</w:t>
            </w:r>
          </w:p>
          <w:p w14:paraId="483D6637" w14:textId="77777777" w:rsidR="00B5561C" w:rsidRPr="00BF281D" w:rsidRDefault="00B5561C" w:rsidP="007C761D">
            <w:pPr>
              <w:spacing w:after="0" w:line="240" w:lineRule="auto"/>
              <w:rPr>
                <w:sz w:val="16"/>
                <w:szCs w:val="16"/>
              </w:rPr>
            </w:pPr>
          </w:p>
          <w:p w14:paraId="76872FC8" w14:textId="77777777" w:rsidR="00B5561C" w:rsidRPr="00BF281D" w:rsidRDefault="00B5561C" w:rsidP="007C761D">
            <w:pPr>
              <w:rPr>
                <w:rFonts w:asciiTheme="minorHAnsi" w:hAnsiTheme="minorHAnsi"/>
                <w:b/>
                <w:bCs/>
                <w:sz w:val="16"/>
                <w:szCs w:val="16"/>
              </w:rPr>
            </w:pPr>
          </w:p>
        </w:tc>
        <w:tc>
          <w:tcPr>
            <w:tcW w:w="2694" w:type="dxa"/>
          </w:tcPr>
          <w:p w14:paraId="3B4109C3" w14:textId="77777777" w:rsidR="00B5561C" w:rsidRPr="00BF281D" w:rsidRDefault="00B5561C" w:rsidP="007C761D">
            <w:pPr>
              <w:pStyle w:val="ListParagraph"/>
              <w:numPr>
                <w:ilvl w:val="0"/>
                <w:numId w:val="50"/>
              </w:numPr>
              <w:spacing w:after="0" w:line="240" w:lineRule="auto"/>
              <w:rPr>
                <w:rFonts w:eastAsiaTheme="minorEastAsia"/>
                <w:sz w:val="16"/>
                <w:szCs w:val="16"/>
              </w:rPr>
            </w:pPr>
            <w:r w:rsidRPr="00BF281D">
              <w:rPr>
                <w:sz w:val="16"/>
                <w:szCs w:val="16"/>
              </w:rPr>
              <w:t xml:space="preserve">annual report, including petroleum operation activities (if any); conclusions derived from petroleum exploration activities and reports and studies relating to those activities.  </w:t>
            </w:r>
          </w:p>
          <w:p w14:paraId="49204C4A" w14:textId="77777777" w:rsidR="00B5561C" w:rsidRPr="00BF281D" w:rsidRDefault="00B5561C" w:rsidP="007C761D">
            <w:pPr>
              <w:pStyle w:val="ListParagraph"/>
              <w:numPr>
                <w:ilvl w:val="0"/>
                <w:numId w:val="50"/>
              </w:numPr>
              <w:spacing w:after="0" w:line="240" w:lineRule="auto"/>
              <w:rPr>
                <w:sz w:val="16"/>
                <w:szCs w:val="16"/>
              </w:rPr>
            </w:pPr>
            <w:r w:rsidRPr="00BF281D">
              <w:rPr>
                <w:sz w:val="16"/>
                <w:szCs w:val="16"/>
              </w:rPr>
              <w:t xml:space="preserve">Reports of surveys, </w:t>
            </w:r>
            <w:proofErr w:type="gramStart"/>
            <w:r w:rsidRPr="00BF281D">
              <w:rPr>
                <w:sz w:val="16"/>
                <w:szCs w:val="16"/>
              </w:rPr>
              <w:t>drilling</w:t>
            </w:r>
            <w:proofErr w:type="gramEnd"/>
            <w:r w:rsidRPr="00BF281D">
              <w:rPr>
                <w:sz w:val="16"/>
                <w:szCs w:val="16"/>
              </w:rPr>
              <w:t xml:space="preserve"> and other activities</w:t>
            </w:r>
          </w:p>
          <w:p w14:paraId="771B938A" w14:textId="77777777" w:rsidR="00B5561C" w:rsidRPr="00BF281D" w:rsidRDefault="00B5561C" w:rsidP="007C761D">
            <w:pPr>
              <w:pStyle w:val="ListParagraph"/>
              <w:numPr>
                <w:ilvl w:val="0"/>
                <w:numId w:val="50"/>
              </w:numPr>
              <w:spacing w:after="0" w:line="240" w:lineRule="auto"/>
              <w:rPr>
                <w:sz w:val="16"/>
                <w:szCs w:val="16"/>
              </w:rPr>
            </w:pPr>
            <w:r w:rsidRPr="00BF281D">
              <w:rPr>
                <w:sz w:val="16"/>
                <w:szCs w:val="16"/>
              </w:rPr>
              <w:t xml:space="preserve">monthly report by holder of production licence </w:t>
            </w:r>
          </w:p>
          <w:p w14:paraId="77F7FB1B" w14:textId="77777777" w:rsidR="00B5561C" w:rsidRPr="00BF281D" w:rsidRDefault="00B5561C" w:rsidP="007C761D">
            <w:pPr>
              <w:pStyle w:val="ListParagraph"/>
              <w:numPr>
                <w:ilvl w:val="0"/>
                <w:numId w:val="50"/>
              </w:numPr>
              <w:spacing w:after="0" w:line="240" w:lineRule="auto"/>
              <w:rPr>
                <w:sz w:val="16"/>
                <w:szCs w:val="16"/>
              </w:rPr>
            </w:pPr>
            <w:r w:rsidRPr="00BF281D">
              <w:rPr>
                <w:sz w:val="16"/>
                <w:szCs w:val="16"/>
              </w:rPr>
              <w:t>No additional prescribed requirements for register or release of information (Act requirements apply)</w:t>
            </w:r>
          </w:p>
        </w:tc>
        <w:tc>
          <w:tcPr>
            <w:tcW w:w="5527" w:type="dxa"/>
          </w:tcPr>
          <w:p w14:paraId="708AF5D4" w14:textId="5195FE01" w:rsidR="00B5561C" w:rsidRPr="00BF281D" w:rsidRDefault="00B5561C" w:rsidP="007C761D">
            <w:pPr>
              <w:pStyle w:val="ListParagraph"/>
              <w:numPr>
                <w:ilvl w:val="0"/>
                <w:numId w:val="52"/>
              </w:numPr>
              <w:spacing w:after="0" w:line="240" w:lineRule="auto"/>
              <w:rPr>
                <w:rFonts w:eastAsiaTheme="minorEastAsia"/>
                <w:sz w:val="16"/>
                <w:szCs w:val="16"/>
              </w:rPr>
            </w:pPr>
            <w:r w:rsidRPr="00BF281D">
              <w:rPr>
                <w:sz w:val="16"/>
                <w:szCs w:val="16"/>
              </w:rPr>
              <w:t xml:space="preserve">Regulations to explicitly prescribe all </w:t>
            </w:r>
            <w:r w:rsidR="007477E8">
              <w:rPr>
                <w:sz w:val="16"/>
                <w:szCs w:val="16"/>
              </w:rPr>
              <w:t xml:space="preserve">geological survey and well </w:t>
            </w:r>
            <w:r w:rsidRPr="00BF281D">
              <w:rPr>
                <w:sz w:val="16"/>
                <w:szCs w:val="16"/>
              </w:rPr>
              <w:t xml:space="preserve">data, </w:t>
            </w:r>
            <w:proofErr w:type="gramStart"/>
            <w:r w:rsidRPr="00BF281D">
              <w:rPr>
                <w:sz w:val="16"/>
                <w:szCs w:val="16"/>
              </w:rPr>
              <w:t>samples</w:t>
            </w:r>
            <w:proofErr w:type="gramEnd"/>
            <w:r w:rsidRPr="00BF281D">
              <w:rPr>
                <w:sz w:val="16"/>
                <w:szCs w:val="16"/>
              </w:rPr>
              <w:t xml:space="preserve"> and </w:t>
            </w:r>
            <w:r w:rsidR="00806303">
              <w:rPr>
                <w:sz w:val="16"/>
                <w:szCs w:val="16"/>
              </w:rPr>
              <w:t xml:space="preserve">drill </w:t>
            </w:r>
            <w:r w:rsidRPr="00BF281D">
              <w:rPr>
                <w:sz w:val="16"/>
                <w:szCs w:val="16"/>
              </w:rPr>
              <w:t xml:space="preserve">cores to be provided by industry to government </w:t>
            </w:r>
          </w:p>
          <w:p w14:paraId="026308C5" w14:textId="1F75CC69" w:rsidR="003F3C4C" w:rsidRPr="003F3C4C" w:rsidRDefault="00B5561C" w:rsidP="003F3C4C">
            <w:pPr>
              <w:pStyle w:val="ListParagraph"/>
              <w:numPr>
                <w:ilvl w:val="0"/>
                <w:numId w:val="52"/>
              </w:numPr>
              <w:spacing w:after="0" w:line="240" w:lineRule="auto"/>
              <w:rPr>
                <w:rFonts w:eastAsiaTheme="minorEastAsia"/>
                <w:sz w:val="16"/>
                <w:szCs w:val="16"/>
              </w:rPr>
            </w:pPr>
            <w:r w:rsidRPr="00BF281D">
              <w:rPr>
                <w:sz w:val="16"/>
                <w:szCs w:val="16"/>
              </w:rPr>
              <w:t>Regulations will prescribe information to be provided within specified timeframes</w:t>
            </w:r>
          </w:p>
          <w:p w14:paraId="5B8CE6F4" w14:textId="548B6308" w:rsidR="00B5561C" w:rsidRPr="00BF281D" w:rsidDel="004862D2" w:rsidRDefault="00B5561C" w:rsidP="007C761D">
            <w:pPr>
              <w:pStyle w:val="ListParagraph"/>
              <w:numPr>
                <w:ilvl w:val="0"/>
                <w:numId w:val="41"/>
              </w:numPr>
              <w:spacing w:after="0" w:line="240" w:lineRule="auto"/>
              <w:rPr>
                <w:rFonts w:asciiTheme="minorHAnsi" w:hAnsiTheme="minorHAnsi"/>
                <w:b/>
                <w:bCs/>
                <w:sz w:val="16"/>
                <w:szCs w:val="16"/>
              </w:rPr>
            </w:pPr>
            <w:r w:rsidRPr="00BF281D">
              <w:rPr>
                <w:sz w:val="16"/>
                <w:szCs w:val="16"/>
              </w:rPr>
              <w:t>Strengthened/new reporting requirements in the regulations (for example, reporting against rehabilitation progress/ changes in liability, and well construction and closure reporting)</w:t>
            </w:r>
          </w:p>
        </w:tc>
      </w:tr>
    </w:tbl>
    <w:p w14:paraId="6F243DFA" w14:textId="77777777" w:rsidR="004449BB" w:rsidRPr="00BF281D" w:rsidRDefault="004449BB" w:rsidP="00245259">
      <w:pPr>
        <w:rPr>
          <w:rFonts w:eastAsia="Verdana" w:cs="Times New Roman"/>
        </w:rPr>
      </w:pPr>
    </w:p>
    <w:p w14:paraId="067D948D" w14:textId="77777777" w:rsidR="00245259" w:rsidRPr="00BF281D" w:rsidRDefault="00245259" w:rsidP="00245259">
      <w:pPr>
        <w:keepNext/>
        <w:keepLines/>
        <w:spacing w:before="240" w:after="0" w:line="280" w:lineRule="atLeast"/>
        <w:rPr>
          <w:rFonts w:eastAsia="Times New Roman" w:cs="Times New Roman"/>
          <w:b/>
          <w:color w:val="62B5E5"/>
          <w:szCs w:val="28"/>
        </w:rPr>
      </w:pPr>
      <w:r w:rsidRPr="00C672BD">
        <w:rPr>
          <w:rFonts w:eastAsia="Times New Roman" w:cs="Times New Roman"/>
          <w:b/>
          <w:color w:val="012169" w:themeColor="accent4"/>
          <w:szCs w:val="28"/>
        </w:rPr>
        <w:t xml:space="preserve">Implementation Plan </w:t>
      </w:r>
    </w:p>
    <w:p w14:paraId="1AB88B97" w14:textId="7974A00B" w:rsidR="00245259" w:rsidRPr="00012DD6" w:rsidRDefault="00245259" w:rsidP="00245259">
      <w:pPr>
        <w:rPr>
          <w:rFonts w:eastAsia="Verdana" w:cs="Times New Roman"/>
        </w:rPr>
      </w:pPr>
      <w:r w:rsidRPr="00805184">
        <w:rPr>
          <w:rFonts w:eastAsia="Verdana" w:cs="Times New Roman"/>
        </w:rPr>
        <w:t xml:space="preserve">The following ancillary components </w:t>
      </w:r>
      <w:r w:rsidR="008E00D1" w:rsidRPr="00805184">
        <w:rPr>
          <w:rFonts w:eastAsia="Verdana" w:cs="Times New Roman"/>
        </w:rPr>
        <w:t xml:space="preserve">will </w:t>
      </w:r>
      <w:r w:rsidRPr="00805184">
        <w:rPr>
          <w:rFonts w:eastAsia="Verdana" w:cs="Times New Roman"/>
        </w:rPr>
        <w:t xml:space="preserve">also be </w:t>
      </w:r>
      <w:r w:rsidR="003E7B32" w:rsidRPr="00805184">
        <w:rPr>
          <w:rFonts w:eastAsia="Verdana" w:cs="Times New Roman"/>
        </w:rPr>
        <w:t>developed</w:t>
      </w:r>
      <w:r w:rsidR="003E7B32">
        <w:rPr>
          <w:rFonts w:eastAsia="Verdana" w:cs="Times New Roman"/>
        </w:rPr>
        <w:t xml:space="preserve"> to support</w:t>
      </w:r>
      <w:r w:rsidR="008E00D1">
        <w:rPr>
          <w:rFonts w:eastAsia="Verdana" w:cs="Times New Roman"/>
        </w:rPr>
        <w:t xml:space="preserve"> the new regulations</w:t>
      </w:r>
      <w:r w:rsidRPr="00012DD6">
        <w:rPr>
          <w:rFonts w:eastAsia="Verdana" w:cs="Times New Roman"/>
        </w:rPr>
        <w:t>:</w:t>
      </w:r>
    </w:p>
    <w:p w14:paraId="34CFD355" w14:textId="77777777" w:rsidR="00245259" w:rsidRPr="00012DD6" w:rsidRDefault="00245259" w:rsidP="00012DD6">
      <w:pPr>
        <w:numPr>
          <w:ilvl w:val="0"/>
          <w:numId w:val="74"/>
        </w:numPr>
        <w:spacing w:after="120"/>
        <w:rPr>
          <w:rFonts w:eastAsia="Verdana" w:cs="Times New Roman"/>
          <w:szCs w:val="17"/>
        </w:rPr>
      </w:pPr>
      <w:r w:rsidRPr="00012DD6">
        <w:rPr>
          <w:rFonts w:eastAsia="Verdana" w:cs="Times New Roman"/>
          <w:szCs w:val="17"/>
        </w:rPr>
        <w:t>guidance material for the transition</w:t>
      </w:r>
    </w:p>
    <w:p w14:paraId="23EB358E" w14:textId="77777777" w:rsidR="00245259" w:rsidRPr="00012DD6" w:rsidRDefault="00245259" w:rsidP="00012DD6">
      <w:pPr>
        <w:numPr>
          <w:ilvl w:val="0"/>
          <w:numId w:val="74"/>
        </w:numPr>
        <w:spacing w:after="120"/>
        <w:rPr>
          <w:rFonts w:eastAsia="Verdana" w:cs="Times New Roman"/>
          <w:szCs w:val="17"/>
        </w:rPr>
      </w:pPr>
      <w:r w:rsidRPr="00012DD6">
        <w:rPr>
          <w:rFonts w:eastAsia="Verdana" w:cs="Times New Roman"/>
          <w:szCs w:val="17"/>
        </w:rPr>
        <w:t>the code of practice to accompany the regulations</w:t>
      </w:r>
    </w:p>
    <w:p w14:paraId="11723B9E" w14:textId="53659C5C" w:rsidR="00245259" w:rsidRPr="00012DD6" w:rsidRDefault="00245259" w:rsidP="00012DD6">
      <w:pPr>
        <w:numPr>
          <w:ilvl w:val="0"/>
          <w:numId w:val="74"/>
        </w:numPr>
        <w:spacing w:after="120"/>
        <w:rPr>
          <w:rFonts w:eastAsia="Verdana" w:cs="Times New Roman"/>
          <w:szCs w:val="17"/>
        </w:rPr>
      </w:pPr>
      <w:r w:rsidRPr="00012DD6">
        <w:rPr>
          <w:rFonts w:eastAsia="Verdana" w:cs="Times New Roman"/>
          <w:szCs w:val="17"/>
        </w:rPr>
        <w:t>staff to regulate and administer the requirements of the regulations</w:t>
      </w:r>
      <w:r w:rsidR="007C6B4F">
        <w:rPr>
          <w:rFonts w:eastAsia="Verdana" w:cs="Times New Roman"/>
          <w:szCs w:val="17"/>
        </w:rPr>
        <w:t xml:space="preserve">, and </w:t>
      </w:r>
    </w:p>
    <w:p w14:paraId="6665C442" w14:textId="0D3FB699" w:rsidR="00245259" w:rsidRPr="00817682" w:rsidRDefault="00245259" w:rsidP="00012DD6">
      <w:pPr>
        <w:numPr>
          <w:ilvl w:val="0"/>
          <w:numId w:val="74"/>
        </w:numPr>
        <w:spacing w:after="120"/>
        <w:rPr>
          <w:rFonts w:eastAsia="Verdana" w:cs="Times New Roman"/>
          <w:szCs w:val="17"/>
        </w:rPr>
      </w:pPr>
      <w:r w:rsidRPr="00012DD6">
        <w:rPr>
          <w:rFonts w:eastAsia="Verdana" w:cs="Times New Roman"/>
          <w:szCs w:val="17"/>
        </w:rPr>
        <w:t xml:space="preserve">a process for publication of </w:t>
      </w:r>
      <w:r w:rsidR="006A0FFC">
        <w:rPr>
          <w:rFonts w:eastAsia="Verdana" w:cs="Times New Roman"/>
          <w:szCs w:val="17"/>
        </w:rPr>
        <w:t>some</w:t>
      </w:r>
      <w:r w:rsidR="006A0FFC" w:rsidRPr="00012DD6">
        <w:rPr>
          <w:rFonts w:eastAsia="Verdana" w:cs="Times New Roman"/>
          <w:szCs w:val="17"/>
        </w:rPr>
        <w:t xml:space="preserve"> </w:t>
      </w:r>
      <w:r w:rsidRPr="00012DD6">
        <w:rPr>
          <w:rFonts w:eastAsia="Verdana" w:cs="Times New Roman"/>
          <w:szCs w:val="17"/>
        </w:rPr>
        <w:t>data under the regulations.</w:t>
      </w:r>
    </w:p>
    <w:p w14:paraId="69270A17" w14:textId="77777777" w:rsidR="00245259" w:rsidRPr="00BF281D" w:rsidRDefault="00245259" w:rsidP="00245259">
      <w:pPr>
        <w:keepNext/>
        <w:keepLines/>
        <w:spacing w:before="240" w:after="0" w:line="280" w:lineRule="atLeast"/>
        <w:rPr>
          <w:rFonts w:eastAsia="Times New Roman" w:cs="Times New Roman"/>
          <w:b/>
          <w:color w:val="62B5E5"/>
          <w:szCs w:val="28"/>
        </w:rPr>
      </w:pPr>
      <w:r w:rsidRPr="00C672BD">
        <w:rPr>
          <w:rFonts w:eastAsia="Times New Roman" w:cs="Times New Roman"/>
          <w:b/>
          <w:color w:val="012169" w:themeColor="accent4"/>
          <w:szCs w:val="28"/>
        </w:rPr>
        <w:lastRenderedPageBreak/>
        <w:t xml:space="preserve">Evaluation Strategy </w:t>
      </w:r>
    </w:p>
    <w:p w14:paraId="19BB06B3" w14:textId="2CDC2C0C" w:rsidR="00245259" w:rsidRPr="00BF281D" w:rsidRDefault="00245259" w:rsidP="00245259">
      <w:pPr>
        <w:rPr>
          <w:rFonts w:eastAsia="Verdana" w:cs="Times New Roman"/>
        </w:rPr>
      </w:pPr>
      <w:r w:rsidRPr="00BF281D">
        <w:rPr>
          <w:rFonts w:eastAsia="Verdana" w:cs="Times New Roman"/>
        </w:rPr>
        <w:t xml:space="preserve">The success of the new regulations </w:t>
      </w:r>
      <w:r w:rsidR="001F726F">
        <w:rPr>
          <w:rFonts w:eastAsia="Verdana" w:cs="Times New Roman"/>
        </w:rPr>
        <w:t xml:space="preserve">will </w:t>
      </w:r>
      <w:r w:rsidRPr="00BF281D">
        <w:rPr>
          <w:rFonts w:eastAsia="Verdana" w:cs="Times New Roman"/>
        </w:rPr>
        <w:t xml:space="preserve">be evaluated by </w:t>
      </w:r>
      <w:r w:rsidR="000A0A15">
        <w:rPr>
          <w:rFonts w:eastAsia="Verdana" w:cs="Times New Roman"/>
        </w:rPr>
        <w:t>examining</w:t>
      </w:r>
      <w:r w:rsidRPr="00BF281D">
        <w:rPr>
          <w:rFonts w:eastAsia="Verdana" w:cs="Times New Roman"/>
        </w:rPr>
        <w:t xml:space="preserve"> indicators </w:t>
      </w:r>
      <w:r w:rsidR="00094A74">
        <w:rPr>
          <w:rFonts w:eastAsia="Verdana" w:cs="Times New Roman"/>
        </w:rPr>
        <w:t>that</w:t>
      </w:r>
      <w:r w:rsidRPr="00BF281D">
        <w:rPr>
          <w:rFonts w:eastAsia="Verdana" w:cs="Times New Roman"/>
        </w:rPr>
        <w:t xml:space="preserve"> show how well they address the problem statements, including: </w:t>
      </w:r>
    </w:p>
    <w:p w14:paraId="36FCBB8C" w14:textId="77777777" w:rsidR="00245259" w:rsidRPr="00BF281D" w:rsidRDefault="00245259" w:rsidP="00012DD6">
      <w:pPr>
        <w:numPr>
          <w:ilvl w:val="0"/>
          <w:numId w:val="74"/>
        </w:numPr>
        <w:spacing w:after="120"/>
        <w:rPr>
          <w:rFonts w:eastAsia="Verdana" w:cs="Times New Roman"/>
          <w:szCs w:val="17"/>
        </w:rPr>
      </w:pPr>
      <w:r w:rsidRPr="00BF281D">
        <w:rPr>
          <w:rFonts w:eastAsia="Verdana" w:cs="Times New Roman"/>
          <w:szCs w:val="17"/>
        </w:rPr>
        <w:t>the level of investment and exploration in the Victorian onshore conventional petroleum sector</w:t>
      </w:r>
    </w:p>
    <w:p w14:paraId="18B3BE62" w14:textId="35934E22" w:rsidR="00245259" w:rsidRPr="00BF281D" w:rsidRDefault="00245259" w:rsidP="00012DD6">
      <w:pPr>
        <w:numPr>
          <w:ilvl w:val="0"/>
          <w:numId w:val="74"/>
        </w:numPr>
        <w:spacing w:after="120"/>
        <w:rPr>
          <w:rFonts w:eastAsia="Verdana" w:cs="Times New Roman"/>
          <w:szCs w:val="17"/>
        </w:rPr>
      </w:pPr>
      <w:r w:rsidRPr="00BF281D">
        <w:rPr>
          <w:rFonts w:eastAsia="Verdana" w:cs="Times New Roman"/>
          <w:szCs w:val="17"/>
        </w:rPr>
        <w:t xml:space="preserve">the extent of </w:t>
      </w:r>
      <w:r w:rsidR="002B1D34">
        <w:rPr>
          <w:rFonts w:eastAsia="Verdana" w:cs="Times New Roman"/>
          <w:szCs w:val="17"/>
        </w:rPr>
        <w:t>cooperation and information sharing</w:t>
      </w:r>
      <w:r w:rsidRPr="00BF281D">
        <w:rPr>
          <w:rFonts w:eastAsia="Verdana" w:cs="Times New Roman"/>
          <w:szCs w:val="17"/>
        </w:rPr>
        <w:t xml:space="preserve"> between industry and community</w:t>
      </w:r>
      <w:r w:rsidR="007C6B4F">
        <w:rPr>
          <w:rFonts w:eastAsia="Verdana" w:cs="Times New Roman"/>
          <w:szCs w:val="17"/>
        </w:rPr>
        <w:t xml:space="preserve">, and </w:t>
      </w:r>
    </w:p>
    <w:p w14:paraId="4F8763E0" w14:textId="77777777" w:rsidR="00245259" w:rsidRPr="00BF281D" w:rsidRDefault="00245259" w:rsidP="00012DD6">
      <w:pPr>
        <w:numPr>
          <w:ilvl w:val="0"/>
          <w:numId w:val="74"/>
        </w:numPr>
        <w:spacing w:after="120"/>
        <w:rPr>
          <w:rFonts w:eastAsia="Verdana" w:cs="Times New Roman"/>
          <w:szCs w:val="17"/>
        </w:rPr>
      </w:pPr>
      <w:r w:rsidRPr="00BF281D">
        <w:rPr>
          <w:rFonts w:eastAsia="Verdana" w:cs="Times New Roman"/>
          <w:szCs w:val="17"/>
        </w:rPr>
        <w:t>the quantity and extent of environmental incidents occurring in the petroleum sector.</w:t>
      </w:r>
    </w:p>
    <w:p w14:paraId="6E2B7CBF" w14:textId="3DF1331F" w:rsidR="00D117F2" w:rsidRPr="00C672BD" w:rsidRDefault="00E03073" w:rsidP="008343C9">
      <w:pPr>
        <w:spacing w:after="120"/>
        <w:rPr>
          <w:rFonts w:eastAsia="Verdana" w:cs="Times New Roman"/>
          <w:color w:val="012169" w:themeColor="accent4"/>
          <w:szCs w:val="17"/>
        </w:rPr>
      </w:pPr>
      <w:r w:rsidRPr="00C672BD">
        <w:rPr>
          <w:rFonts w:eastAsia="Times New Roman" w:cs="Times New Roman"/>
          <w:b/>
          <w:color w:val="012169" w:themeColor="accent4"/>
          <w:szCs w:val="28"/>
        </w:rPr>
        <w:t>Fees and charges</w:t>
      </w:r>
    </w:p>
    <w:p w14:paraId="3FE4FB2F" w14:textId="7966B5F9" w:rsidR="00D117F2" w:rsidRPr="008343C9" w:rsidRDefault="00E03073" w:rsidP="008343C9">
      <w:pPr>
        <w:spacing w:after="120"/>
        <w:rPr>
          <w:rFonts w:eastAsia="Verdana" w:cs="Times New Roman"/>
        </w:rPr>
      </w:pPr>
      <w:r>
        <w:rPr>
          <w:rFonts w:eastAsia="Verdana" w:cs="Times New Roman"/>
        </w:rPr>
        <w:t xml:space="preserve">The current regulations provide for a range of fees and charges to apply to </w:t>
      </w:r>
      <w:r w:rsidR="001C19C0">
        <w:rPr>
          <w:rFonts w:eastAsia="Verdana" w:cs="Times New Roman"/>
        </w:rPr>
        <w:t xml:space="preserve">authorisations, including annual fees, application fees, </w:t>
      </w:r>
      <w:r w:rsidR="00881204">
        <w:rPr>
          <w:rFonts w:eastAsia="Verdana" w:cs="Times New Roman"/>
        </w:rPr>
        <w:t xml:space="preserve">and </w:t>
      </w:r>
      <w:r w:rsidR="001C19C0">
        <w:rPr>
          <w:rFonts w:eastAsia="Verdana" w:cs="Times New Roman"/>
        </w:rPr>
        <w:t>renewal fees</w:t>
      </w:r>
      <w:r w:rsidR="00881204">
        <w:rPr>
          <w:rFonts w:eastAsia="Verdana" w:cs="Times New Roman"/>
        </w:rPr>
        <w:t>. A</w:t>
      </w:r>
      <w:r w:rsidR="00D117F2" w:rsidRPr="008343C9">
        <w:rPr>
          <w:rFonts w:eastAsia="Verdana" w:cs="Times New Roman"/>
        </w:rPr>
        <w:t xml:space="preserve"> broader review of the existing fees and charges </w:t>
      </w:r>
      <w:r w:rsidR="00881204">
        <w:rPr>
          <w:rFonts w:eastAsia="Verdana" w:cs="Times New Roman"/>
        </w:rPr>
        <w:t xml:space="preserve">is </w:t>
      </w:r>
      <w:r w:rsidR="006E34FB">
        <w:rPr>
          <w:rFonts w:eastAsia="Verdana" w:cs="Times New Roman"/>
        </w:rPr>
        <w:t>intended</w:t>
      </w:r>
      <w:r w:rsidR="00881204">
        <w:rPr>
          <w:rFonts w:eastAsia="Verdana" w:cs="Times New Roman"/>
        </w:rPr>
        <w:t xml:space="preserve"> to be undertaken to</w:t>
      </w:r>
      <w:r w:rsidR="00D117F2" w:rsidRPr="008343C9">
        <w:rPr>
          <w:rFonts w:eastAsia="Verdana" w:cs="Times New Roman"/>
        </w:rPr>
        <w:t xml:space="preserve"> consider their appropriateness and whether any changes need to be made (such as the introduction or removal of any fees / charges). It is therefore proposed that the existing fees and charges will remain unchanged under the proposed regulations.</w:t>
      </w:r>
    </w:p>
    <w:p w14:paraId="5E79FD2E" w14:textId="77777777" w:rsidR="00245259" w:rsidRPr="00C672BD" w:rsidRDefault="00245259" w:rsidP="00245259">
      <w:pPr>
        <w:keepNext/>
        <w:keepLines/>
        <w:spacing w:before="240" w:after="0" w:line="280" w:lineRule="atLeast"/>
        <w:rPr>
          <w:b/>
          <w:color w:val="012169" w:themeColor="accent4"/>
        </w:rPr>
      </w:pPr>
      <w:r w:rsidRPr="00C672BD">
        <w:rPr>
          <w:rFonts w:eastAsia="Times New Roman" w:cs="Times New Roman"/>
          <w:b/>
          <w:color w:val="012169" w:themeColor="accent4"/>
          <w:szCs w:val="28"/>
        </w:rPr>
        <w:t xml:space="preserve">Public consultation </w:t>
      </w:r>
    </w:p>
    <w:p w14:paraId="3DC485B7" w14:textId="6062D16B" w:rsidR="0004262D" w:rsidRDefault="00245259" w:rsidP="0004262D">
      <w:pPr>
        <w:spacing w:after="0"/>
        <w:rPr>
          <w:rFonts w:ascii="Segoe UI" w:hAnsi="Segoe UI" w:cs="Segoe UI"/>
          <w:sz w:val="21"/>
          <w:szCs w:val="21"/>
        </w:rPr>
      </w:pPr>
      <w:r w:rsidRPr="00BF281D">
        <w:rPr>
          <w:rFonts w:eastAsia="Verdana" w:cs="Times New Roman"/>
        </w:rPr>
        <w:t xml:space="preserve">The department welcomes feedback from all interested members of the public on any matters they feel would improve the proposed </w:t>
      </w:r>
      <w:r w:rsidR="006C5DDC">
        <w:rPr>
          <w:rFonts w:eastAsia="Verdana" w:cs="Times New Roman"/>
        </w:rPr>
        <w:t>regulations</w:t>
      </w:r>
      <w:r w:rsidRPr="00BF281D">
        <w:rPr>
          <w:rFonts w:eastAsia="Verdana" w:cs="Times New Roman"/>
        </w:rPr>
        <w:t xml:space="preserve">. </w:t>
      </w:r>
      <w:r w:rsidR="00467D2A">
        <w:rPr>
          <w:rFonts w:eastAsia="Verdana" w:cs="Times New Roman"/>
        </w:rPr>
        <w:t>The proposed regulations are not final, and improvements or changes may be made in response to public comment.</w:t>
      </w:r>
      <w:r w:rsidR="000F1344">
        <w:rPr>
          <w:rFonts w:eastAsia="Verdana" w:cs="Times New Roman"/>
        </w:rPr>
        <w:t xml:space="preserve"> </w:t>
      </w:r>
      <w:r w:rsidRPr="00BF281D">
        <w:rPr>
          <w:rFonts w:eastAsia="Verdana" w:cs="Times New Roman"/>
        </w:rPr>
        <w:t xml:space="preserve">The consultation period for this RIS will </w:t>
      </w:r>
      <w:r w:rsidR="0033581D">
        <w:rPr>
          <w:rFonts w:eastAsia="Verdana" w:cs="Times New Roman"/>
        </w:rPr>
        <w:t>be open for 28 days, and written comments can be submitted via</w:t>
      </w:r>
      <w:r w:rsidR="0004262D">
        <w:rPr>
          <w:rFonts w:eastAsia="Verdana" w:cs="Times New Roman"/>
        </w:rPr>
        <w:t xml:space="preserve"> </w:t>
      </w:r>
    </w:p>
    <w:p w14:paraId="374A8124" w14:textId="4FCEE74E" w:rsidR="0004262D" w:rsidRPr="00C672BD" w:rsidRDefault="00C672BD" w:rsidP="0004262D">
      <w:pPr>
        <w:rPr>
          <w:rFonts w:asciiTheme="minorHAnsi" w:hAnsiTheme="minorHAnsi" w:cs="Segoe UI"/>
          <w:color w:val="012169" w:themeColor="accent4"/>
        </w:rPr>
      </w:pPr>
      <w:hyperlink r:id="rId26" w:history="1">
        <w:r w:rsidR="0004262D" w:rsidRPr="00C672BD">
          <w:rPr>
            <w:rStyle w:val="Hyperlink"/>
            <w:rFonts w:asciiTheme="minorHAnsi" w:hAnsiTheme="minorHAnsi" w:cs="Segoe UI"/>
            <w:color w:val="012169" w:themeColor="accent4"/>
          </w:rPr>
          <w:t>www.engage.vic.gov.au/regulatory-impact-statement-draft-petroleum-regulations</w:t>
        </w:r>
      </w:hyperlink>
      <w:r w:rsidR="0004262D" w:rsidRPr="00C672BD">
        <w:rPr>
          <w:rFonts w:asciiTheme="minorHAnsi" w:hAnsiTheme="minorHAnsi" w:cs="Segoe UI"/>
          <w:color w:val="012169" w:themeColor="accent4"/>
        </w:rPr>
        <w:t>.</w:t>
      </w:r>
    </w:p>
    <w:p w14:paraId="03CD393F" w14:textId="77777777" w:rsidR="0004262D" w:rsidRDefault="0004262D" w:rsidP="0004262D">
      <w:pPr>
        <w:rPr>
          <w:rFonts w:ascii="Segoe UI" w:hAnsi="Segoe UI" w:cs="Segoe UI"/>
          <w:sz w:val="21"/>
          <w:szCs w:val="21"/>
        </w:rPr>
      </w:pPr>
    </w:p>
    <w:p w14:paraId="2EA3F271" w14:textId="40491CBE" w:rsidR="00232866" w:rsidRPr="00BF281D" w:rsidRDefault="0033581D" w:rsidP="00BF3260">
      <w:pPr>
        <w:sectPr w:rsidR="00232866" w:rsidRPr="00BF281D" w:rsidSect="002B2748">
          <w:headerReference w:type="default" r:id="rId27"/>
          <w:footerReference w:type="default" r:id="rId28"/>
          <w:pgSz w:w="11906" w:h="16838" w:code="9"/>
          <w:pgMar w:top="1560" w:right="1559" w:bottom="1276" w:left="680" w:header="680" w:footer="425" w:gutter="0"/>
          <w:pgNumType w:fmt="lowerRoman"/>
          <w:cols w:space="284"/>
          <w:noEndnote/>
          <w:docGrid w:linePitch="360"/>
        </w:sectPr>
      </w:pPr>
      <w:r>
        <w:rPr>
          <w:rFonts w:eastAsia="Verdana" w:cs="Times New Roman"/>
        </w:rPr>
        <w:t xml:space="preserve">   </w:t>
      </w:r>
    </w:p>
    <w:p w14:paraId="62989EA8" w14:textId="11ED16CD" w:rsidR="00BF3260" w:rsidRPr="00BF281D" w:rsidRDefault="00BF3260" w:rsidP="00FE6C88">
      <w:pPr>
        <w:pStyle w:val="Heading1"/>
      </w:pPr>
      <w:bookmarkStart w:id="51" w:name="_Toc462313129"/>
      <w:bookmarkStart w:id="52" w:name="_Toc462317839"/>
      <w:bookmarkStart w:id="53" w:name="_Toc462397803"/>
      <w:bookmarkStart w:id="54" w:name="_Toc463002430"/>
      <w:bookmarkStart w:id="55" w:name="_Toc472586342"/>
      <w:bookmarkStart w:id="56" w:name="_Toc482168120"/>
      <w:bookmarkStart w:id="57" w:name="_Toc482174907"/>
      <w:bookmarkStart w:id="58" w:name="_Toc69839565"/>
      <w:bookmarkStart w:id="59" w:name="_Toc67663747"/>
      <w:r w:rsidRPr="00817682">
        <w:lastRenderedPageBreak/>
        <w:t>Background</w:t>
      </w:r>
      <w:bookmarkEnd w:id="51"/>
      <w:bookmarkEnd w:id="52"/>
      <w:bookmarkEnd w:id="53"/>
      <w:bookmarkEnd w:id="54"/>
      <w:bookmarkEnd w:id="55"/>
      <w:bookmarkEnd w:id="56"/>
      <w:bookmarkEnd w:id="57"/>
      <w:bookmarkEnd w:id="58"/>
      <w:bookmarkEnd w:id="59"/>
    </w:p>
    <w:p w14:paraId="5DA51C2D" w14:textId="393E21F7" w:rsidR="007A638D" w:rsidRPr="00BF281D" w:rsidRDefault="007A638D" w:rsidP="00EE32CD">
      <w:pPr>
        <w:pStyle w:val="Heading2"/>
      </w:pPr>
      <w:bookmarkStart w:id="60" w:name="_Toc69839566"/>
      <w:bookmarkStart w:id="61" w:name="_Toc67663748"/>
      <w:r w:rsidRPr="00C672BD">
        <w:rPr>
          <w:color w:val="012169" w:themeColor="accent4"/>
        </w:rPr>
        <w:t>Moratorium historical framework</w:t>
      </w:r>
      <w:bookmarkEnd w:id="60"/>
      <w:bookmarkEnd w:id="61"/>
    </w:p>
    <w:p w14:paraId="2236E29C" w14:textId="14990DD3" w:rsidR="007A638D" w:rsidRPr="00BF281D" w:rsidRDefault="007A638D" w:rsidP="007A638D">
      <w:r w:rsidRPr="00BF281D">
        <w:t xml:space="preserve">In August 2012, the Victorian Government announced a moratorium on onshore hydraulic fracturing and coal seam gas exploration in Victoria, with immediate effect. This included a hold on approvals to undertake hydraulic fracturing exploration, new coal seam gas </w:t>
      </w:r>
      <w:r w:rsidR="009D59F5">
        <w:t>exploration permits</w:t>
      </w:r>
      <w:r w:rsidRPr="00BF281D">
        <w:t xml:space="preserve">, and a legislative ban on the use of BTEX (benzene, toluene, </w:t>
      </w:r>
      <w:proofErr w:type="gramStart"/>
      <w:r w:rsidRPr="00BF281D">
        <w:t>ethylbenzene</w:t>
      </w:r>
      <w:proofErr w:type="gramEnd"/>
      <w:r w:rsidRPr="00BF281D">
        <w:t xml:space="preserve"> and xylene) </w:t>
      </w:r>
      <w:r w:rsidR="00532C73" w:rsidRPr="00BF281D">
        <w:t>chemicals.</w:t>
      </w:r>
      <w:r w:rsidRPr="00BF281D">
        <w:t xml:space="preserve"> </w:t>
      </w:r>
    </w:p>
    <w:p w14:paraId="5527F62B" w14:textId="77777777" w:rsidR="007A638D" w:rsidRPr="00BF281D" w:rsidRDefault="007A638D" w:rsidP="007A638D">
      <w:pPr>
        <w:rPr>
          <w:b/>
          <w:bCs/>
        </w:rPr>
      </w:pPr>
      <w:r w:rsidRPr="00BF281D">
        <w:t>In November 2013, the moratorium was extended while the government conducted water science studies and undertook community consultation.</w:t>
      </w:r>
    </w:p>
    <w:p w14:paraId="791BC2DC" w14:textId="1E707566" w:rsidR="007A638D" w:rsidRPr="00BF281D" w:rsidRDefault="007A638D" w:rsidP="007A638D">
      <w:r w:rsidRPr="00BF281D">
        <w:t xml:space="preserve">In May 2014, the Victorian Government further extended the moratorium to </w:t>
      </w:r>
      <w:r w:rsidRPr="00BF281D">
        <w:rPr>
          <w:b/>
        </w:rPr>
        <w:t>all</w:t>
      </w:r>
      <w:r w:rsidRPr="00BF281D">
        <w:t xml:space="preserve"> onshore gas </w:t>
      </w:r>
      <w:r w:rsidR="009D59F5">
        <w:t>exploration permits</w:t>
      </w:r>
      <w:r w:rsidRPr="00BF281D">
        <w:t xml:space="preserve">. The </w:t>
      </w:r>
      <w:r w:rsidR="00FC3DF4">
        <w:t>g</w:t>
      </w:r>
      <w:r w:rsidRPr="00BF281D">
        <w:t xml:space="preserve">overnment actioned the moratorium </w:t>
      </w:r>
      <w:proofErr w:type="gramStart"/>
      <w:r w:rsidRPr="00BF281D">
        <w:t>in order to</w:t>
      </w:r>
      <w:proofErr w:type="gramEnd"/>
      <w:r w:rsidRPr="00BF281D">
        <w:t xml:space="preserve"> undertake further water science studies and community engagement programs that would inform onshore unconventional gas policies. This meant that exploratory work possible under the August 2012 moratorium could no longer be complete</w:t>
      </w:r>
      <w:r w:rsidR="00A51F49">
        <w:t>d</w:t>
      </w:r>
      <w:r w:rsidRPr="00BF281D">
        <w:t xml:space="preserve">, and companies would not be compensated for any losses. </w:t>
      </w:r>
      <w:r w:rsidR="00C97D92">
        <w:t>Certain authorities, specified in section 17</w:t>
      </w:r>
      <w:proofErr w:type="gramStart"/>
      <w:r w:rsidR="00C97D92">
        <w:t>A(</w:t>
      </w:r>
      <w:proofErr w:type="gramEnd"/>
      <w:r w:rsidR="00C97D92">
        <w:t xml:space="preserve">3) of the Amendment Act, were exempt from the moratorium. </w:t>
      </w:r>
      <w:r w:rsidRPr="00BF281D">
        <w:t xml:space="preserve">New regulatory decisions on applications to undertake work and operations were halted. </w:t>
      </w:r>
    </w:p>
    <w:p w14:paraId="390F59B3" w14:textId="5B548B17" w:rsidR="007A638D" w:rsidRPr="00BF281D" w:rsidRDefault="007A638D" w:rsidP="007A638D">
      <w:r w:rsidRPr="00BF281D">
        <w:t>In May 2015, the Victorian Government launched a Parliamentary Inquiry into onshore unconventional gas exploration and production in Victoria. The final ‘</w:t>
      </w:r>
      <w:r w:rsidRPr="00BF281D">
        <w:rPr>
          <w:i/>
        </w:rPr>
        <w:t>Inquiry into Onshore Unconventional Gas in Victoria</w:t>
      </w:r>
      <w:r w:rsidRPr="00BF281D">
        <w:t>’</w:t>
      </w:r>
      <w:r w:rsidRPr="00817682">
        <w:rPr>
          <w:rStyle w:val="EndnoteReference"/>
        </w:rPr>
        <w:endnoteReference w:id="2"/>
      </w:r>
      <w:r w:rsidRPr="00817682">
        <w:t xml:space="preserve"> report was tabled in Parliament on 8 December 2015. The final report, which was not unanimous, proposed a range of recommendations, but did not reach a majority decision on</w:t>
      </w:r>
      <w:r w:rsidRPr="00BF281D">
        <w:t xml:space="preserve"> the key issue of whether to ban the unconventional gas industry in Victoria or provide a five-year extension of the current moratorium.</w:t>
      </w:r>
    </w:p>
    <w:p w14:paraId="678FC790" w14:textId="39BAA5CE" w:rsidR="00712970" w:rsidRPr="00BF281D" w:rsidRDefault="00712970" w:rsidP="00712970">
      <w:r w:rsidRPr="00BF281D">
        <w:t xml:space="preserve">In 2017 the Victorian Government passed the </w:t>
      </w:r>
      <w:r w:rsidRPr="00BF281D">
        <w:rPr>
          <w:i/>
          <w:iCs/>
        </w:rPr>
        <w:t>Resources Amendment Legislation (</w:t>
      </w:r>
      <w:r w:rsidRPr="00BF281D">
        <w:rPr>
          <w:i/>
        </w:rPr>
        <w:t>Fracking Ban</w:t>
      </w:r>
      <w:r w:rsidRPr="00BF281D">
        <w:rPr>
          <w:i/>
          <w:iCs/>
        </w:rPr>
        <w:t>)</w:t>
      </w:r>
      <w:r w:rsidRPr="00BF281D">
        <w:rPr>
          <w:i/>
        </w:rPr>
        <w:t xml:space="preserve"> Act </w:t>
      </w:r>
      <w:r w:rsidRPr="00BF281D">
        <w:t>2017 (</w:t>
      </w:r>
      <w:r w:rsidR="00AE78FD" w:rsidRPr="00BF281D">
        <w:t>Vic)</w:t>
      </w:r>
      <w:r w:rsidRPr="00BF281D">
        <w:t xml:space="preserve"> (Fracking Ban Act). The main purpose of this Act was to amend the </w:t>
      </w:r>
      <w:r w:rsidRPr="00BF281D">
        <w:rPr>
          <w:i/>
        </w:rPr>
        <w:t xml:space="preserve">Petroleum Act </w:t>
      </w:r>
      <w:r w:rsidR="001E3749" w:rsidRPr="00BF281D">
        <w:rPr>
          <w:i/>
          <w:iCs/>
        </w:rPr>
        <w:t xml:space="preserve">1998 </w:t>
      </w:r>
      <w:r w:rsidR="001E3749" w:rsidRPr="00BF281D">
        <w:t>(Vic) (the</w:t>
      </w:r>
      <w:r w:rsidRPr="00BF281D">
        <w:t xml:space="preserve"> Petroleum Act</w:t>
      </w:r>
      <w:r w:rsidR="001E3749" w:rsidRPr="00BF281D">
        <w:t>)</w:t>
      </w:r>
      <w:r w:rsidRPr="00BF281D">
        <w:t xml:space="preserve"> to: </w:t>
      </w:r>
    </w:p>
    <w:p w14:paraId="11E7C3DF" w14:textId="5568E4AB" w:rsidR="00712970" w:rsidRPr="00BF281D" w:rsidRDefault="00712970" w:rsidP="00AE11D2">
      <w:pPr>
        <w:pStyle w:val="ListParagraph"/>
        <w:numPr>
          <w:ilvl w:val="0"/>
          <w:numId w:val="24"/>
        </w:numPr>
      </w:pPr>
      <w:r w:rsidRPr="00BF281D">
        <w:t>ban hydraulic fracturing</w:t>
      </w:r>
    </w:p>
    <w:p w14:paraId="0351EC5A" w14:textId="341962DE" w:rsidR="00712970" w:rsidRPr="00BF281D" w:rsidRDefault="00712970" w:rsidP="00AE11D2">
      <w:pPr>
        <w:pStyle w:val="ListParagraph"/>
        <w:numPr>
          <w:ilvl w:val="0"/>
          <w:numId w:val="24"/>
        </w:numPr>
      </w:pPr>
      <w:r w:rsidRPr="00BF281D">
        <w:t>impose a moratorium on petroleum exploration and petroleum production in the onshore areas of Victoria until 30 June 2020</w:t>
      </w:r>
      <w:r w:rsidR="001B751F">
        <w:t xml:space="preserve">, </w:t>
      </w:r>
      <w:r w:rsidR="00014FD8" w:rsidRPr="00BF281D">
        <w:t>and</w:t>
      </w:r>
      <w:r w:rsidRPr="00BF281D">
        <w:t xml:space="preserve"> </w:t>
      </w:r>
    </w:p>
    <w:p w14:paraId="78E4DDDB" w14:textId="77777777" w:rsidR="00712970" w:rsidRPr="00BF281D" w:rsidRDefault="00712970" w:rsidP="00AE11D2">
      <w:pPr>
        <w:pStyle w:val="ListParagraph"/>
        <w:numPr>
          <w:ilvl w:val="0"/>
          <w:numId w:val="24"/>
        </w:numPr>
      </w:pPr>
      <w:r w:rsidRPr="00BF281D">
        <w:t xml:space="preserve">enable the Minister to pay for the surrender of certain exploration permits, retention leases and production licences. </w:t>
      </w:r>
    </w:p>
    <w:p w14:paraId="0E398D4F" w14:textId="65961700" w:rsidR="00712970" w:rsidRPr="00012DD6" w:rsidRDefault="00712970" w:rsidP="00712970">
      <w:r w:rsidRPr="00012DD6">
        <w:t>In March 2020, the Victorian Government introduced the Constitution Amendment (Fracking Ban) Bill 2020</w:t>
      </w:r>
      <w:r w:rsidR="008A6B3D" w:rsidRPr="00012DD6">
        <w:t xml:space="preserve"> (Vic</w:t>
      </w:r>
      <w:proofErr w:type="gramStart"/>
      <w:r w:rsidR="008A6B3D" w:rsidRPr="00012DD6">
        <w:t>)</w:t>
      </w:r>
      <w:proofErr w:type="gramEnd"/>
      <w:r w:rsidR="00FE270A">
        <w:t xml:space="preserve"> and the Parliament passed the bill in March 2021</w:t>
      </w:r>
      <w:r w:rsidRPr="00012DD6">
        <w:t>. Th</w:t>
      </w:r>
      <w:r w:rsidR="00FE270A">
        <w:t xml:space="preserve">e amendments </w:t>
      </w:r>
      <w:r w:rsidR="0078086A" w:rsidRPr="00012DD6">
        <w:t xml:space="preserve">enshrine </w:t>
      </w:r>
      <w:r w:rsidRPr="00012DD6">
        <w:t xml:space="preserve">the prohibitions on hydraulic fracturing and coal seam gas exploration and mining into the </w:t>
      </w:r>
      <w:r w:rsidRPr="00012DD6">
        <w:rPr>
          <w:i/>
          <w:iCs/>
        </w:rPr>
        <w:t>Constitution Act 1975</w:t>
      </w:r>
      <w:r w:rsidR="00445911" w:rsidRPr="00012DD6">
        <w:rPr>
          <w:i/>
          <w:iCs/>
        </w:rPr>
        <w:t xml:space="preserve"> </w:t>
      </w:r>
      <w:r w:rsidR="00445911" w:rsidRPr="00012DD6">
        <w:t>(Vic)</w:t>
      </w:r>
      <w:r w:rsidRPr="00012DD6">
        <w:t xml:space="preserve">. </w:t>
      </w:r>
      <w:r w:rsidR="006220B7">
        <w:t>They</w:t>
      </w:r>
      <w:r w:rsidRPr="00012DD6">
        <w:t xml:space="preserve"> also prohibit Parliament from repealing, </w:t>
      </w:r>
      <w:proofErr w:type="gramStart"/>
      <w:r w:rsidRPr="00012DD6">
        <w:t>altering</w:t>
      </w:r>
      <w:proofErr w:type="gramEnd"/>
      <w:r w:rsidRPr="00012DD6">
        <w:t xml:space="preserve"> or varying any sections of the Petroleum Act or the </w:t>
      </w:r>
      <w:r w:rsidRPr="00012DD6">
        <w:rPr>
          <w:i/>
          <w:iCs/>
        </w:rPr>
        <w:t>Mineral Resources (Sustainable Development) Act 1990</w:t>
      </w:r>
      <w:r w:rsidRPr="00012DD6">
        <w:t xml:space="preserve"> </w:t>
      </w:r>
      <w:r w:rsidR="001F207C" w:rsidRPr="00012DD6">
        <w:t>(</w:t>
      </w:r>
      <w:r w:rsidR="00445911" w:rsidRPr="00012DD6">
        <w:t xml:space="preserve">Vic) </w:t>
      </w:r>
      <w:r w:rsidR="006220B7">
        <w:t>that</w:t>
      </w:r>
      <w:r w:rsidR="006220B7" w:rsidRPr="00012DD6">
        <w:t xml:space="preserve"> </w:t>
      </w:r>
      <w:r w:rsidRPr="00012DD6">
        <w:t>relate to the prohibition o</w:t>
      </w:r>
      <w:r w:rsidR="0078086A" w:rsidRPr="00012DD6">
        <w:t>n</w:t>
      </w:r>
      <w:r w:rsidRPr="00012DD6">
        <w:t xml:space="preserve"> fracking, or CSG exploration or licences.</w:t>
      </w:r>
    </w:p>
    <w:p w14:paraId="50EEDA1A" w14:textId="77777777" w:rsidR="00712970" w:rsidRPr="00012DD6" w:rsidRDefault="00712970" w:rsidP="00712970">
      <w:pPr>
        <w:pStyle w:val="Heading3"/>
      </w:pPr>
      <w:r w:rsidRPr="00012DD6">
        <w:t>Impending orderly restart of the industry following the moratorium being lifted</w:t>
      </w:r>
    </w:p>
    <w:p w14:paraId="7631FF71" w14:textId="35E4431E" w:rsidR="00712970" w:rsidRPr="00012DD6" w:rsidRDefault="00712970" w:rsidP="00712970">
      <w:r w:rsidRPr="00012DD6">
        <w:t xml:space="preserve">In June 2020, </w:t>
      </w:r>
      <w:r w:rsidR="001F207C" w:rsidRPr="00012DD6">
        <w:t xml:space="preserve">the </w:t>
      </w:r>
      <w:r w:rsidRPr="00012DD6">
        <w:t>Victoria</w:t>
      </w:r>
      <w:r w:rsidR="001F207C" w:rsidRPr="00012DD6">
        <w:t xml:space="preserve">n </w:t>
      </w:r>
      <w:r w:rsidR="00D1183C">
        <w:t>Parliament</w:t>
      </w:r>
      <w:r w:rsidR="00D1183C" w:rsidRPr="00012DD6">
        <w:t xml:space="preserve"> </w:t>
      </w:r>
      <w:r w:rsidRPr="00012DD6">
        <w:t xml:space="preserve">passed the </w:t>
      </w:r>
      <w:r w:rsidR="002C2FF8" w:rsidRPr="00C73B72">
        <w:rPr>
          <w:i/>
        </w:rPr>
        <w:t xml:space="preserve">Petroleum Legislation Amendment </w:t>
      </w:r>
      <w:r w:rsidR="00D90B75" w:rsidRPr="002E7298">
        <w:rPr>
          <w:i/>
          <w:iCs/>
        </w:rPr>
        <w:t>Act</w:t>
      </w:r>
      <w:r w:rsidR="00D90B75" w:rsidRPr="00C73B72">
        <w:rPr>
          <w:i/>
        </w:rPr>
        <w:t xml:space="preserve"> </w:t>
      </w:r>
      <w:r w:rsidR="002C2FF8" w:rsidRPr="00C73B72">
        <w:rPr>
          <w:i/>
        </w:rPr>
        <w:t>2020</w:t>
      </w:r>
      <w:r w:rsidR="002C2FF8" w:rsidRPr="00012DD6">
        <w:t xml:space="preserve"> (</w:t>
      </w:r>
      <w:r w:rsidR="001F207C" w:rsidRPr="00012DD6">
        <w:t xml:space="preserve">Vic) </w:t>
      </w:r>
      <w:r w:rsidR="002C2FF8" w:rsidRPr="00012DD6">
        <w:t>(</w:t>
      </w:r>
      <w:r w:rsidR="00501462">
        <w:t>the</w:t>
      </w:r>
      <w:r w:rsidR="002C2FF8" w:rsidRPr="00012DD6">
        <w:t xml:space="preserve"> Amendment Act)</w:t>
      </w:r>
      <w:r w:rsidRPr="00012DD6">
        <w:t>.</w:t>
      </w:r>
      <w:r w:rsidR="008F2B50">
        <w:t xml:space="preserve"> This </w:t>
      </w:r>
      <w:r w:rsidR="00BE0D43">
        <w:t>Act follow</w:t>
      </w:r>
      <w:r w:rsidR="00EA5CF9">
        <w:t>s rigorous consideration of scientific research complied through the V</w:t>
      </w:r>
      <w:r w:rsidR="00AD106E">
        <w:t xml:space="preserve">ictorian </w:t>
      </w:r>
      <w:r w:rsidR="003321CF">
        <w:t>G</w:t>
      </w:r>
      <w:r w:rsidR="00AD106E">
        <w:t>as Program</w:t>
      </w:r>
      <w:r w:rsidR="003321CF">
        <w:t>. The comprehensive scientific researc</w:t>
      </w:r>
      <w:r w:rsidR="00ED6DF5">
        <w:t xml:space="preserve">h </w:t>
      </w:r>
      <w:r w:rsidR="003321CF">
        <w:t>assessed the risk</w:t>
      </w:r>
      <w:r w:rsidR="00015BEE">
        <w:t>s, benefits and impacts associated with o</w:t>
      </w:r>
      <w:r w:rsidR="002C547D">
        <w:t xml:space="preserve">nshore conventional gas </w:t>
      </w:r>
      <w:r w:rsidR="00ED6DF5">
        <w:t>and</w:t>
      </w:r>
      <w:r w:rsidR="002C547D">
        <w:t xml:space="preserve"> confirm</w:t>
      </w:r>
      <w:r w:rsidR="00ED6DF5">
        <w:t>ed</w:t>
      </w:r>
      <w:r w:rsidR="002C547D">
        <w:t xml:space="preserve"> that natural gas production is safe and sustainable.</w:t>
      </w:r>
      <w:r w:rsidRPr="00012DD6">
        <w:t xml:space="preserve"> The purpose of </w:t>
      </w:r>
      <w:r w:rsidR="00CE3AD5" w:rsidRPr="00012DD6">
        <w:t>this legislation was</w:t>
      </w:r>
      <w:r w:rsidRPr="00012DD6">
        <w:t xml:space="preserve"> to amend the </w:t>
      </w:r>
      <w:r w:rsidR="00854C60" w:rsidRPr="00012DD6">
        <w:t xml:space="preserve">Petroleum Act </w:t>
      </w:r>
      <w:r w:rsidRPr="00012DD6">
        <w:t>to allow for the lifting of the moratorium on onshore petroleum exploration and development in Victoria, as well as:</w:t>
      </w:r>
    </w:p>
    <w:p w14:paraId="772196BF" w14:textId="10EFB2AA" w:rsidR="00712970" w:rsidRPr="00012DD6" w:rsidRDefault="00712970" w:rsidP="00712970">
      <w:pPr>
        <w:pStyle w:val="ListParagraph"/>
        <w:numPr>
          <w:ilvl w:val="0"/>
          <w:numId w:val="19"/>
        </w:numPr>
      </w:pPr>
      <w:r w:rsidRPr="00012DD6">
        <w:t xml:space="preserve">provide for submissions from the Victorian community to be </w:t>
      </w:r>
      <w:proofErr w:type="gramStart"/>
      <w:r w:rsidRPr="00012DD6">
        <w:t>taken into account</w:t>
      </w:r>
      <w:proofErr w:type="gramEnd"/>
      <w:r w:rsidRPr="00012DD6">
        <w:t xml:space="preserve"> in the making of certain decision</w:t>
      </w:r>
      <w:r w:rsidR="001E4D8E">
        <w:t>s</w:t>
      </w:r>
      <w:r w:rsidRPr="00012DD6">
        <w:t xml:space="preserve"> under the Act</w:t>
      </w:r>
    </w:p>
    <w:p w14:paraId="5EA11199" w14:textId="77777777" w:rsidR="00712970" w:rsidRPr="00012DD6" w:rsidRDefault="00712970" w:rsidP="00712970">
      <w:pPr>
        <w:pStyle w:val="ListParagraph"/>
        <w:numPr>
          <w:ilvl w:val="0"/>
          <w:numId w:val="19"/>
        </w:numPr>
      </w:pPr>
      <w:r w:rsidRPr="00012DD6">
        <w:t xml:space="preserve">enable prescribed social, </w:t>
      </w:r>
      <w:proofErr w:type="gramStart"/>
      <w:r w:rsidRPr="00012DD6">
        <w:t>environmental</w:t>
      </w:r>
      <w:proofErr w:type="gramEnd"/>
      <w:r w:rsidRPr="00012DD6">
        <w:t xml:space="preserve"> and economic factors to be taken into account in the making of certain decisions under the Act.</w:t>
      </w:r>
    </w:p>
    <w:p w14:paraId="2FD6F4CC" w14:textId="4EFD50BD" w:rsidR="00712970" w:rsidRPr="00012DD6" w:rsidRDefault="00F27D99" w:rsidP="00712970">
      <w:r>
        <w:lastRenderedPageBreak/>
        <w:t xml:space="preserve">Chart </w:t>
      </w:r>
      <w:r w:rsidR="0087225D">
        <w:t xml:space="preserve">1.1 </w:t>
      </w:r>
      <w:r w:rsidR="00712970" w:rsidRPr="00012DD6">
        <w:t xml:space="preserve">illustrates the timeline of key government decision dates in Victoria’s petroleum sector. </w:t>
      </w:r>
    </w:p>
    <w:p w14:paraId="647A10FF" w14:textId="77777777" w:rsidR="00712970" w:rsidRPr="00012DD6" w:rsidRDefault="00712970" w:rsidP="00C73B72">
      <w:pPr>
        <w:pStyle w:val="CaptionChart"/>
      </w:pPr>
      <w:bookmarkStart w:id="62" w:name="_Toc68799777"/>
      <w:bookmarkStart w:id="63" w:name="_Toc66354728"/>
      <w:r w:rsidRPr="00C672BD">
        <w:rPr>
          <w:color w:val="auto"/>
        </w:rPr>
        <w:t>: Timeline of key government decisions in Victoria’s petroleum sector</w:t>
      </w:r>
      <w:bookmarkEnd w:id="62"/>
      <w:bookmarkEnd w:id="63"/>
    </w:p>
    <w:p w14:paraId="39EAED24" w14:textId="4D9178B7" w:rsidR="00712970" w:rsidRPr="00012DD6" w:rsidRDefault="00385217" w:rsidP="00712970">
      <w:r w:rsidRPr="00385217">
        <w:rPr>
          <w:noProof/>
        </w:rPr>
        <w:drawing>
          <wp:inline distT="0" distB="0" distL="0" distR="0" wp14:anchorId="60D0F5B2" wp14:editId="635B8DAA">
            <wp:extent cx="6138545" cy="3541395"/>
            <wp:effectExtent l="0" t="0" r="0" b="1905"/>
            <wp:docPr id="5" name="Picture 5" descr="Diagram of a timeline of key government decision dates in Victoria’s petroleum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of a timeline of key government decision dates in Victoria’s petroleum sector. "/>
                    <pic:cNvPicPr/>
                  </pic:nvPicPr>
                  <pic:blipFill>
                    <a:blip r:embed="rId29"/>
                    <a:stretch>
                      <a:fillRect/>
                    </a:stretch>
                  </pic:blipFill>
                  <pic:spPr>
                    <a:xfrm>
                      <a:off x="0" y="0"/>
                      <a:ext cx="6138545" cy="3541395"/>
                    </a:xfrm>
                    <a:prstGeom prst="rect">
                      <a:avLst/>
                    </a:prstGeom>
                  </pic:spPr>
                </pic:pic>
              </a:graphicData>
            </a:graphic>
          </wp:inline>
        </w:drawing>
      </w:r>
    </w:p>
    <w:p w14:paraId="753A0536" w14:textId="3FB2D5C1" w:rsidR="009F07C6" w:rsidRPr="00BF281D" w:rsidRDefault="0078086A" w:rsidP="00EE32CD">
      <w:pPr>
        <w:pStyle w:val="Heading2"/>
      </w:pPr>
      <w:bookmarkStart w:id="64" w:name="_Toc69839567"/>
      <w:bookmarkStart w:id="65" w:name="_Toc67663749"/>
      <w:r w:rsidRPr="00C672BD">
        <w:rPr>
          <w:color w:val="012169" w:themeColor="accent4"/>
        </w:rPr>
        <w:t>Background to the l</w:t>
      </w:r>
      <w:r w:rsidR="000D6F0B" w:rsidRPr="00C672BD">
        <w:rPr>
          <w:color w:val="012169" w:themeColor="accent4"/>
        </w:rPr>
        <w:t>egislative</w:t>
      </w:r>
      <w:r w:rsidR="00A04AA0" w:rsidRPr="00C672BD">
        <w:rPr>
          <w:color w:val="012169" w:themeColor="accent4"/>
        </w:rPr>
        <w:t xml:space="preserve"> and regulatory</w:t>
      </w:r>
      <w:r w:rsidR="000D6F0B" w:rsidRPr="00C672BD">
        <w:rPr>
          <w:color w:val="012169" w:themeColor="accent4"/>
        </w:rPr>
        <w:t xml:space="preserve"> framework</w:t>
      </w:r>
      <w:bookmarkEnd w:id="64"/>
      <w:bookmarkEnd w:id="65"/>
    </w:p>
    <w:p w14:paraId="28B59A8C" w14:textId="77777777" w:rsidR="00AB6EB8" w:rsidRDefault="00A31C16" w:rsidP="009F07C6">
      <w:r w:rsidRPr="00BF281D">
        <w:t xml:space="preserve">In Victoria, the </w:t>
      </w:r>
      <w:r w:rsidR="00FD3B1D" w:rsidRPr="00BF281D">
        <w:t xml:space="preserve">Petroleum Act </w:t>
      </w:r>
      <w:r w:rsidRPr="00BF281D">
        <w:t xml:space="preserve">provides the main legislative framework for the regulation of </w:t>
      </w:r>
      <w:r w:rsidR="005067C7" w:rsidRPr="00BF281D">
        <w:t xml:space="preserve">onshore </w:t>
      </w:r>
      <w:r w:rsidRPr="00BF281D">
        <w:t>natural gas</w:t>
      </w:r>
      <w:r w:rsidR="008A603C" w:rsidRPr="00BF281D">
        <w:t xml:space="preserve"> exploration and production</w:t>
      </w:r>
      <w:r w:rsidR="00882C23" w:rsidRPr="00BF281D">
        <w:t xml:space="preserve">. The </w:t>
      </w:r>
      <w:r w:rsidR="00E9162F" w:rsidRPr="00BF281D">
        <w:t>Petroleum</w:t>
      </w:r>
      <w:r w:rsidR="00FD3B1D" w:rsidRPr="00BF281D">
        <w:t xml:space="preserve"> </w:t>
      </w:r>
      <w:r w:rsidR="00882C23" w:rsidRPr="00BF281D">
        <w:t>Act</w:t>
      </w:r>
      <w:r w:rsidR="00B514A1" w:rsidRPr="00BF281D">
        <w:t xml:space="preserve"> </w:t>
      </w:r>
      <w:r w:rsidR="007C48AD" w:rsidRPr="00BF281D">
        <w:t xml:space="preserve">is supported by </w:t>
      </w:r>
      <w:r w:rsidR="009243BA" w:rsidRPr="00BF281D">
        <w:t xml:space="preserve">the </w:t>
      </w:r>
      <w:r w:rsidR="003A2709" w:rsidRPr="00C73B72">
        <w:t>Petroleum Regulations 2011</w:t>
      </w:r>
      <w:r w:rsidR="003A2709" w:rsidRPr="00BF281D">
        <w:t xml:space="preserve"> (</w:t>
      </w:r>
      <w:r w:rsidR="00C141C5" w:rsidRPr="00BF281D">
        <w:t>Vic)</w:t>
      </w:r>
      <w:r w:rsidR="003A2709" w:rsidRPr="00BF281D">
        <w:t xml:space="preserve"> (the Petroleum Regulations).</w:t>
      </w:r>
      <w:r w:rsidR="00EC6BCD">
        <w:t xml:space="preserve"> </w:t>
      </w:r>
    </w:p>
    <w:p w14:paraId="43F0EB6B" w14:textId="762627E0" w:rsidR="00AF372D" w:rsidRPr="00EC6BCD" w:rsidRDefault="00EC6BCD" w:rsidP="009F07C6">
      <w:r w:rsidRPr="00EC6BCD">
        <w:t>Earth Resources Regulation (ERR)</w:t>
      </w:r>
      <w:r w:rsidR="00F12451">
        <w:t xml:space="preserve">, </w:t>
      </w:r>
      <w:r w:rsidRPr="00EC6BCD">
        <w:t>within the Department of Jobs, Precincts and Regions (DJPR)</w:t>
      </w:r>
      <w:r w:rsidR="00F12451">
        <w:t>,</w:t>
      </w:r>
      <w:r w:rsidRPr="00EC6BCD">
        <w:t xml:space="preserve"> is the regulator for onshore petroleum operations in Victoria. ERR reports to the Minister for Resources on the management of onshore petroleum resources activities in Victoria.</w:t>
      </w:r>
    </w:p>
    <w:p w14:paraId="72F9C864" w14:textId="367AC63F" w:rsidR="009E1B4E" w:rsidRPr="00BF281D" w:rsidRDefault="00095613" w:rsidP="009F07C6">
      <w:pPr>
        <w:rPr>
          <w:b/>
          <w:bCs/>
        </w:rPr>
      </w:pPr>
      <w:r w:rsidRPr="00BF281D">
        <w:rPr>
          <w:b/>
          <w:bCs/>
        </w:rPr>
        <w:t xml:space="preserve">The </w:t>
      </w:r>
      <w:r w:rsidR="009E1B4E" w:rsidRPr="00BF281D">
        <w:rPr>
          <w:b/>
          <w:bCs/>
        </w:rPr>
        <w:t>Petroleum Act</w:t>
      </w:r>
      <w:r w:rsidRPr="00BF281D">
        <w:rPr>
          <w:b/>
          <w:bCs/>
        </w:rPr>
        <w:t xml:space="preserve"> </w:t>
      </w:r>
      <w:r w:rsidR="007C5890" w:rsidRPr="00BF281D">
        <w:rPr>
          <w:b/>
          <w:bCs/>
        </w:rPr>
        <w:t>1998</w:t>
      </w:r>
      <w:r w:rsidR="00B37F77" w:rsidRPr="00BF281D">
        <w:rPr>
          <w:b/>
          <w:bCs/>
        </w:rPr>
        <w:t xml:space="preserve"> (</w:t>
      </w:r>
      <w:r w:rsidR="00522E6F" w:rsidRPr="00BF281D">
        <w:rPr>
          <w:b/>
          <w:bCs/>
        </w:rPr>
        <w:t>Vic)</w:t>
      </w:r>
      <w:r w:rsidR="00B37F77" w:rsidRPr="00BF281D">
        <w:rPr>
          <w:b/>
          <w:bCs/>
        </w:rPr>
        <w:t xml:space="preserve"> (Petroleum Act)</w:t>
      </w:r>
    </w:p>
    <w:p w14:paraId="6DD2A331" w14:textId="52BB5AF3" w:rsidR="00EE5FD4" w:rsidRPr="00BF281D" w:rsidRDefault="004525FD" w:rsidP="009F07C6">
      <w:r w:rsidRPr="00BF281D">
        <w:t xml:space="preserve">The Petroleum Act </w:t>
      </w:r>
      <w:r w:rsidR="00522E6F" w:rsidRPr="00BF281D">
        <w:t>has two main objectives</w:t>
      </w:r>
      <w:r w:rsidR="00981525" w:rsidRPr="00BF281D">
        <w:t xml:space="preserve">. </w:t>
      </w:r>
      <w:r w:rsidR="00D064FE">
        <w:t xml:space="preserve">First, </w:t>
      </w:r>
      <w:r w:rsidR="002830F3" w:rsidRPr="00BF281D">
        <w:t>to encourage the exploration for petroleum in Victoria and to promote petroleum production for the benefit of all Victorians by providing</w:t>
      </w:r>
      <w:r w:rsidR="00147353" w:rsidRPr="00BF281D">
        <w:t>:</w:t>
      </w:r>
      <w:r w:rsidR="002830F3" w:rsidRPr="00BF281D">
        <w:t xml:space="preserve"> </w:t>
      </w:r>
    </w:p>
    <w:p w14:paraId="15779B48" w14:textId="66F2C328" w:rsidR="00AD18B1" w:rsidRPr="00BF281D" w:rsidRDefault="00FC2D61" w:rsidP="00AE11D2">
      <w:pPr>
        <w:pStyle w:val="ListParagraph"/>
        <w:numPr>
          <w:ilvl w:val="0"/>
          <w:numId w:val="21"/>
        </w:numPr>
      </w:pPr>
      <w:r w:rsidRPr="00BF281D">
        <w:t>a</w:t>
      </w:r>
      <w:r w:rsidR="00AD18B1" w:rsidRPr="00BF281D">
        <w:t xml:space="preserve">n orderly, </w:t>
      </w:r>
      <w:proofErr w:type="gramStart"/>
      <w:r w:rsidR="00AD18B1" w:rsidRPr="00BF281D">
        <w:t>fair</w:t>
      </w:r>
      <w:proofErr w:type="gramEnd"/>
      <w:r w:rsidR="00AD18B1" w:rsidRPr="00BF281D">
        <w:t xml:space="preserve"> and compe</w:t>
      </w:r>
      <w:r w:rsidR="00C56C1B" w:rsidRPr="00BF281D">
        <w:t>titive system for granting authorities enabling petroleum exploration and production; and</w:t>
      </w:r>
    </w:p>
    <w:p w14:paraId="640192C4" w14:textId="02788857" w:rsidR="00C56C1B" w:rsidRPr="00BF281D" w:rsidRDefault="00B0622C" w:rsidP="00AE11D2">
      <w:pPr>
        <w:pStyle w:val="ListParagraph"/>
        <w:numPr>
          <w:ilvl w:val="0"/>
          <w:numId w:val="21"/>
        </w:numPr>
      </w:pPr>
      <w:r w:rsidRPr="00BF281D">
        <w:t>clear and effective administrative frameworks for organising petroleum development activities; and</w:t>
      </w:r>
    </w:p>
    <w:p w14:paraId="52DB2CD4" w14:textId="5B72E159" w:rsidR="00B0622C" w:rsidRPr="00BF281D" w:rsidRDefault="000B6E0E" w:rsidP="00AE11D2">
      <w:pPr>
        <w:pStyle w:val="ListParagraph"/>
        <w:numPr>
          <w:ilvl w:val="0"/>
          <w:numId w:val="21"/>
        </w:numPr>
      </w:pPr>
      <w:r w:rsidRPr="00BF281D">
        <w:t>fiscal regimes that offer petroleum explorers a fair return while benefiting all Victorians; and</w:t>
      </w:r>
    </w:p>
    <w:p w14:paraId="77C0E2C4" w14:textId="57A5D807" w:rsidR="000B6E0E" w:rsidRPr="00BF281D" w:rsidRDefault="001A3F19" w:rsidP="00AE11D2">
      <w:pPr>
        <w:pStyle w:val="ListParagraph"/>
        <w:numPr>
          <w:ilvl w:val="0"/>
          <w:numId w:val="21"/>
        </w:numPr>
      </w:pPr>
      <w:r w:rsidRPr="00BF281D">
        <w:t>easy and effective access to information on Victoria's petroleum geology.</w:t>
      </w:r>
    </w:p>
    <w:p w14:paraId="1E92FCC6" w14:textId="726D73E5" w:rsidR="001A3F19" w:rsidRPr="00BF281D" w:rsidRDefault="00902D5E" w:rsidP="001A3F19">
      <w:r>
        <w:t>S</w:t>
      </w:r>
      <w:r w:rsidR="00256869" w:rsidRPr="00BF281D">
        <w:t>econd</w:t>
      </w:r>
      <w:r>
        <w:t xml:space="preserve">, </w:t>
      </w:r>
      <w:r w:rsidR="006637A6">
        <w:t xml:space="preserve">in encouraging </w:t>
      </w:r>
      <w:r w:rsidR="00E95A18">
        <w:t>petroleum exploration and production</w:t>
      </w:r>
      <w:r w:rsidR="003240B7">
        <w:t>, the Petroleum Act see</w:t>
      </w:r>
      <w:r w:rsidR="0096353C">
        <w:t>ks to</w:t>
      </w:r>
      <w:r w:rsidR="00E95A18">
        <w:t xml:space="preserve"> </w:t>
      </w:r>
      <w:r w:rsidR="0096353C">
        <w:t>have</w:t>
      </w:r>
      <w:r w:rsidR="004331D5">
        <w:t xml:space="preserve"> </w:t>
      </w:r>
      <w:r w:rsidR="00DB0FE9" w:rsidRPr="00BF281D">
        <w:t xml:space="preserve">regard </w:t>
      </w:r>
      <w:r w:rsidR="00C27388">
        <w:t>to</w:t>
      </w:r>
      <w:r w:rsidR="00EC2A41">
        <w:t xml:space="preserve"> </w:t>
      </w:r>
      <w:r w:rsidR="00DB0FE9" w:rsidRPr="00BF281D">
        <w:t xml:space="preserve">economic, </w:t>
      </w:r>
      <w:proofErr w:type="gramStart"/>
      <w:r w:rsidR="00DB0FE9" w:rsidRPr="00BF281D">
        <w:t>social</w:t>
      </w:r>
      <w:proofErr w:type="gramEnd"/>
      <w:r w:rsidR="00DB0FE9" w:rsidRPr="00BF281D">
        <w:t xml:space="preserve"> and environmental interests by ensuring—</w:t>
      </w:r>
    </w:p>
    <w:p w14:paraId="3BA3F085" w14:textId="0F82FAC0" w:rsidR="00DB0FE9" w:rsidRPr="00BF281D" w:rsidRDefault="00DB0FE9" w:rsidP="00AE11D2">
      <w:pPr>
        <w:pStyle w:val="ListParagraph"/>
        <w:numPr>
          <w:ilvl w:val="0"/>
          <w:numId w:val="22"/>
        </w:numPr>
      </w:pPr>
      <w:r w:rsidRPr="00BF281D">
        <w:t xml:space="preserve">the efficient exploration for, and production of, </w:t>
      </w:r>
      <w:proofErr w:type="gramStart"/>
      <w:r w:rsidRPr="00BF281D">
        <w:t>petroleum;</w:t>
      </w:r>
      <w:proofErr w:type="gramEnd"/>
      <w:r w:rsidRPr="00BF281D">
        <w:t xml:space="preserve"> </w:t>
      </w:r>
    </w:p>
    <w:p w14:paraId="5A29CC74" w14:textId="2EDA60CE" w:rsidR="00DB0FE9" w:rsidRPr="00BF281D" w:rsidRDefault="006C0DD6" w:rsidP="00AE11D2">
      <w:pPr>
        <w:pStyle w:val="ListParagraph"/>
        <w:numPr>
          <w:ilvl w:val="0"/>
          <w:numId w:val="22"/>
        </w:numPr>
      </w:pPr>
      <w:r w:rsidRPr="00BF281D">
        <w:t xml:space="preserve">that the impacts on individuals, public safety, public amenity and the environment as a result of petroleum activities will be minimised as far as is </w:t>
      </w:r>
      <w:proofErr w:type="gramStart"/>
      <w:r w:rsidRPr="00BF281D">
        <w:t>practicable;</w:t>
      </w:r>
      <w:proofErr w:type="gramEnd"/>
      <w:r w:rsidRPr="00BF281D">
        <w:t xml:space="preserve"> </w:t>
      </w:r>
    </w:p>
    <w:p w14:paraId="7C36B9D7" w14:textId="0AC09C80" w:rsidR="006C0DD6" w:rsidRPr="00BF281D" w:rsidRDefault="00ED1578" w:rsidP="00AE11D2">
      <w:pPr>
        <w:pStyle w:val="ListParagraph"/>
        <w:numPr>
          <w:ilvl w:val="0"/>
          <w:numId w:val="22"/>
        </w:numPr>
      </w:pPr>
      <w:r w:rsidRPr="00BF281D">
        <w:t xml:space="preserve">that land affected by petroleum activities is </w:t>
      </w:r>
      <w:proofErr w:type="gramStart"/>
      <w:r w:rsidRPr="00BF281D">
        <w:t>rehabilitated;</w:t>
      </w:r>
      <w:proofErr w:type="gramEnd"/>
      <w:r w:rsidRPr="00BF281D">
        <w:t xml:space="preserve"> </w:t>
      </w:r>
    </w:p>
    <w:p w14:paraId="3404D560" w14:textId="38C87592" w:rsidR="00ED1578" w:rsidRPr="00BF281D" w:rsidRDefault="00195279" w:rsidP="00AE11D2">
      <w:pPr>
        <w:pStyle w:val="ListParagraph"/>
        <w:numPr>
          <w:ilvl w:val="0"/>
          <w:numId w:val="22"/>
        </w:numPr>
      </w:pPr>
      <w:r w:rsidRPr="00BF281D">
        <w:t>that there will be just compensation for access to, and the use of, land; and</w:t>
      </w:r>
    </w:p>
    <w:p w14:paraId="303DDF1B" w14:textId="585F6120" w:rsidR="00195279" w:rsidRPr="00BF281D" w:rsidRDefault="00E01ACE" w:rsidP="00AE11D2">
      <w:pPr>
        <w:pStyle w:val="ListParagraph"/>
        <w:numPr>
          <w:ilvl w:val="0"/>
          <w:numId w:val="22"/>
        </w:numPr>
      </w:pPr>
      <w:r w:rsidRPr="00BF281D">
        <w:t>that petroleum explorers and producers will comply with all authority conditions that apply to them.</w:t>
      </w:r>
    </w:p>
    <w:p w14:paraId="5004713F" w14:textId="7D066B89" w:rsidR="002B6C99" w:rsidRPr="00BF281D" w:rsidRDefault="002B6C99" w:rsidP="00DF6C3E">
      <w:r w:rsidRPr="00BF281D">
        <w:lastRenderedPageBreak/>
        <w:t xml:space="preserve">The Petroleum Act </w:t>
      </w:r>
      <w:r w:rsidR="00CC3013" w:rsidRPr="00BF281D">
        <w:t xml:space="preserve">also </w:t>
      </w:r>
      <w:r w:rsidRPr="00BF281D">
        <w:t xml:space="preserve">provides for the issuing of: </w:t>
      </w:r>
    </w:p>
    <w:p w14:paraId="0C30079A" w14:textId="4D793144" w:rsidR="002B6C99" w:rsidRPr="00BF281D" w:rsidRDefault="00FC2D61" w:rsidP="00AE11D2">
      <w:pPr>
        <w:pStyle w:val="ListParagraph"/>
        <w:numPr>
          <w:ilvl w:val="0"/>
          <w:numId w:val="23"/>
        </w:numPr>
      </w:pPr>
      <w:r w:rsidRPr="00BF281D">
        <w:t>e</w:t>
      </w:r>
      <w:r w:rsidR="002B6C99" w:rsidRPr="00BF281D">
        <w:t xml:space="preserve">xploration permits, which </w:t>
      </w:r>
      <w:r w:rsidR="00A95B97" w:rsidRPr="00BF281D">
        <w:t xml:space="preserve">authorise </w:t>
      </w:r>
      <w:r w:rsidR="002B6C99" w:rsidRPr="00BF281D">
        <w:t xml:space="preserve">the holder to </w:t>
      </w:r>
      <w:r w:rsidR="008C6AEB" w:rsidRPr="00BF281D">
        <w:t>undertake petroleum exploration</w:t>
      </w:r>
      <w:r w:rsidR="002B6C99" w:rsidRPr="00BF281D">
        <w:t xml:space="preserve"> in the permit area </w:t>
      </w:r>
    </w:p>
    <w:p w14:paraId="550E6E08" w14:textId="6107068E" w:rsidR="002B6C99" w:rsidRPr="00BF281D" w:rsidRDefault="00FC2D61" w:rsidP="00AE11D2">
      <w:pPr>
        <w:pStyle w:val="ListParagraph"/>
        <w:numPr>
          <w:ilvl w:val="0"/>
          <w:numId w:val="23"/>
        </w:numPr>
      </w:pPr>
      <w:r w:rsidRPr="00BF281D">
        <w:t>r</w:t>
      </w:r>
      <w:r w:rsidR="002B6C99" w:rsidRPr="00BF281D">
        <w:t xml:space="preserve">etention leases, which enable the holder of an exploration permit to retain certain rights to a petroleum discovery that is not currently commercially viable, but might become viable to develop within 15 years </w:t>
      </w:r>
    </w:p>
    <w:p w14:paraId="41C59D44" w14:textId="1F150F0D" w:rsidR="008239DE" w:rsidRPr="00BF281D" w:rsidRDefault="00FC2D61" w:rsidP="00AE11D2">
      <w:pPr>
        <w:pStyle w:val="ListParagraph"/>
        <w:numPr>
          <w:ilvl w:val="0"/>
          <w:numId w:val="23"/>
        </w:numPr>
      </w:pPr>
      <w:r w:rsidRPr="00BF281D">
        <w:t>p</w:t>
      </w:r>
      <w:r w:rsidR="002B6C99" w:rsidRPr="00BF281D">
        <w:t xml:space="preserve">roduction licences, which </w:t>
      </w:r>
      <w:r w:rsidR="004512D4" w:rsidRPr="00BF281D">
        <w:t>authorise</w:t>
      </w:r>
      <w:r w:rsidR="002B6C99" w:rsidRPr="00BF281D">
        <w:t xml:space="preserve"> the </w:t>
      </w:r>
      <w:r w:rsidR="004512D4" w:rsidRPr="00BF281D">
        <w:t>hold</w:t>
      </w:r>
      <w:r w:rsidR="00EC324B" w:rsidRPr="00BF281D">
        <w:t>er to carry out petroleum</w:t>
      </w:r>
      <w:r w:rsidR="002B6C99" w:rsidRPr="00BF281D">
        <w:t xml:space="preserve"> production and exploration </w:t>
      </w:r>
      <w:r w:rsidR="00EC324B" w:rsidRPr="00BF281D">
        <w:t>in the licence area</w:t>
      </w:r>
      <w:r w:rsidR="002B6C99" w:rsidRPr="00BF281D">
        <w:t>.</w:t>
      </w:r>
    </w:p>
    <w:p w14:paraId="7F80D50E" w14:textId="130EBB97" w:rsidR="000779F7" w:rsidRDefault="008742C8" w:rsidP="008742C8">
      <w:r w:rsidRPr="00BF281D">
        <w:t xml:space="preserve">A summary of </w:t>
      </w:r>
      <w:r w:rsidR="00EC324B" w:rsidRPr="00BF281D">
        <w:t xml:space="preserve">the </w:t>
      </w:r>
      <w:r w:rsidRPr="00BF281D">
        <w:t xml:space="preserve">key provisions in the Petroleum Act is provided below. </w:t>
      </w:r>
    </w:p>
    <w:p w14:paraId="07AF7778" w14:textId="39F8382F" w:rsidR="00A91DEC" w:rsidRDefault="00672F4B" w:rsidP="008742C8">
      <w:pPr>
        <w:rPr>
          <w:b/>
          <w:bCs/>
        </w:rPr>
      </w:pPr>
      <w:r>
        <w:rPr>
          <w:b/>
          <w:bCs/>
        </w:rPr>
        <w:t>Allocating petroleum rights</w:t>
      </w:r>
    </w:p>
    <w:p w14:paraId="6F2AD4F5" w14:textId="124B1212" w:rsidR="00672F4B" w:rsidRDefault="005F2337" w:rsidP="008742C8">
      <w:r w:rsidRPr="00BF281D">
        <w:t>Petroleum exploration requires a petroleum exploration permit (PEP). Petroleum tenements are released by the Minister under acreage releases and companies are invited to tender</w:t>
      </w:r>
      <w:r w:rsidR="008E6986">
        <w:t xml:space="preserve"> for them</w:t>
      </w:r>
      <w:r w:rsidRPr="00BF281D">
        <w:t>.</w:t>
      </w:r>
      <w:r>
        <w:t xml:space="preserve"> </w:t>
      </w:r>
      <w:r w:rsidR="006163E3">
        <w:t xml:space="preserve">The Petroleum Act </w:t>
      </w:r>
      <w:r w:rsidR="00D93B9E">
        <w:t xml:space="preserve">also </w:t>
      </w:r>
      <w:r w:rsidR="006163E3">
        <w:t xml:space="preserve">allows </w:t>
      </w:r>
      <w:r w:rsidR="00D93B9E">
        <w:t>for the following authorities to be issued to manage petroleum exploration and production activities</w:t>
      </w:r>
      <w:r w:rsidR="007809C2">
        <w:t>:</w:t>
      </w:r>
    </w:p>
    <w:p w14:paraId="6C0F5ED6" w14:textId="6500E84C" w:rsidR="007809C2" w:rsidRPr="00672F4B" w:rsidRDefault="00A16206" w:rsidP="00A16206">
      <w:pPr>
        <w:pStyle w:val="ListParagraph"/>
        <w:numPr>
          <w:ilvl w:val="0"/>
          <w:numId w:val="80"/>
        </w:numPr>
      </w:pPr>
      <w:r>
        <w:t xml:space="preserve">petroleum retention lease </w:t>
      </w:r>
      <w:r w:rsidR="00404FAA">
        <w:t>–</w:t>
      </w:r>
      <w:r>
        <w:t xml:space="preserve"> </w:t>
      </w:r>
      <w:r w:rsidR="00404FAA">
        <w:t xml:space="preserve">enables the holder of a PEP to retain certain rights </w:t>
      </w:r>
      <w:r w:rsidR="008C570F">
        <w:t>to a petroleum discovery that is not yet commercially viable</w:t>
      </w:r>
      <w:r w:rsidR="00E155E6">
        <w:t xml:space="preserve"> but might become viable within 15 years </w:t>
      </w:r>
    </w:p>
    <w:p w14:paraId="269EEAC7" w14:textId="185DDA49" w:rsidR="00E155E6" w:rsidRDefault="00926597" w:rsidP="00A16206">
      <w:pPr>
        <w:pStyle w:val="ListParagraph"/>
        <w:numPr>
          <w:ilvl w:val="0"/>
          <w:numId w:val="80"/>
        </w:numPr>
      </w:pPr>
      <w:r>
        <w:t xml:space="preserve">petroleum production licence </w:t>
      </w:r>
      <w:r w:rsidR="008E1818">
        <w:t>–</w:t>
      </w:r>
      <w:r>
        <w:t xml:space="preserve"> </w:t>
      </w:r>
      <w:r w:rsidR="008E1818">
        <w:t>allows for the exploration and production of petroleum at a particular site</w:t>
      </w:r>
    </w:p>
    <w:p w14:paraId="09214C58" w14:textId="0B1692CB" w:rsidR="008E1818" w:rsidRDefault="004F2464" w:rsidP="00A16206">
      <w:pPr>
        <w:pStyle w:val="ListParagraph"/>
        <w:numPr>
          <w:ilvl w:val="0"/>
          <w:numId w:val="80"/>
        </w:numPr>
      </w:pPr>
      <w:r>
        <w:t>petroleum special access authorisation</w:t>
      </w:r>
    </w:p>
    <w:p w14:paraId="2AE53803" w14:textId="72ACE03C" w:rsidR="004F2464" w:rsidRPr="00672F4B" w:rsidRDefault="004F2464" w:rsidP="00BA27FE">
      <w:pPr>
        <w:pStyle w:val="ListParagraph"/>
        <w:numPr>
          <w:ilvl w:val="0"/>
          <w:numId w:val="80"/>
        </w:numPr>
      </w:pPr>
      <w:r>
        <w:t>petroleum special drilling authorisation.</w:t>
      </w:r>
    </w:p>
    <w:p w14:paraId="600243E2" w14:textId="2099EC93" w:rsidR="00A91DEC" w:rsidRDefault="00024FF6" w:rsidP="008742C8">
      <w:pPr>
        <w:rPr>
          <w:b/>
        </w:rPr>
      </w:pPr>
      <w:r>
        <w:rPr>
          <w:b/>
          <w:bCs/>
        </w:rPr>
        <w:t>Authorising exploration activities</w:t>
      </w:r>
    </w:p>
    <w:p w14:paraId="0891CB7C" w14:textId="0A35547F" w:rsidR="000904F3" w:rsidRDefault="000B59CD" w:rsidP="008742C8">
      <w:r w:rsidRPr="00BF281D">
        <w:t>Once the Minister has granted the PEP, the</w:t>
      </w:r>
      <w:r>
        <w:t xml:space="preserve"> authority</w:t>
      </w:r>
      <w:r w:rsidRPr="00BF281D">
        <w:t xml:space="preserve"> holder must</w:t>
      </w:r>
      <w:r>
        <w:t xml:space="preserve"> submit an operation plan and have it </w:t>
      </w:r>
      <w:r w:rsidR="00C97D92">
        <w:t>accepted</w:t>
      </w:r>
      <w:r>
        <w:t xml:space="preserve"> by the Minister</w:t>
      </w:r>
      <w:r w:rsidRPr="00BF281D">
        <w:t xml:space="preserve"> prior to commencing exploration </w:t>
      </w:r>
      <w:r>
        <w:t>activity</w:t>
      </w:r>
      <w:r w:rsidRPr="00BF281D">
        <w:t>. The plan, which is completed by the</w:t>
      </w:r>
      <w:r>
        <w:t xml:space="preserve"> authority</w:t>
      </w:r>
      <w:r w:rsidRPr="00BF281D">
        <w:t xml:space="preserve"> holder, describes the proposed </w:t>
      </w:r>
      <w:proofErr w:type="gramStart"/>
      <w:r w:rsidRPr="00BF281D">
        <w:t>activities</w:t>
      </w:r>
      <w:proofErr w:type="gramEnd"/>
      <w:r>
        <w:t xml:space="preserve"> and must be prepared in accordance with section 161 of the Act and the </w:t>
      </w:r>
      <w:r w:rsidR="00E843A3" w:rsidRPr="00B34FE1">
        <w:t>Petroleum R</w:t>
      </w:r>
      <w:r w:rsidRPr="00B34FE1">
        <w:t>egulations</w:t>
      </w:r>
      <w:r w:rsidR="001D6464" w:rsidRPr="00B34FE1">
        <w:t xml:space="preserve"> </w:t>
      </w:r>
      <w:r w:rsidR="00EE0C15" w:rsidRPr="00B34FE1">
        <w:t>2011</w:t>
      </w:r>
      <w:r>
        <w:t xml:space="preserve"> which includ</w:t>
      </w:r>
      <w:r w:rsidR="000904F3">
        <w:t>e:</w:t>
      </w:r>
    </w:p>
    <w:p w14:paraId="3873AAD8" w14:textId="3C40916E" w:rsidR="000904F3" w:rsidRDefault="000B59CD" w:rsidP="000904F3">
      <w:pPr>
        <w:pStyle w:val="ListParagraph"/>
        <w:numPr>
          <w:ilvl w:val="0"/>
          <w:numId w:val="81"/>
        </w:numPr>
      </w:pPr>
      <w:r>
        <w:t xml:space="preserve">description of the proposed activities </w:t>
      </w:r>
    </w:p>
    <w:p w14:paraId="20700C02" w14:textId="7EF2E2B9" w:rsidR="000904F3" w:rsidRDefault="000B59CD" w:rsidP="000904F3">
      <w:pPr>
        <w:pStyle w:val="ListParagraph"/>
        <w:numPr>
          <w:ilvl w:val="0"/>
          <w:numId w:val="81"/>
        </w:numPr>
      </w:pPr>
      <w:r>
        <w:t>environment management plan</w:t>
      </w:r>
      <w:r w:rsidR="009D3D3A">
        <w:t xml:space="preserve"> (EMP)</w:t>
      </w:r>
    </w:p>
    <w:p w14:paraId="5624EF14" w14:textId="0061D66D" w:rsidR="00C90F0B" w:rsidRDefault="00C90F0B" w:rsidP="000904F3">
      <w:pPr>
        <w:pStyle w:val="ListParagraph"/>
        <w:numPr>
          <w:ilvl w:val="0"/>
          <w:numId w:val="81"/>
        </w:numPr>
      </w:pPr>
      <w:r>
        <w:t>risk assessments and management commit</w:t>
      </w:r>
      <w:r w:rsidR="001C6446">
        <w:t>ments</w:t>
      </w:r>
    </w:p>
    <w:p w14:paraId="7661EE55" w14:textId="2F0B6B00" w:rsidR="001C6446" w:rsidRDefault="00A13002" w:rsidP="000904F3">
      <w:pPr>
        <w:pStyle w:val="ListParagraph"/>
        <w:numPr>
          <w:ilvl w:val="0"/>
          <w:numId w:val="81"/>
        </w:numPr>
      </w:pPr>
      <w:r>
        <w:t>rehabilitation commitments</w:t>
      </w:r>
    </w:p>
    <w:p w14:paraId="7CC55BB5" w14:textId="0C456C09" w:rsidR="000616AC" w:rsidRDefault="00A13002" w:rsidP="00894AB6">
      <w:pPr>
        <w:pStyle w:val="ListParagraph"/>
        <w:numPr>
          <w:ilvl w:val="0"/>
          <w:numId w:val="81"/>
        </w:numPr>
      </w:pPr>
      <w:r>
        <w:t>development plan</w:t>
      </w:r>
    </w:p>
    <w:p w14:paraId="71F69F72" w14:textId="3AF81858" w:rsidR="00024FF6" w:rsidRDefault="000B59CD" w:rsidP="000904F3">
      <w:pPr>
        <w:pStyle w:val="ListParagraph"/>
        <w:numPr>
          <w:ilvl w:val="0"/>
          <w:numId w:val="81"/>
        </w:numPr>
      </w:pPr>
      <w:r>
        <w:t>well operation management plan</w:t>
      </w:r>
      <w:r w:rsidR="009D3D3A">
        <w:t xml:space="preserve"> (WOMP)</w:t>
      </w:r>
      <w:r>
        <w:t xml:space="preserve"> (where relevant).</w:t>
      </w:r>
    </w:p>
    <w:p w14:paraId="2C4C915B" w14:textId="7CBE6AAE" w:rsidR="00894AB6" w:rsidRDefault="00894AB6" w:rsidP="00BA27FE">
      <w:r w:rsidRPr="00BF281D">
        <w:t xml:space="preserve">The </w:t>
      </w:r>
      <w:r>
        <w:t xml:space="preserve">petroleum exploration activity must also comply with the requirements of all other applicable legislation </w:t>
      </w:r>
      <w:r w:rsidR="00D654FA">
        <w:t>including</w:t>
      </w:r>
      <w:r>
        <w:t xml:space="preserve"> the </w:t>
      </w:r>
      <w:r>
        <w:rPr>
          <w:i/>
          <w:iCs/>
        </w:rPr>
        <w:t xml:space="preserve">Aboriginal Heritage Act </w:t>
      </w:r>
      <w:r w:rsidRPr="00D320FB">
        <w:rPr>
          <w:i/>
        </w:rPr>
        <w:t>2006</w:t>
      </w:r>
      <w:r>
        <w:t xml:space="preserve"> </w:t>
      </w:r>
      <w:r w:rsidR="00D654FA">
        <w:t>in relation to</w:t>
      </w:r>
      <w:r>
        <w:t xml:space="preserve"> aboriginal</w:t>
      </w:r>
      <w:r w:rsidRPr="00BF281D">
        <w:t xml:space="preserve"> </w:t>
      </w:r>
      <w:r>
        <w:t xml:space="preserve">cultural </w:t>
      </w:r>
      <w:r w:rsidRPr="00BF281D">
        <w:t>heritage management.</w:t>
      </w:r>
    </w:p>
    <w:p w14:paraId="1AB3B36D" w14:textId="62922904" w:rsidR="000616AC" w:rsidRDefault="000616AC" w:rsidP="000616AC">
      <w:pPr>
        <w:rPr>
          <w:b/>
          <w:bCs/>
        </w:rPr>
      </w:pPr>
      <w:r>
        <w:rPr>
          <w:b/>
          <w:bCs/>
        </w:rPr>
        <w:t>Authorising production activities</w:t>
      </w:r>
    </w:p>
    <w:p w14:paraId="00FE3677" w14:textId="3AF73F9D" w:rsidR="002F19E1" w:rsidRPr="00BF281D" w:rsidRDefault="002F19E1" w:rsidP="002F19E1">
      <w:r w:rsidRPr="00BF281D">
        <w:t xml:space="preserve">Petroleum production requires a petroleum production licence, which may only be applied for in respect of any part of the permit or lease area on which the holder has discovered petroleum or a reservoir. </w:t>
      </w:r>
      <w:proofErr w:type="gramStart"/>
      <w:r w:rsidRPr="00BF281D">
        <w:t>Similar to</w:t>
      </w:r>
      <w:proofErr w:type="gramEnd"/>
      <w:r w:rsidRPr="00BF281D">
        <w:t xml:space="preserve"> an exploration permit, </w:t>
      </w:r>
      <w:r>
        <w:t xml:space="preserve">to carry out operations under </w:t>
      </w:r>
      <w:r w:rsidRPr="00BF281D">
        <w:t>a petroleum production licence</w:t>
      </w:r>
      <w:r>
        <w:t>,</w:t>
      </w:r>
      <w:r w:rsidRPr="00BF281D">
        <w:t xml:space="preserve"> an </w:t>
      </w:r>
      <w:r w:rsidR="00C97D92">
        <w:t>accepted</w:t>
      </w:r>
      <w:r w:rsidRPr="00BF281D">
        <w:t xml:space="preserve"> operation plan and a production development plan that includes a reservoir management plan</w:t>
      </w:r>
      <w:r>
        <w:t>, are required</w:t>
      </w:r>
      <w:r w:rsidRPr="00BF281D">
        <w:t xml:space="preserve">. These plans must address all </w:t>
      </w:r>
      <w:r>
        <w:t xml:space="preserve">relevant prescribed requirements in the </w:t>
      </w:r>
      <w:r w:rsidR="000638B0">
        <w:t>Regulations and</w:t>
      </w:r>
      <w:r w:rsidR="00BE42B4">
        <w:t xml:space="preserve"> </w:t>
      </w:r>
      <w:r>
        <w:t>comply with all other relevant State and National legislation and local Government requirements.</w:t>
      </w:r>
    </w:p>
    <w:p w14:paraId="67C192F8" w14:textId="2B045455" w:rsidR="00DF5F11" w:rsidRDefault="00BE42B4" w:rsidP="000616AC">
      <w:pPr>
        <w:rPr>
          <w:b/>
          <w:bCs/>
        </w:rPr>
      </w:pPr>
      <w:r>
        <w:rPr>
          <w:b/>
          <w:bCs/>
        </w:rPr>
        <w:t>Land access arrangement</w:t>
      </w:r>
      <w:r w:rsidR="00DF5F11">
        <w:rPr>
          <w:b/>
          <w:bCs/>
        </w:rPr>
        <w:t>s</w:t>
      </w:r>
    </w:p>
    <w:p w14:paraId="47F6ED3B" w14:textId="212C8D5F" w:rsidR="00DF5F11" w:rsidRPr="00BF281D" w:rsidRDefault="00B04441" w:rsidP="00DF5F11">
      <w:r>
        <w:t>Petroleum e</w:t>
      </w:r>
      <w:r w:rsidR="00DF5F11" w:rsidRPr="00BF281D">
        <w:t xml:space="preserve">xploration cannot be carried out on private land without: </w:t>
      </w:r>
    </w:p>
    <w:p w14:paraId="66F7C1E1" w14:textId="77777777" w:rsidR="00DF5F11" w:rsidRPr="00BF281D" w:rsidRDefault="00DF5F11" w:rsidP="00DF5F11">
      <w:pPr>
        <w:pStyle w:val="ListParagraph"/>
        <w:numPr>
          <w:ilvl w:val="0"/>
          <w:numId w:val="23"/>
        </w:numPr>
      </w:pPr>
      <w:r w:rsidRPr="00BF281D">
        <w:t xml:space="preserve">obtaining consent of the owner and occupier, or </w:t>
      </w:r>
    </w:p>
    <w:p w14:paraId="49D5BF96" w14:textId="77777777" w:rsidR="00DF5F11" w:rsidRPr="00BF281D" w:rsidRDefault="00DF5F11" w:rsidP="00DF5F11">
      <w:pPr>
        <w:pStyle w:val="ListParagraph"/>
        <w:numPr>
          <w:ilvl w:val="0"/>
          <w:numId w:val="23"/>
        </w:numPr>
      </w:pPr>
      <w:r w:rsidRPr="00BF281D">
        <w:t xml:space="preserve">a compensation agreement being entered into with the owner and occupier of the land, or </w:t>
      </w:r>
    </w:p>
    <w:p w14:paraId="2823B815" w14:textId="77777777" w:rsidR="00DF5F11" w:rsidRPr="00BF281D" w:rsidRDefault="00DF5F11" w:rsidP="00DF5F11">
      <w:pPr>
        <w:pStyle w:val="ListParagraph"/>
        <w:numPr>
          <w:ilvl w:val="0"/>
          <w:numId w:val="23"/>
        </w:numPr>
      </w:pPr>
      <w:r w:rsidRPr="00BF281D">
        <w:t xml:space="preserve">the Victorian Civil and Administrative Tribunal determining the compensation payable to the owners and occupiers of the land, and </w:t>
      </w:r>
    </w:p>
    <w:p w14:paraId="7D59C841" w14:textId="77777777" w:rsidR="00DF5F11" w:rsidRPr="00BF281D" w:rsidRDefault="00DF5F11" w:rsidP="00DF5F11">
      <w:pPr>
        <w:pStyle w:val="ListParagraph"/>
        <w:numPr>
          <w:ilvl w:val="0"/>
          <w:numId w:val="23"/>
        </w:numPr>
      </w:pPr>
      <w:r w:rsidRPr="00BF281D">
        <w:lastRenderedPageBreak/>
        <w:t xml:space="preserve">written consent of the Minister. </w:t>
      </w:r>
    </w:p>
    <w:p w14:paraId="09BAC82B" w14:textId="213741DC" w:rsidR="0091789F" w:rsidRPr="00817682" w:rsidRDefault="00154E56" w:rsidP="00154E56">
      <w:r w:rsidRPr="00BF281D">
        <w:t>The Petroleum Act specifies that the “Crown owns all petroleum on or below the surface of any land in Victoria that came to be on or below that surface without human assistance".</w:t>
      </w:r>
      <w:r w:rsidRPr="00817682">
        <w:rPr>
          <w:rStyle w:val="EndnoteReference"/>
        </w:rPr>
        <w:endnoteReference w:id="3"/>
      </w:r>
      <w:r w:rsidRPr="00817682">
        <w:t xml:space="preserve"> Therefore, no compensation is payable to landowners for petroleum that is extracted from their land. </w:t>
      </w:r>
      <w:r w:rsidRPr="00BF281D">
        <w:t xml:space="preserve">However, compensation is payable by an authority holder to landowners for any loss or damage that has been, or will be, sustained in relation to the land as a direct, </w:t>
      </w:r>
      <w:proofErr w:type="gramStart"/>
      <w:r w:rsidRPr="00BF281D">
        <w:t>natural</w:t>
      </w:r>
      <w:proofErr w:type="gramEnd"/>
      <w:r w:rsidRPr="00BF281D">
        <w:t xml:space="preserve"> and reasonable consequence of the approval of any petroleum operation or the carrying out of any petroleum operation under the authority.</w:t>
      </w:r>
      <w:r w:rsidRPr="00817682">
        <w:rPr>
          <w:rStyle w:val="EndnoteReference"/>
        </w:rPr>
        <w:endnoteReference w:id="4"/>
      </w:r>
      <w:r w:rsidR="00057AEF">
        <w:t xml:space="preserve"> </w:t>
      </w:r>
      <w:r w:rsidR="0091789F" w:rsidRPr="00BF281D">
        <w:t xml:space="preserve">Petroleum exploration does not require a planning permit. </w:t>
      </w:r>
      <w:r w:rsidR="0091789F">
        <w:t>The holder of the authority</w:t>
      </w:r>
      <w:r w:rsidR="0091789F" w:rsidRPr="00BF281D">
        <w:t xml:space="preserve"> must hold insurance and provide a bond for any rehabilitation work that may be necessary. </w:t>
      </w:r>
      <w:r w:rsidR="0091789F">
        <w:t>The holder of the authority</w:t>
      </w:r>
      <w:r w:rsidR="0091789F" w:rsidRPr="00BF281D">
        <w:t xml:space="preserve"> must also provide the landowner or occupier with 21 days written notice of any operations taking place. </w:t>
      </w:r>
    </w:p>
    <w:p w14:paraId="3956A05F" w14:textId="480139A8" w:rsidR="00BE42B4" w:rsidRPr="006911B2" w:rsidRDefault="006911B2" w:rsidP="000616AC">
      <w:pPr>
        <w:rPr>
          <w:b/>
          <w:bCs/>
        </w:rPr>
      </w:pPr>
      <w:r w:rsidRPr="006911B2">
        <w:rPr>
          <w:b/>
          <w:bCs/>
        </w:rPr>
        <w:t>Rehabilitation and closure</w:t>
      </w:r>
    </w:p>
    <w:p w14:paraId="5F9F0804" w14:textId="383E4879" w:rsidR="008F678C" w:rsidRPr="00BF281D" w:rsidRDefault="008F678C" w:rsidP="008F678C">
      <w:r w:rsidRPr="00BF281D">
        <w:t xml:space="preserve">The Petroleum Act sets out the framework for the rehabilitation of land. It specifies that the holder of an authority must rehabilitate any land that is used in carrying out any operation under the authority and must, as far as is practicable, complete the rehabilitation of the land before the authority, or any renewed authority, ceases to apply to the land. Rehabilitation must follow the measures as specified in the authority’s </w:t>
      </w:r>
      <w:r w:rsidR="00C97D92">
        <w:t>accepted</w:t>
      </w:r>
      <w:r w:rsidRPr="00BF281D">
        <w:t xml:space="preserve"> operation plan. </w:t>
      </w:r>
    </w:p>
    <w:p w14:paraId="73037AD6" w14:textId="77777777" w:rsidR="008F678C" w:rsidRPr="00BF281D" w:rsidRDefault="008F678C" w:rsidP="008F678C">
      <w:r w:rsidRPr="00BF281D">
        <w:t xml:space="preserve">Additionally, the holder of an authority must not carry out a petroleum operation unless they have obtained a rehabilitation bond that is acceptable to the Minister and is for an amount as specified by the Minister. The rehabilitation bond provides financial security for rehabilitation to occur if the authority holder is unable to do so. </w:t>
      </w:r>
    </w:p>
    <w:p w14:paraId="15CD3617" w14:textId="74D08497" w:rsidR="006911B2" w:rsidRDefault="008F678C" w:rsidP="000616AC">
      <w:pPr>
        <w:rPr>
          <w:b/>
          <w:bCs/>
        </w:rPr>
      </w:pPr>
      <w:r>
        <w:rPr>
          <w:b/>
          <w:bCs/>
        </w:rPr>
        <w:t>Managing environmental impacts</w:t>
      </w:r>
    </w:p>
    <w:p w14:paraId="671D8617" w14:textId="7A3BAE72" w:rsidR="008F678C" w:rsidRDefault="00C16567" w:rsidP="000616AC">
      <w:r>
        <w:t xml:space="preserve">The </w:t>
      </w:r>
      <w:r w:rsidR="00C4489C">
        <w:t>petroleum regulatory framework</w:t>
      </w:r>
      <w:r w:rsidR="00272D89">
        <w:t xml:space="preserve"> require</w:t>
      </w:r>
      <w:r w:rsidR="00C4489C">
        <w:t>s</w:t>
      </w:r>
      <w:r w:rsidR="00774698">
        <w:t xml:space="preserve"> industry to </w:t>
      </w:r>
      <w:r w:rsidR="00317F92">
        <w:t xml:space="preserve">protect the environment when carrying out petroleum activities. The EMP prepared as part of the operation plan </w:t>
      </w:r>
      <w:r w:rsidR="008F31F5">
        <w:t xml:space="preserve">(required </w:t>
      </w:r>
      <w:r w:rsidR="007A0F6A">
        <w:t xml:space="preserve">by the current regulations) </w:t>
      </w:r>
      <w:r w:rsidR="009076B9">
        <w:t xml:space="preserve">outlines </w:t>
      </w:r>
      <w:r w:rsidR="00302A03">
        <w:t xml:space="preserve">any risks to the environment </w:t>
      </w:r>
      <w:r w:rsidR="008F132F">
        <w:t>arising from</w:t>
      </w:r>
      <w:r w:rsidR="00893254">
        <w:t xml:space="preserve"> the proposed activity and how they will be </w:t>
      </w:r>
      <w:r w:rsidR="002131F5">
        <w:t xml:space="preserve">eliminated as far as reasonably practical. </w:t>
      </w:r>
      <w:r w:rsidR="008E24A4">
        <w:t>The plan must</w:t>
      </w:r>
      <w:r w:rsidR="001E1C4E">
        <w:t xml:space="preserve"> define measures by which performance will be measured</w:t>
      </w:r>
      <w:r w:rsidR="0084407B">
        <w:t xml:space="preserve"> against and include an implementation strategy.</w:t>
      </w:r>
      <w:r w:rsidR="001E1C4E">
        <w:t xml:space="preserve"> </w:t>
      </w:r>
      <w:r w:rsidR="00281A2B">
        <w:t xml:space="preserve">As a </w:t>
      </w:r>
      <w:r w:rsidR="0065225D">
        <w:t>part</w:t>
      </w:r>
      <w:r w:rsidR="00281A2B">
        <w:t xml:space="preserve"> of the operation plan, </w:t>
      </w:r>
      <w:r w:rsidR="0065225D">
        <w:t>t</w:t>
      </w:r>
      <w:r w:rsidR="0084407B">
        <w:t>he plan</w:t>
      </w:r>
      <w:r w:rsidR="001E1C4E">
        <w:t xml:space="preserve"> </w:t>
      </w:r>
      <w:r w:rsidR="0065225D">
        <w:t xml:space="preserve">must be accepted </w:t>
      </w:r>
      <w:r w:rsidR="000F0996">
        <w:t>by the</w:t>
      </w:r>
      <w:r w:rsidR="008E24A4">
        <w:t xml:space="preserve"> minister </w:t>
      </w:r>
      <w:r w:rsidR="009C0374">
        <w:t>before an</w:t>
      </w:r>
      <w:r w:rsidR="0084407B">
        <w:t>y</w:t>
      </w:r>
      <w:r w:rsidR="009C0374">
        <w:t xml:space="preserve"> operations are carried out. </w:t>
      </w:r>
    </w:p>
    <w:p w14:paraId="6B4C19E1" w14:textId="6B167A2D" w:rsidR="00E428A0" w:rsidRDefault="00B91D15" w:rsidP="000616AC">
      <w:pPr>
        <w:rPr>
          <w:b/>
          <w:bCs/>
        </w:rPr>
      </w:pPr>
      <w:r>
        <w:rPr>
          <w:b/>
          <w:bCs/>
        </w:rPr>
        <w:t>Managing social impacts</w:t>
      </w:r>
    </w:p>
    <w:p w14:paraId="11456E0A" w14:textId="20784FB8" w:rsidR="00B91D15" w:rsidRDefault="003A684F" w:rsidP="000616AC">
      <w:r>
        <w:t>The</w:t>
      </w:r>
      <w:r w:rsidR="000F0996">
        <w:t xml:space="preserve"> current</w:t>
      </w:r>
      <w:r>
        <w:t xml:space="preserve"> Petroleum Regulations </w:t>
      </w:r>
      <w:r w:rsidR="009E4ED5">
        <w:t xml:space="preserve">contain requirements for community consultation to manage social impacts but are not prescriptive as to </w:t>
      </w:r>
      <w:r w:rsidR="00B969B2">
        <w:t xml:space="preserve">how they need to be addressed. </w:t>
      </w:r>
      <w:r w:rsidR="00FA5F9C">
        <w:t xml:space="preserve">The implementation plan in the EMP must provide for appropriate </w:t>
      </w:r>
      <w:r w:rsidR="00F035DE">
        <w:t xml:space="preserve">consultation ongoing for the life of the operation with </w:t>
      </w:r>
      <w:r w:rsidR="00003FA5">
        <w:t xml:space="preserve">relevant interested people and </w:t>
      </w:r>
      <w:r w:rsidR="005973E4">
        <w:t>organisations and</w:t>
      </w:r>
      <w:r w:rsidR="00F35BC4">
        <w:t xml:space="preserve"> provide a report on this consultation. </w:t>
      </w:r>
      <w:r w:rsidR="00ED07A2">
        <w:t>There are no requirements for when this consultation takes place, but it can occur</w:t>
      </w:r>
      <w:r w:rsidR="005973E4">
        <w:t>:</w:t>
      </w:r>
    </w:p>
    <w:p w14:paraId="326EC9D1" w14:textId="4B1B82A9" w:rsidR="005973E4" w:rsidRDefault="009F22F1" w:rsidP="005973E4">
      <w:pPr>
        <w:pStyle w:val="ListParagraph"/>
        <w:numPr>
          <w:ilvl w:val="0"/>
          <w:numId w:val="82"/>
        </w:numPr>
      </w:pPr>
      <w:r>
        <w:t>when determining an acreage area stage</w:t>
      </w:r>
    </w:p>
    <w:p w14:paraId="6AD8BC13" w14:textId="068DE09B" w:rsidR="009F22F1" w:rsidRDefault="009F22F1" w:rsidP="005973E4">
      <w:pPr>
        <w:pStyle w:val="ListParagraph"/>
        <w:numPr>
          <w:ilvl w:val="0"/>
          <w:numId w:val="82"/>
        </w:numPr>
      </w:pPr>
      <w:r>
        <w:t>at the acreage release stage</w:t>
      </w:r>
    </w:p>
    <w:p w14:paraId="4E817CD5" w14:textId="3BB02C9C" w:rsidR="009F22F1" w:rsidRDefault="009F22F1" w:rsidP="005973E4">
      <w:pPr>
        <w:pStyle w:val="ListParagraph"/>
        <w:numPr>
          <w:ilvl w:val="0"/>
          <w:numId w:val="82"/>
        </w:numPr>
      </w:pPr>
      <w:r>
        <w:t>at the rights allocation stage</w:t>
      </w:r>
    </w:p>
    <w:p w14:paraId="1A3E0B0F" w14:textId="2340BB6A" w:rsidR="009F22F1" w:rsidRDefault="00F86D7C" w:rsidP="005973E4">
      <w:pPr>
        <w:pStyle w:val="ListParagraph"/>
        <w:numPr>
          <w:ilvl w:val="0"/>
          <w:numId w:val="82"/>
        </w:numPr>
      </w:pPr>
      <w:r>
        <w:t>during preparation of environmental approvals.</w:t>
      </w:r>
    </w:p>
    <w:p w14:paraId="1F89A436" w14:textId="6EE95D00" w:rsidR="004118E5" w:rsidRDefault="00CF77D6" w:rsidP="004118E5">
      <w:pPr>
        <w:rPr>
          <w:b/>
          <w:bCs/>
        </w:rPr>
      </w:pPr>
      <w:r>
        <w:rPr>
          <w:b/>
          <w:bCs/>
        </w:rPr>
        <w:t>Penalties and enforcement</w:t>
      </w:r>
    </w:p>
    <w:p w14:paraId="1A89117E" w14:textId="651C5806" w:rsidR="00CF77D6" w:rsidRPr="00CF77D6" w:rsidRDefault="00C322D4" w:rsidP="00CF77D6">
      <w:bookmarkStart w:id="66" w:name="_Hlk74920580"/>
      <w:r>
        <w:t xml:space="preserve">The Petroleum Regulations </w:t>
      </w:r>
      <w:r w:rsidR="004D072E">
        <w:t xml:space="preserve">also </w:t>
      </w:r>
      <w:r>
        <w:t xml:space="preserve">contain </w:t>
      </w:r>
      <w:r w:rsidR="00A81AA7">
        <w:t xml:space="preserve">penalties </w:t>
      </w:r>
      <w:r w:rsidR="006B357E">
        <w:t xml:space="preserve">for breaches of the regulations. </w:t>
      </w:r>
      <w:r w:rsidR="00E9477D">
        <w:t xml:space="preserve">The penalty units </w:t>
      </w:r>
      <w:r w:rsidR="00E07159">
        <w:t xml:space="preserve">attached to these breaches </w:t>
      </w:r>
      <w:r w:rsidR="00C06E2E">
        <w:t>are generally in line</w:t>
      </w:r>
      <w:r w:rsidR="00AC72C4">
        <w:t xml:space="preserve"> with resource legislation in other Australian jurisdictions. </w:t>
      </w:r>
      <w:bookmarkEnd w:id="66"/>
    </w:p>
    <w:p w14:paraId="06C77234" w14:textId="7DDAB2C9" w:rsidR="0062544D" w:rsidRDefault="0062544D" w:rsidP="00CF77D6">
      <w:pPr>
        <w:rPr>
          <w:b/>
          <w:bCs/>
        </w:rPr>
      </w:pPr>
      <w:r>
        <w:rPr>
          <w:b/>
          <w:bCs/>
        </w:rPr>
        <w:t>Promoting economic impacts</w:t>
      </w:r>
    </w:p>
    <w:p w14:paraId="750BFAEE" w14:textId="0B2E33FF" w:rsidR="0062544D" w:rsidRPr="005015FC" w:rsidRDefault="00C53CD8" w:rsidP="00CF77D6">
      <w:r>
        <w:t>The objective</w:t>
      </w:r>
      <w:r w:rsidR="00AD661B">
        <w:t xml:space="preserve"> of the Petroleum Act is to </w:t>
      </w:r>
      <w:r>
        <w:rPr>
          <w:i/>
          <w:iCs/>
        </w:rPr>
        <w:t>encourage the exploration</w:t>
      </w:r>
      <w:r w:rsidR="005015FC">
        <w:rPr>
          <w:i/>
          <w:iCs/>
        </w:rPr>
        <w:t xml:space="preserve"> for petroleum in Victoria and to promote petroleum production for the benefit of all Victorians. </w:t>
      </w:r>
      <w:r w:rsidR="0011020F" w:rsidRPr="000B4822">
        <w:t xml:space="preserve">Further, </w:t>
      </w:r>
      <w:r w:rsidR="000B4822" w:rsidRPr="000B4822">
        <w:t xml:space="preserve">one objective of the </w:t>
      </w:r>
      <w:r w:rsidR="000B4822">
        <w:t xml:space="preserve">Petroleum Amendment Act is to </w:t>
      </w:r>
      <w:r w:rsidR="000B4822" w:rsidRPr="00BA27FE">
        <w:rPr>
          <w:i/>
          <w:iCs/>
        </w:rPr>
        <w:t>encourage onshore conventional petroleum resource exploration and development in Victoria</w:t>
      </w:r>
      <w:r w:rsidR="000B4822">
        <w:rPr>
          <w:i/>
          <w:iCs/>
        </w:rPr>
        <w:t xml:space="preserve">. </w:t>
      </w:r>
    </w:p>
    <w:p w14:paraId="1A4CE80F" w14:textId="1860977D" w:rsidR="00256ED5" w:rsidRPr="000B4822" w:rsidRDefault="00E1617F" w:rsidP="00CF77D6">
      <w:r>
        <w:lastRenderedPageBreak/>
        <w:t xml:space="preserve">Rights to explore for petroleum in Victoria are allocated on a competitive tender basis, </w:t>
      </w:r>
      <w:r w:rsidR="000D129F">
        <w:t>which ensures</w:t>
      </w:r>
      <w:r>
        <w:t xml:space="preserve"> that maximum economic benefit is </w:t>
      </w:r>
      <w:r w:rsidR="003446E6">
        <w:t>realised</w:t>
      </w:r>
      <w:r w:rsidR="000D129F">
        <w:t xml:space="preserve"> by </w:t>
      </w:r>
      <w:r w:rsidR="00884CDF">
        <w:t xml:space="preserve">providing the rights to the applicant with </w:t>
      </w:r>
      <w:r w:rsidR="005106F5">
        <w:t>the best proposed work program and ability</w:t>
      </w:r>
      <w:r w:rsidR="003446E6">
        <w:t>.</w:t>
      </w:r>
      <w:r w:rsidR="005106F5">
        <w:t xml:space="preserve"> </w:t>
      </w:r>
      <w:r w:rsidR="001B3150">
        <w:t>The minister must consider the merits and likelihood of a work program being carried out</w:t>
      </w:r>
      <w:r w:rsidR="008E3DE4">
        <w:t>,</w:t>
      </w:r>
      <w:r w:rsidR="008E005D">
        <w:t xml:space="preserve"> cognisant of </w:t>
      </w:r>
      <w:r w:rsidR="006B51D5">
        <w:t xml:space="preserve">the potential return of a petroleum resource to the authority holder and Victorian public. </w:t>
      </w:r>
    </w:p>
    <w:p w14:paraId="0B5459D8" w14:textId="2A6A5AB8" w:rsidR="005168E1" w:rsidRDefault="005168E1" w:rsidP="00CF77D6">
      <w:pPr>
        <w:rPr>
          <w:b/>
          <w:bCs/>
        </w:rPr>
      </w:pPr>
      <w:r>
        <w:rPr>
          <w:b/>
          <w:bCs/>
        </w:rPr>
        <w:t>Other relevant legislation</w:t>
      </w:r>
    </w:p>
    <w:p w14:paraId="6F8EFFBA" w14:textId="45178E71" w:rsidR="005168E1" w:rsidRPr="005168E1" w:rsidRDefault="005168E1" w:rsidP="00CF77D6">
      <w:r>
        <w:t xml:space="preserve">In addition to the above regulatory framework, </w:t>
      </w:r>
      <w:r w:rsidR="00055435">
        <w:t xml:space="preserve">authority holders are subject </w:t>
      </w:r>
      <w:r w:rsidR="000A0DC7">
        <w:t xml:space="preserve">to </w:t>
      </w:r>
      <w:r w:rsidR="00FB6EC9">
        <w:t>other</w:t>
      </w:r>
      <w:r w:rsidR="00A25356">
        <w:t xml:space="preserve"> Victorian and Commonwealth</w:t>
      </w:r>
      <w:r w:rsidR="00FB6EC9">
        <w:t xml:space="preserve"> legislation which governs certain aspects of the petroleum industry. </w:t>
      </w:r>
      <w:r w:rsidR="008A1B2F">
        <w:t>Th</w:t>
      </w:r>
      <w:r w:rsidR="00D86D1A">
        <w:t>ese</w:t>
      </w:r>
      <w:r w:rsidR="008A1B2F">
        <w:t xml:space="preserve"> include</w:t>
      </w:r>
      <w:r w:rsidR="000806C6">
        <w:t xml:space="preserve"> the following legislation as well as</w:t>
      </w:r>
      <w:r w:rsidR="00516F97">
        <w:t xml:space="preserve"> </w:t>
      </w:r>
      <w:r w:rsidR="000806C6">
        <w:t xml:space="preserve">relevant </w:t>
      </w:r>
      <w:r w:rsidR="00516F97">
        <w:t>subordinate</w:t>
      </w:r>
      <w:r w:rsidR="000806C6">
        <w:t xml:space="preserve"> codes and standards</w:t>
      </w:r>
      <w:r w:rsidR="00BA77EE">
        <w:rPr>
          <w:rStyle w:val="FootnoteReference"/>
        </w:rPr>
        <w:footnoteReference w:id="3"/>
      </w:r>
      <w:r w:rsidR="008A1B2F">
        <w:t>;</w:t>
      </w:r>
    </w:p>
    <w:tbl>
      <w:tblPr>
        <w:tblStyle w:val="Deloittetable"/>
        <w:tblW w:w="4858" w:type="pct"/>
        <w:tblLook w:val="04A0" w:firstRow="1" w:lastRow="0" w:firstColumn="1" w:lastColumn="0" w:noHBand="0" w:noVBand="1"/>
      </w:tblPr>
      <w:tblGrid>
        <w:gridCol w:w="4696"/>
        <w:gridCol w:w="4696"/>
      </w:tblGrid>
      <w:tr w:rsidR="001528D0" w:rsidRPr="00BF281D" w14:paraId="69E68DF2" w14:textId="77777777" w:rsidTr="001528D0">
        <w:trPr>
          <w:cnfStyle w:val="100000000000" w:firstRow="1" w:lastRow="0" w:firstColumn="0" w:lastColumn="0" w:oddVBand="0" w:evenVBand="0" w:oddHBand="0" w:evenHBand="0" w:firstRowFirstColumn="0" w:firstRowLastColumn="0" w:lastRowFirstColumn="0" w:lastRowLastColumn="0"/>
          <w:trHeight w:val="306"/>
          <w:tblHeader/>
        </w:trPr>
        <w:tc>
          <w:tcPr>
            <w:tcW w:w="2500" w:type="pct"/>
          </w:tcPr>
          <w:p w14:paraId="17681863" w14:textId="77777777" w:rsidR="001528D0" w:rsidRPr="00B34FE1" w:rsidRDefault="001528D0" w:rsidP="000B1EF3">
            <w:pPr>
              <w:spacing w:after="0" w:line="240" w:lineRule="auto"/>
              <w:jc w:val="center"/>
              <w:rPr>
                <w:rFonts w:eastAsia="Times New Roman" w:cs="Times New Roman"/>
                <w:b/>
                <w:bCs/>
                <w:color w:val="000000"/>
                <w:sz w:val="16"/>
                <w:szCs w:val="16"/>
                <w:lang w:eastAsia="en-AU"/>
              </w:rPr>
            </w:pPr>
            <w:r w:rsidRPr="00B34FE1">
              <w:rPr>
                <w:rFonts w:eastAsia="Times New Roman" w:cs="Times New Roman"/>
                <w:b/>
                <w:bCs/>
                <w:color w:val="000000"/>
                <w:sz w:val="16"/>
                <w:szCs w:val="16"/>
                <w:lang w:eastAsia="en-AU"/>
              </w:rPr>
              <w:t xml:space="preserve">Legislation potentially of relevance to Victorian authority holders </w:t>
            </w:r>
          </w:p>
        </w:tc>
        <w:tc>
          <w:tcPr>
            <w:tcW w:w="2500" w:type="pct"/>
          </w:tcPr>
          <w:p w14:paraId="67E57C83" w14:textId="096F8C5A" w:rsidR="001528D0" w:rsidRPr="00B34FE1" w:rsidRDefault="001528D0" w:rsidP="000B1EF3">
            <w:pPr>
              <w:spacing w:after="0" w:line="240" w:lineRule="auto"/>
              <w:jc w:val="center"/>
              <w:rPr>
                <w:rFonts w:eastAsia="Times New Roman" w:cs="Times New Roman"/>
                <w:b/>
                <w:bCs/>
                <w:color w:val="000000"/>
                <w:sz w:val="16"/>
                <w:szCs w:val="16"/>
                <w:lang w:eastAsia="en-AU"/>
              </w:rPr>
            </w:pPr>
          </w:p>
        </w:tc>
      </w:tr>
      <w:tr w:rsidR="00F808E9" w:rsidRPr="00BF281D" w14:paraId="10FA9B7F" w14:textId="77777777" w:rsidTr="00F808E9">
        <w:trPr>
          <w:trHeight w:val="306"/>
          <w:tblHeader/>
        </w:trPr>
        <w:tc>
          <w:tcPr>
            <w:tcW w:w="2499" w:type="pct"/>
          </w:tcPr>
          <w:p w14:paraId="54A8C662" w14:textId="6D1004A7" w:rsidR="00F808E9" w:rsidRPr="00F808E9" w:rsidRDefault="00F808E9" w:rsidP="000B1E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AU"/>
              </w:rPr>
            </w:pPr>
            <w:r w:rsidRPr="00F808E9">
              <w:rPr>
                <w:rFonts w:eastAsia="Times New Roman" w:cs="Times New Roman"/>
                <w:color w:val="000000"/>
                <w:sz w:val="16"/>
                <w:szCs w:val="16"/>
                <w:lang w:eastAsia="en-AU"/>
              </w:rPr>
              <w:t>Aboriginal Heritage Act 2006</w:t>
            </w:r>
          </w:p>
        </w:tc>
        <w:tc>
          <w:tcPr>
            <w:tcW w:w="2501" w:type="pct"/>
          </w:tcPr>
          <w:p w14:paraId="7F3B4CE4" w14:textId="7C9E420C" w:rsidR="00F808E9" w:rsidRPr="00F808E9" w:rsidRDefault="007D7943" w:rsidP="000B1E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AU"/>
              </w:rPr>
            </w:pPr>
            <w:r>
              <w:rPr>
                <w:rFonts w:eastAsia="Times New Roman" w:cs="Times New Roman"/>
                <w:color w:val="000000"/>
                <w:sz w:val="16"/>
                <w:szCs w:val="16"/>
                <w:lang w:eastAsia="en-AU"/>
              </w:rPr>
              <w:t>Catchment and Land Protection Act 1994</w:t>
            </w:r>
          </w:p>
        </w:tc>
      </w:tr>
      <w:tr w:rsidR="00F808E9" w:rsidRPr="00BF281D" w14:paraId="2A42725D" w14:textId="77777777" w:rsidTr="00F808E9">
        <w:trPr>
          <w:trHeight w:val="288"/>
        </w:trPr>
        <w:tc>
          <w:tcPr>
            <w:tcW w:w="2499" w:type="pct"/>
          </w:tcPr>
          <w:p w14:paraId="21608E57" w14:textId="0908AD44" w:rsidR="00F808E9" w:rsidRPr="00F808E9" w:rsidRDefault="00F808E9" w:rsidP="000B1EF3">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Environment Protection and Biodiversity Conservation Act 1999</w:t>
            </w:r>
            <w:r w:rsidR="009E1F61">
              <w:rPr>
                <w:rFonts w:eastAsia="Times New Roman" w:cs="Times New Roman"/>
                <w:color w:val="000000"/>
                <w:sz w:val="16"/>
                <w:szCs w:val="16"/>
                <w:lang w:eastAsia="en-AU"/>
              </w:rPr>
              <w:t xml:space="preserve"> (Cth)</w:t>
            </w:r>
          </w:p>
        </w:tc>
        <w:tc>
          <w:tcPr>
            <w:tcW w:w="2501" w:type="pct"/>
          </w:tcPr>
          <w:p w14:paraId="2BA8434D" w14:textId="59ACFB16" w:rsidR="00F808E9" w:rsidRPr="00F808E9" w:rsidRDefault="007D7943" w:rsidP="000B1EF3">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Flora and Fauna Guarantee Act 1998</w:t>
            </w:r>
          </w:p>
        </w:tc>
      </w:tr>
      <w:tr w:rsidR="00F808E9" w:rsidRPr="00BF281D" w14:paraId="58C517CA" w14:textId="77777777" w:rsidTr="00F808E9">
        <w:trPr>
          <w:trHeight w:val="379"/>
        </w:trPr>
        <w:tc>
          <w:tcPr>
            <w:tcW w:w="2499" w:type="pct"/>
          </w:tcPr>
          <w:p w14:paraId="477B2C60" w14:textId="33C05394" w:rsidR="00F808E9" w:rsidRPr="00F808E9" w:rsidRDefault="00F808E9" w:rsidP="000B1EF3">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Planning and Environment Act 1987 and associated Vic</w:t>
            </w:r>
            <w:r w:rsidR="00346C2F">
              <w:rPr>
                <w:rFonts w:eastAsia="Times New Roman" w:cs="Times New Roman"/>
                <w:color w:val="000000"/>
                <w:sz w:val="16"/>
                <w:szCs w:val="16"/>
                <w:lang w:eastAsia="en-AU"/>
              </w:rPr>
              <w:t>toria</w:t>
            </w:r>
            <w:r w:rsidR="009815D4">
              <w:rPr>
                <w:rFonts w:eastAsia="Times New Roman" w:cs="Times New Roman"/>
                <w:color w:val="000000"/>
                <w:sz w:val="16"/>
                <w:szCs w:val="16"/>
                <w:lang w:eastAsia="en-AU"/>
              </w:rPr>
              <w:t>n</w:t>
            </w:r>
            <w:r>
              <w:rPr>
                <w:rFonts w:eastAsia="Times New Roman" w:cs="Times New Roman"/>
                <w:color w:val="000000"/>
                <w:sz w:val="16"/>
                <w:szCs w:val="16"/>
                <w:lang w:eastAsia="en-AU"/>
              </w:rPr>
              <w:t xml:space="preserve"> Planning </w:t>
            </w:r>
            <w:r w:rsidR="00346C2F">
              <w:rPr>
                <w:rFonts w:eastAsia="Times New Roman" w:cs="Times New Roman"/>
                <w:color w:val="000000"/>
                <w:sz w:val="16"/>
                <w:szCs w:val="16"/>
                <w:lang w:eastAsia="en-AU"/>
              </w:rPr>
              <w:t>P</w:t>
            </w:r>
            <w:r>
              <w:rPr>
                <w:rFonts w:eastAsia="Times New Roman" w:cs="Times New Roman"/>
                <w:color w:val="000000"/>
                <w:sz w:val="16"/>
                <w:szCs w:val="16"/>
                <w:lang w:eastAsia="en-AU"/>
              </w:rPr>
              <w:t>rovision</w:t>
            </w:r>
            <w:r w:rsidR="00346C2F">
              <w:rPr>
                <w:rFonts w:eastAsia="Times New Roman" w:cs="Times New Roman"/>
                <w:color w:val="000000"/>
                <w:sz w:val="16"/>
                <w:szCs w:val="16"/>
                <w:lang w:eastAsia="en-AU"/>
              </w:rPr>
              <w:t>s</w:t>
            </w:r>
          </w:p>
        </w:tc>
        <w:tc>
          <w:tcPr>
            <w:tcW w:w="2501" w:type="pct"/>
          </w:tcPr>
          <w:p w14:paraId="3667A5AE" w14:textId="14F7C717" w:rsidR="00F808E9" w:rsidRPr="00F808E9" w:rsidRDefault="007D7943" w:rsidP="000B1EF3">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Water Act 1989</w:t>
            </w:r>
          </w:p>
        </w:tc>
      </w:tr>
      <w:tr w:rsidR="00F808E9" w:rsidRPr="00BF281D" w14:paraId="0D12493C" w14:textId="77777777" w:rsidTr="00F808E9">
        <w:trPr>
          <w:trHeight w:val="361"/>
        </w:trPr>
        <w:tc>
          <w:tcPr>
            <w:tcW w:w="2499" w:type="pct"/>
          </w:tcPr>
          <w:p w14:paraId="0FED4572" w14:textId="5FE53ABF" w:rsidR="00F808E9" w:rsidRPr="00F808E9" w:rsidRDefault="00F808E9" w:rsidP="000B1EF3">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Wildlife Act 1975</w:t>
            </w:r>
          </w:p>
        </w:tc>
        <w:tc>
          <w:tcPr>
            <w:tcW w:w="2501" w:type="pct"/>
          </w:tcPr>
          <w:p w14:paraId="3E642AC2" w14:textId="35F1101E" w:rsidR="00F808E9" w:rsidRPr="00F808E9" w:rsidRDefault="00C97D92" w:rsidP="000B1EF3">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Heritage Act 2017</w:t>
            </w:r>
          </w:p>
        </w:tc>
      </w:tr>
      <w:tr w:rsidR="00F808E9" w:rsidRPr="00BF281D" w14:paraId="7296AD7F" w14:textId="77777777" w:rsidTr="00F808E9">
        <w:trPr>
          <w:trHeight w:val="361"/>
        </w:trPr>
        <w:tc>
          <w:tcPr>
            <w:tcW w:w="2499" w:type="pct"/>
          </w:tcPr>
          <w:p w14:paraId="400EE11C" w14:textId="68237E22" w:rsidR="00F808E9" w:rsidRPr="00F808E9" w:rsidRDefault="002D2089" w:rsidP="000B1EF3">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Occupational Health and Safety Act 2004</w:t>
            </w:r>
          </w:p>
        </w:tc>
        <w:tc>
          <w:tcPr>
            <w:tcW w:w="2501" w:type="pct"/>
          </w:tcPr>
          <w:p w14:paraId="42F5765D" w14:textId="77777777" w:rsidR="00C97D92" w:rsidRDefault="00C97D92" w:rsidP="00C97D92">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Environment Protection Act 1970</w:t>
            </w:r>
          </w:p>
          <w:p w14:paraId="5DCAA3E0" w14:textId="77777777" w:rsidR="00C97D92" w:rsidRDefault="00C97D92" w:rsidP="00C97D92">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(SEPP S160 Groundwaters of Victoria)</w:t>
            </w:r>
          </w:p>
          <w:p w14:paraId="41FDBD43" w14:textId="77777777" w:rsidR="00C97D92" w:rsidRDefault="00C97D92" w:rsidP="00C97D92">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(SEPP S13 Waters of Victoria)</w:t>
            </w:r>
          </w:p>
          <w:p w14:paraId="3E529AF7" w14:textId="77777777" w:rsidR="00C97D92" w:rsidRDefault="00C97D92" w:rsidP="00C97D92">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(SEPP Medium scenario Noise from Industry, Commerce and Trade)</w:t>
            </w:r>
          </w:p>
          <w:p w14:paraId="62F51ED1" w14:textId="020FD797" w:rsidR="00F808E9" w:rsidRPr="00F808E9" w:rsidRDefault="00C97D92" w:rsidP="000B1EF3">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(SEPP S19 Ambient Air Policy)</w:t>
            </w:r>
          </w:p>
        </w:tc>
      </w:tr>
      <w:tr w:rsidR="00F808E9" w:rsidRPr="00BF281D" w14:paraId="671896E3" w14:textId="77777777" w:rsidTr="00F808E9">
        <w:trPr>
          <w:trHeight w:val="361"/>
        </w:trPr>
        <w:tc>
          <w:tcPr>
            <w:tcW w:w="2499" w:type="pct"/>
          </w:tcPr>
          <w:p w14:paraId="4B09EB92" w14:textId="53AAEFE8" w:rsidR="00F808E9" w:rsidRPr="00F808E9" w:rsidRDefault="002064DC" w:rsidP="000B1EF3">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Independent Contractors Act 2006</w:t>
            </w:r>
          </w:p>
        </w:tc>
        <w:tc>
          <w:tcPr>
            <w:tcW w:w="2501" w:type="pct"/>
          </w:tcPr>
          <w:p w14:paraId="7C72C0B3" w14:textId="6FD992CF" w:rsidR="00F808E9" w:rsidRPr="00F808E9" w:rsidRDefault="00C97D92" w:rsidP="000B1EF3">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Fair Work Act 2009</w:t>
            </w:r>
          </w:p>
        </w:tc>
      </w:tr>
      <w:tr w:rsidR="00F808E9" w:rsidRPr="00BF281D" w14:paraId="30204752" w14:textId="77777777" w:rsidTr="00F808E9">
        <w:trPr>
          <w:trHeight w:val="361"/>
        </w:trPr>
        <w:tc>
          <w:tcPr>
            <w:tcW w:w="2499" w:type="pct"/>
          </w:tcPr>
          <w:p w14:paraId="636057A6" w14:textId="74531606" w:rsidR="00F808E9" w:rsidRPr="00F808E9" w:rsidRDefault="002064DC" w:rsidP="000B1EF3">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 xml:space="preserve">Environment Effects Act </w:t>
            </w:r>
            <w:r w:rsidR="001D0B25">
              <w:rPr>
                <w:rFonts w:eastAsia="Times New Roman" w:cs="Times New Roman"/>
                <w:color w:val="000000"/>
                <w:sz w:val="16"/>
                <w:szCs w:val="16"/>
                <w:lang w:eastAsia="en-AU"/>
              </w:rPr>
              <w:t>1978</w:t>
            </w:r>
          </w:p>
        </w:tc>
        <w:tc>
          <w:tcPr>
            <w:tcW w:w="2501" w:type="pct"/>
          </w:tcPr>
          <w:p w14:paraId="759A316C" w14:textId="5FACFFD2" w:rsidR="00F808E9" w:rsidRPr="00F808E9" w:rsidRDefault="00C97D92" w:rsidP="000B1EF3">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Traditional Owner Settlement Act 2010</w:t>
            </w:r>
          </w:p>
        </w:tc>
      </w:tr>
      <w:tr w:rsidR="0078408C" w:rsidRPr="00BF281D" w14:paraId="2B34517A" w14:textId="77777777" w:rsidTr="00F808E9">
        <w:trPr>
          <w:trHeight w:val="361"/>
        </w:trPr>
        <w:tc>
          <w:tcPr>
            <w:tcW w:w="2499" w:type="pct"/>
          </w:tcPr>
          <w:p w14:paraId="266D068F" w14:textId="5C998407" w:rsidR="0078408C" w:rsidRDefault="0078408C" w:rsidP="00CE385A">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Climate Change Act 2017</w:t>
            </w:r>
          </w:p>
        </w:tc>
        <w:tc>
          <w:tcPr>
            <w:tcW w:w="2501" w:type="pct"/>
          </w:tcPr>
          <w:p w14:paraId="3FA15485" w14:textId="7ACE0240" w:rsidR="0078408C" w:rsidRPr="00F808E9" w:rsidRDefault="003D3A09" w:rsidP="00CE385A">
            <w:pPr>
              <w:spacing w:after="0" w:line="240" w:lineRule="auto"/>
              <w:jc w:val="center"/>
              <w:rPr>
                <w:rFonts w:eastAsia="Times New Roman" w:cs="Times New Roman"/>
                <w:color w:val="000000"/>
                <w:sz w:val="16"/>
                <w:szCs w:val="16"/>
                <w:lang w:eastAsia="en-AU"/>
              </w:rPr>
            </w:pPr>
            <w:r w:rsidRPr="003D3A09">
              <w:rPr>
                <w:rFonts w:eastAsia="Times New Roman" w:cs="Times New Roman"/>
                <w:color w:val="000000"/>
                <w:sz w:val="16"/>
                <w:szCs w:val="16"/>
                <w:lang w:eastAsia="en-AU"/>
              </w:rPr>
              <w:t>Customs (Prohibited Exports) Regulations 1958</w:t>
            </w:r>
            <w:r>
              <w:rPr>
                <w:rFonts w:eastAsia="Times New Roman" w:cs="Times New Roman"/>
                <w:color w:val="000000"/>
                <w:sz w:val="16"/>
                <w:szCs w:val="16"/>
                <w:lang w:eastAsia="en-AU"/>
              </w:rPr>
              <w:t xml:space="preserve"> </w:t>
            </w:r>
            <w:r w:rsidR="00EA520E">
              <w:rPr>
                <w:rFonts w:eastAsia="Times New Roman" w:cs="Times New Roman"/>
                <w:color w:val="000000"/>
                <w:sz w:val="16"/>
                <w:szCs w:val="16"/>
                <w:lang w:eastAsia="en-AU"/>
              </w:rPr>
              <w:t xml:space="preserve">(Cth) </w:t>
            </w:r>
            <w:r>
              <w:rPr>
                <w:rFonts w:eastAsia="Times New Roman" w:cs="Times New Roman"/>
                <w:color w:val="000000"/>
                <w:sz w:val="16"/>
                <w:szCs w:val="16"/>
                <w:lang w:eastAsia="en-AU"/>
              </w:rPr>
              <w:t xml:space="preserve">implementing the </w:t>
            </w:r>
            <w:r w:rsidR="00C97D92">
              <w:rPr>
                <w:rFonts w:eastAsia="Times New Roman" w:cs="Times New Roman"/>
                <w:color w:val="000000"/>
                <w:sz w:val="16"/>
                <w:szCs w:val="16"/>
                <w:lang w:eastAsia="en-AU"/>
              </w:rPr>
              <w:t xml:space="preserve">Australian Domestic Gas Security Mechanism </w:t>
            </w:r>
          </w:p>
        </w:tc>
      </w:tr>
      <w:tr w:rsidR="0078408C" w:rsidRPr="00BF281D" w14:paraId="44406465" w14:textId="77777777" w:rsidTr="00F808E9">
        <w:trPr>
          <w:trHeight w:val="361"/>
        </w:trPr>
        <w:tc>
          <w:tcPr>
            <w:tcW w:w="2499" w:type="pct"/>
          </w:tcPr>
          <w:p w14:paraId="18D436C8" w14:textId="2BE2C108" w:rsidR="0078408C" w:rsidRDefault="0078408C" w:rsidP="00CE385A">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Native Title Act 1993</w:t>
            </w:r>
            <w:r w:rsidR="009E1F61">
              <w:rPr>
                <w:rFonts w:eastAsia="Times New Roman" w:cs="Times New Roman"/>
                <w:color w:val="000000"/>
                <w:sz w:val="16"/>
                <w:szCs w:val="16"/>
                <w:lang w:eastAsia="en-AU"/>
              </w:rPr>
              <w:t xml:space="preserve"> (Cth)</w:t>
            </w:r>
          </w:p>
        </w:tc>
        <w:tc>
          <w:tcPr>
            <w:tcW w:w="2501" w:type="pct"/>
          </w:tcPr>
          <w:p w14:paraId="20464E8E" w14:textId="16F9E797" w:rsidR="0078408C" w:rsidRPr="00F808E9" w:rsidRDefault="0078408C" w:rsidP="00CE385A">
            <w:pPr>
              <w:spacing w:after="0" w:line="240" w:lineRule="auto"/>
              <w:jc w:val="center"/>
              <w:rPr>
                <w:rFonts w:eastAsia="Times New Roman" w:cs="Times New Roman"/>
                <w:color w:val="000000"/>
                <w:sz w:val="16"/>
                <w:szCs w:val="16"/>
                <w:lang w:eastAsia="en-AU"/>
              </w:rPr>
            </w:pPr>
          </w:p>
        </w:tc>
      </w:tr>
    </w:tbl>
    <w:p w14:paraId="353EADFE" w14:textId="33139724" w:rsidR="0068543D" w:rsidRDefault="0068543D" w:rsidP="00F808E9"/>
    <w:p w14:paraId="7A637273" w14:textId="7BF326B5" w:rsidR="00D86D1A" w:rsidRDefault="00D86D1A" w:rsidP="00F808E9">
      <w:pPr>
        <w:rPr>
          <w:b/>
        </w:rPr>
      </w:pPr>
      <w:r>
        <w:rPr>
          <w:b/>
          <w:bCs/>
        </w:rPr>
        <w:t xml:space="preserve">International </w:t>
      </w:r>
      <w:r w:rsidR="009B4747">
        <w:rPr>
          <w:b/>
          <w:bCs/>
        </w:rPr>
        <w:t xml:space="preserve">and national </w:t>
      </w:r>
      <w:r>
        <w:rPr>
          <w:b/>
          <w:bCs/>
        </w:rPr>
        <w:t xml:space="preserve">standards and </w:t>
      </w:r>
      <w:r w:rsidR="009B4747">
        <w:rPr>
          <w:b/>
          <w:bCs/>
        </w:rPr>
        <w:t>self-regulation</w:t>
      </w:r>
    </w:p>
    <w:p w14:paraId="1C304382" w14:textId="29D4C054" w:rsidR="009B4747" w:rsidRPr="009B4747" w:rsidRDefault="00B1380F" w:rsidP="00F808E9">
      <w:r>
        <w:t xml:space="preserve">Standards and self-regulation are designed </w:t>
      </w:r>
      <w:r w:rsidR="0062463F">
        <w:t xml:space="preserve">to ensure best practice </w:t>
      </w:r>
      <w:r w:rsidR="00A87559">
        <w:t xml:space="preserve">from industry </w:t>
      </w:r>
      <w:r w:rsidR="006520DF">
        <w:t xml:space="preserve">by </w:t>
      </w:r>
      <w:r w:rsidR="00AE2B36">
        <w:t xml:space="preserve">creating </w:t>
      </w:r>
      <w:r w:rsidR="00A04C09">
        <w:t xml:space="preserve">requirements that </w:t>
      </w:r>
      <w:r w:rsidR="00B6093F">
        <w:t xml:space="preserve">are above and beyond what is required under the legislative framework. </w:t>
      </w:r>
      <w:r w:rsidR="002D61D1">
        <w:t>In the Victorian petroleum industry, the regulatory framework is designed to be the minimum</w:t>
      </w:r>
      <w:r w:rsidR="00FD35E1">
        <w:t xml:space="preserve"> standards required,</w:t>
      </w:r>
      <w:r w:rsidR="008D4BF3">
        <w:t xml:space="preserve"> while </w:t>
      </w:r>
      <w:r w:rsidR="004C0D3C">
        <w:t xml:space="preserve">international and national standards </w:t>
      </w:r>
      <w:r w:rsidR="00B8579A">
        <w:t xml:space="preserve">are </w:t>
      </w:r>
      <w:r w:rsidR="00817039">
        <w:t>expected to be met on top of</w:t>
      </w:r>
      <w:r w:rsidR="00B8579A">
        <w:t xml:space="preserve"> </w:t>
      </w:r>
      <w:r w:rsidR="00F842D4">
        <w:t xml:space="preserve">this. </w:t>
      </w:r>
      <w:r w:rsidR="0060106B">
        <w:t xml:space="preserve">These standards </w:t>
      </w:r>
      <w:r w:rsidR="002B5CEB">
        <w:t>principally relate to environmental management standards.</w:t>
      </w:r>
    </w:p>
    <w:p w14:paraId="45C8063A" w14:textId="2DF3BD7B" w:rsidR="00F842D4" w:rsidRPr="009B4747" w:rsidRDefault="00F842D4" w:rsidP="00F808E9">
      <w:r>
        <w:t xml:space="preserve">The Victorian gas industry </w:t>
      </w:r>
      <w:r w:rsidR="0023598C">
        <w:t xml:space="preserve">operates to the </w:t>
      </w:r>
      <w:r w:rsidR="00D862B0">
        <w:t xml:space="preserve">level of several </w:t>
      </w:r>
      <w:r w:rsidR="006F202D">
        <w:t xml:space="preserve">international and national </w:t>
      </w:r>
      <w:r w:rsidR="00D862B0">
        <w:t>standards, including:</w:t>
      </w:r>
    </w:p>
    <w:p w14:paraId="15055334" w14:textId="7ACC610A" w:rsidR="00D862B0" w:rsidRPr="009B4747" w:rsidRDefault="005E116C" w:rsidP="005E116C">
      <w:pPr>
        <w:pStyle w:val="ListParagraph"/>
        <w:numPr>
          <w:ilvl w:val="0"/>
          <w:numId w:val="84"/>
        </w:numPr>
      </w:pPr>
      <w:r>
        <w:t xml:space="preserve">Environmental Manual for Worldwide Geophysical Operations </w:t>
      </w:r>
      <w:r w:rsidR="0060106B">
        <w:t>–</w:t>
      </w:r>
      <w:r>
        <w:t xml:space="preserve"> International</w:t>
      </w:r>
      <w:r w:rsidR="0060106B">
        <w:t xml:space="preserve"> Association of Geophysical Contractors, 2013</w:t>
      </w:r>
    </w:p>
    <w:p w14:paraId="4018D541" w14:textId="0925304B" w:rsidR="0060106B" w:rsidRPr="009B4747" w:rsidRDefault="0060106B" w:rsidP="005E116C">
      <w:pPr>
        <w:pStyle w:val="ListParagraph"/>
        <w:numPr>
          <w:ilvl w:val="0"/>
          <w:numId w:val="84"/>
        </w:numPr>
      </w:pPr>
      <w:r>
        <w:t>Environmental Manage</w:t>
      </w:r>
      <w:r w:rsidR="002B5CEB">
        <w:t xml:space="preserve">ment in Oil and Gas Exploration and Production </w:t>
      </w:r>
      <w:r w:rsidR="000D6DB7">
        <w:t>–</w:t>
      </w:r>
      <w:r w:rsidR="002B5CEB">
        <w:t xml:space="preserve"> Industry and Environment</w:t>
      </w:r>
      <w:r w:rsidR="000D6DB7">
        <w:t xml:space="preserve"> Office of the United Nations Environment Programme, 1997</w:t>
      </w:r>
    </w:p>
    <w:p w14:paraId="74064067" w14:textId="0EFFAC1D" w:rsidR="000D6DB7" w:rsidRPr="009B4747" w:rsidRDefault="00624938" w:rsidP="005E116C">
      <w:pPr>
        <w:pStyle w:val="ListParagraph"/>
        <w:numPr>
          <w:ilvl w:val="0"/>
          <w:numId w:val="84"/>
        </w:numPr>
      </w:pPr>
      <w:r>
        <w:t>Exploration and Production Waste Management Guidelines</w:t>
      </w:r>
      <w:r w:rsidR="003F4CAD">
        <w:t xml:space="preserve"> – E&amp;P Forum, 1993</w:t>
      </w:r>
    </w:p>
    <w:p w14:paraId="546D5083" w14:textId="3F39F12E" w:rsidR="003F4CAD" w:rsidRPr="009B4747" w:rsidRDefault="003F4CAD" w:rsidP="005E116C">
      <w:pPr>
        <w:pStyle w:val="ListParagraph"/>
        <w:numPr>
          <w:ilvl w:val="0"/>
          <w:numId w:val="84"/>
        </w:numPr>
      </w:pPr>
      <w:r>
        <w:t>Code of Environmental Practice – Australian Petroleum</w:t>
      </w:r>
      <w:r w:rsidR="00275B2C">
        <w:t xml:space="preserve"> Production and Exploration Association, </w:t>
      </w:r>
      <w:r w:rsidR="00710FE1">
        <w:t>2008</w:t>
      </w:r>
    </w:p>
    <w:p w14:paraId="1846A4E8" w14:textId="0E8BAF61" w:rsidR="00710FE1" w:rsidRPr="009B4747" w:rsidRDefault="00710FE1" w:rsidP="005E116C">
      <w:pPr>
        <w:pStyle w:val="ListParagraph"/>
        <w:numPr>
          <w:ilvl w:val="0"/>
          <w:numId w:val="84"/>
        </w:numPr>
      </w:pPr>
      <w:r>
        <w:lastRenderedPageBreak/>
        <w:t>Code of Environmental Practice</w:t>
      </w:r>
      <w:r w:rsidR="00281314">
        <w:t xml:space="preserve"> – APGA, 2017</w:t>
      </w:r>
    </w:p>
    <w:p w14:paraId="1D725E88" w14:textId="2A84D384" w:rsidR="00281314" w:rsidRPr="009B4747" w:rsidRDefault="00281314" w:rsidP="00281314">
      <w:r>
        <w:t xml:space="preserve">In addition, the petroleum industry </w:t>
      </w:r>
      <w:r w:rsidR="00C975A1">
        <w:t xml:space="preserve">implements its own standards under the International </w:t>
      </w:r>
      <w:r w:rsidR="00B451E0">
        <w:t>Organization for Standardization</w:t>
      </w:r>
      <w:r w:rsidR="002342DC">
        <w:t xml:space="preserve"> </w:t>
      </w:r>
      <w:r w:rsidR="00367EFE">
        <w:t xml:space="preserve">(ISO) </w:t>
      </w:r>
      <w:r w:rsidR="002342DC">
        <w:t xml:space="preserve">regime. </w:t>
      </w:r>
    </w:p>
    <w:p w14:paraId="6F3E919A" w14:textId="38D6515A" w:rsidR="00301C07" w:rsidRPr="00BF281D" w:rsidRDefault="00095613" w:rsidP="00301C07">
      <w:pPr>
        <w:rPr>
          <w:b/>
          <w:bCs/>
        </w:rPr>
      </w:pPr>
      <w:r w:rsidRPr="00BF281D">
        <w:rPr>
          <w:b/>
          <w:bCs/>
        </w:rPr>
        <w:t>The Petroleum Regulations 2011</w:t>
      </w:r>
    </w:p>
    <w:p w14:paraId="2507D643" w14:textId="7C2EA00C" w:rsidR="00EA198F" w:rsidRPr="00BF281D" w:rsidRDefault="00311111" w:rsidP="00EA198F">
      <w:r w:rsidRPr="00BF281D">
        <w:t xml:space="preserve">The </w:t>
      </w:r>
      <w:r w:rsidR="009B2840" w:rsidRPr="00B34FE1">
        <w:t>Petroleum Regulations</w:t>
      </w:r>
      <w:r w:rsidRPr="00B34FE1">
        <w:t xml:space="preserve"> </w:t>
      </w:r>
      <w:r w:rsidR="007C761D" w:rsidRPr="00B34FE1">
        <w:t>2011</w:t>
      </w:r>
      <w:r w:rsidRPr="00BF281D">
        <w:t xml:space="preserve"> </w:t>
      </w:r>
      <w:r w:rsidR="008258C0" w:rsidRPr="00BF281D">
        <w:t xml:space="preserve">are </w:t>
      </w:r>
      <w:r w:rsidR="00FB6261">
        <w:t xml:space="preserve">made </w:t>
      </w:r>
      <w:r w:rsidR="00BC79B4">
        <w:t xml:space="preserve">pursuant </w:t>
      </w:r>
      <w:r w:rsidR="000638B0">
        <w:t xml:space="preserve">to </w:t>
      </w:r>
      <w:r w:rsidR="000638B0" w:rsidRPr="00BF281D">
        <w:t>the</w:t>
      </w:r>
      <w:r w:rsidR="008258C0" w:rsidRPr="00BF281D">
        <w:t xml:space="preserve"> </w:t>
      </w:r>
      <w:r w:rsidR="007F1C92" w:rsidRPr="00BF281D">
        <w:t xml:space="preserve">Petroleum </w:t>
      </w:r>
      <w:r w:rsidR="008258C0" w:rsidRPr="00BF281D">
        <w:t xml:space="preserve">Act. </w:t>
      </w:r>
      <w:r w:rsidR="00AF286B" w:rsidRPr="00BF281D">
        <w:t xml:space="preserve">They provide </w:t>
      </w:r>
      <w:r w:rsidR="004C4618" w:rsidRPr="00BF281D">
        <w:t xml:space="preserve">detail on </w:t>
      </w:r>
      <w:r w:rsidR="00493625" w:rsidRPr="00BF281D">
        <w:t xml:space="preserve">what is required to </w:t>
      </w:r>
      <w:r w:rsidR="00FD28F5" w:rsidRPr="00BF281D">
        <w:t xml:space="preserve">meet the </w:t>
      </w:r>
      <w:r w:rsidR="003E0D77" w:rsidRPr="00BF281D">
        <w:t xml:space="preserve">objectives and </w:t>
      </w:r>
      <w:r w:rsidR="00FD28F5" w:rsidRPr="00BF281D">
        <w:t xml:space="preserve">requirements </w:t>
      </w:r>
      <w:r w:rsidR="00AA30F1" w:rsidRPr="00BF281D">
        <w:t>of the Act. The objects of the Petroleum Regulations are</w:t>
      </w:r>
      <w:r w:rsidR="00802B2B" w:rsidRPr="00BF281D">
        <w:t xml:space="preserve"> to</w:t>
      </w:r>
      <w:r w:rsidR="00AA30F1" w:rsidRPr="00BF281D">
        <w:t>:</w:t>
      </w:r>
    </w:p>
    <w:p w14:paraId="1D235F08" w14:textId="39DE3E21" w:rsidR="005C7549" w:rsidRPr="00BF281D" w:rsidRDefault="005C7549" w:rsidP="00AE11D2">
      <w:pPr>
        <w:pStyle w:val="ListParagraph"/>
        <w:numPr>
          <w:ilvl w:val="0"/>
          <w:numId w:val="25"/>
        </w:numPr>
        <w:rPr>
          <w:b/>
          <w:bCs/>
        </w:rPr>
      </w:pPr>
      <w:r w:rsidRPr="00BF281D">
        <w:t xml:space="preserve">provide for the elimination and minimisation, so far as is practicable, of the environmental and public health and safety hazards and risks involved in undertaking petroleum </w:t>
      </w:r>
      <w:proofErr w:type="gramStart"/>
      <w:r w:rsidRPr="00BF281D">
        <w:t>operations;</w:t>
      </w:r>
      <w:proofErr w:type="gramEnd"/>
      <w:r w:rsidRPr="00BF281D">
        <w:t xml:space="preserve"> </w:t>
      </w:r>
    </w:p>
    <w:p w14:paraId="6B05EE66" w14:textId="79C0F76E" w:rsidR="005C7549" w:rsidRPr="00BF281D" w:rsidRDefault="005C7549" w:rsidP="00AE11D2">
      <w:pPr>
        <w:pStyle w:val="ListParagraph"/>
        <w:numPr>
          <w:ilvl w:val="0"/>
          <w:numId w:val="25"/>
        </w:numPr>
        <w:rPr>
          <w:b/>
          <w:bCs/>
        </w:rPr>
      </w:pPr>
      <w:r w:rsidRPr="00BF281D">
        <w:t xml:space="preserve">prescribe requirements for operation plans; and </w:t>
      </w:r>
    </w:p>
    <w:p w14:paraId="7714229F" w14:textId="0CC36C71" w:rsidR="001F3E1E" w:rsidRPr="00BF281D" w:rsidRDefault="005C7549" w:rsidP="00AE11D2">
      <w:pPr>
        <w:pStyle w:val="ListParagraph"/>
        <w:numPr>
          <w:ilvl w:val="0"/>
          <w:numId w:val="25"/>
        </w:numPr>
        <w:rPr>
          <w:b/>
        </w:rPr>
      </w:pPr>
      <w:r w:rsidRPr="00BF281D">
        <w:t>prescribe various administrative matters, fees and other requirements authorised by the Act.</w:t>
      </w:r>
    </w:p>
    <w:p w14:paraId="163BC0C1" w14:textId="50A27FAA" w:rsidR="003E0D12" w:rsidRPr="00BF281D" w:rsidRDefault="00BD39A9" w:rsidP="003E0D12">
      <w:r w:rsidRPr="00BF281D">
        <w:t xml:space="preserve">The </w:t>
      </w:r>
      <w:r w:rsidR="00CE6BA2" w:rsidRPr="00BF281D">
        <w:t xml:space="preserve">Victorian </w:t>
      </w:r>
      <w:r w:rsidR="00485FCC" w:rsidRPr="00BF281D">
        <w:t>G</w:t>
      </w:r>
      <w:r w:rsidR="00CE6BA2" w:rsidRPr="00BF281D">
        <w:t>overnment has committed</w:t>
      </w:r>
      <w:r w:rsidRPr="00BF281D">
        <w:t xml:space="preserve"> </w:t>
      </w:r>
      <w:r w:rsidR="00D21C9B" w:rsidRPr="00BF281D">
        <w:t xml:space="preserve">to </w:t>
      </w:r>
      <w:r w:rsidR="00492A58" w:rsidRPr="00BF281D">
        <w:t xml:space="preserve">remaking the </w:t>
      </w:r>
      <w:r w:rsidRPr="00BF281D">
        <w:t xml:space="preserve">regulations </w:t>
      </w:r>
      <w:r w:rsidR="00BA1145" w:rsidRPr="00BF281D">
        <w:t>to support the orderly restart of the onshore conventional gas industry.</w:t>
      </w:r>
      <w:r w:rsidRPr="00BF281D">
        <w:t xml:space="preserve"> </w:t>
      </w:r>
      <w:r w:rsidR="00476DD8" w:rsidRPr="00BF281D">
        <w:t xml:space="preserve">The new Regulations will </w:t>
      </w:r>
      <w:r w:rsidRPr="00BF281D">
        <w:t xml:space="preserve">implement </w:t>
      </w:r>
      <w:r w:rsidR="00F03DDB" w:rsidRPr="00BF281D">
        <w:t>the</w:t>
      </w:r>
      <w:r w:rsidRPr="00BF281D">
        <w:t xml:space="preserve"> reforms from the </w:t>
      </w:r>
      <w:r w:rsidR="00D21C9B" w:rsidRPr="00BF281D">
        <w:t>Amendment</w:t>
      </w:r>
      <w:r w:rsidR="00092151" w:rsidRPr="00BF281D">
        <w:t xml:space="preserve"> Act and the findings of the Victorian Gas Program. </w:t>
      </w:r>
      <w:r w:rsidR="008C2BD6" w:rsidRPr="00BF281D">
        <w:t xml:space="preserve">The </w:t>
      </w:r>
      <w:r w:rsidR="00501462">
        <w:t>Amendment Act</w:t>
      </w:r>
      <w:r w:rsidR="008C2BD6" w:rsidRPr="00BF281D">
        <w:t xml:space="preserve"> extended the moratorium to 30 June 2021 to allow for an orderly restart of the industry. </w:t>
      </w:r>
      <w:r w:rsidR="00B33B96" w:rsidRPr="00BF281D">
        <w:t>The Petroleum Regulations</w:t>
      </w:r>
      <w:r w:rsidR="00D6477E">
        <w:t xml:space="preserve"> were due to</w:t>
      </w:r>
      <w:r w:rsidR="00B33B96" w:rsidRPr="00BF281D">
        <w:t xml:space="preserve"> </w:t>
      </w:r>
      <w:r w:rsidR="00B33B96">
        <w:t xml:space="preserve">sunset </w:t>
      </w:r>
      <w:r w:rsidR="00B33B96" w:rsidRPr="00D95254">
        <w:t>on 24 May 2021</w:t>
      </w:r>
      <w:r w:rsidR="00B33B96" w:rsidRPr="00BF281D">
        <w:t xml:space="preserve"> </w:t>
      </w:r>
      <w:r w:rsidR="00B33B96">
        <w:t>and w</w:t>
      </w:r>
      <w:r w:rsidR="005D386E">
        <w:t>ould have</w:t>
      </w:r>
      <w:r w:rsidR="00B33B96">
        <w:t xml:space="preserve"> expire</w:t>
      </w:r>
      <w:r w:rsidR="005D386E">
        <w:t>d</w:t>
      </w:r>
      <w:r w:rsidR="00B33B96">
        <w:t xml:space="preserve"> </w:t>
      </w:r>
      <w:r w:rsidR="00B33B96" w:rsidRPr="00BF281D">
        <w:t xml:space="preserve">unless re-made. </w:t>
      </w:r>
      <w:r w:rsidR="00006CF7" w:rsidRPr="00006CF7">
        <w:t xml:space="preserve">The current regulations </w:t>
      </w:r>
      <w:r w:rsidR="005D386E">
        <w:t>were</w:t>
      </w:r>
      <w:r w:rsidR="00006CF7" w:rsidRPr="00006CF7">
        <w:t xml:space="preserve"> extended</w:t>
      </w:r>
      <w:r w:rsidR="00D6477E">
        <w:t xml:space="preserve"> on 23 May 2021</w:t>
      </w:r>
      <w:r w:rsidR="00CA74E5">
        <w:t xml:space="preserve"> </w:t>
      </w:r>
      <w:r w:rsidR="00006CF7" w:rsidRPr="00006CF7">
        <w:t xml:space="preserve">for a short period, to allow sufficient time for community and industry consultation on the new draft regulations. Once this process is completed, the new Petroleum Regulations will be finalised, and are anticipated to commence in </w:t>
      </w:r>
      <w:r w:rsidR="00C53543">
        <w:t>October</w:t>
      </w:r>
      <w:r w:rsidR="00006CF7" w:rsidRPr="00006CF7">
        <w:t xml:space="preserve"> 2021.</w:t>
      </w:r>
    </w:p>
    <w:p w14:paraId="3CC413B7" w14:textId="2B953DAE" w:rsidR="00F65691" w:rsidRPr="00817682" w:rsidRDefault="00F32201" w:rsidP="007D3541">
      <w:r w:rsidRPr="00BF281D">
        <w:t xml:space="preserve">The key provisions of the Petroleum Regulations are </w:t>
      </w:r>
      <w:r w:rsidR="008B2E0A" w:rsidRPr="00BF281D">
        <w:t>summarised</w:t>
      </w:r>
      <w:r w:rsidR="00AA71B0" w:rsidRPr="00BF281D">
        <w:t xml:space="preserve"> on </w:t>
      </w:r>
      <w:r w:rsidR="00CB31CB" w:rsidRPr="00817682">
        <w:fldChar w:fldCharType="begin"/>
      </w:r>
      <w:r w:rsidR="00CB31CB" w:rsidRPr="00BF281D">
        <w:instrText xml:space="preserve"> REF _Ref64040765 \h </w:instrText>
      </w:r>
      <w:r w:rsidR="00CB31CB" w:rsidRPr="00817682">
        <w:fldChar w:fldCharType="separate"/>
      </w:r>
      <w:r w:rsidR="009B3538" w:rsidRPr="00BF281D">
        <w:t xml:space="preserve">Table </w:t>
      </w:r>
      <w:r w:rsidR="009B3538">
        <w:rPr>
          <w:noProof/>
        </w:rPr>
        <w:t>1</w:t>
      </w:r>
      <w:r w:rsidR="00CB31CB" w:rsidRPr="00817682">
        <w:fldChar w:fldCharType="end"/>
      </w:r>
      <w:r w:rsidR="00CB31CB" w:rsidRPr="00817682">
        <w:t xml:space="preserve"> on the following page. </w:t>
      </w:r>
    </w:p>
    <w:p w14:paraId="3DCF04F8" w14:textId="2B9E150F" w:rsidR="00D76B06" w:rsidRDefault="00057AEF" w:rsidP="007D3541">
      <w:r>
        <w:br/>
      </w:r>
      <w:r>
        <w:br/>
      </w:r>
      <w:r>
        <w:br/>
      </w:r>
      <w:r>
        <w:br/>
      </w:r>
      <w:r>
        <w:br/>
      </w:r>
      <w:r>
        <w:br/>
      </w:r>
      <w:r>
        <w:br/>
      </w:r>
      <w:r>
        <w:br/>
      </w:r>
      <w:r>
        <w:br/>
      </w:r>
      <w:r>
        <w:br/>
      </w:r>
      <w:r>
        <w:br/>
      </w:r>
      <w:r>
        <w:br/>
      </w:r>
      <w:r>
        <w:br/>
      </w:r>
      <w:r>
        <w:br/>
      </w:r>
      <w:r>
        <w:br/>
      </w:r>
    </w:p>
    <w:p w14:paraId="6A9AB57E" w14:textId="4C3182D5" w:rsidR="007F1A98" w:rsidRDefault="007F1A98" w:rsidP="007D3541"/>
    <w:p w14:paraId="2274F9FA" w14:textId="7E240992" w:rsidR="007F1A98" w:rsidRDefault="007F1A98" w:rsidP="007D3541"/>
    <w:p w14:paraId="3C9EB338" w14:textId="41E389CD" w:rsidR="007F1A98" w:rsidRDefault="007F1A98" w:rsidP="007D3541"/>
    <w:p w14:paraId="512A482D" w14:textId="77777777" w:rsidR="007F1A98" w:rsidRPr="00BF281D" w:rsidRDefault="007F1A98" w:rsidP="007D3541"/>
    <w:p w14:paraId="52FC921D" w14:textId="0F854554" w:rsidR="00076238" w:rsidRPr="00BF281D" w:rsidRDefault="00697887" w:rsidP="00697887">
      <w:pPr>
        <w:pStyle w:val="Caption"/>
      </w:pPr>
      <w:bookmarkStart w:id="67" w:name="_Ref64040765"/>
      <w:bookmarkStart w:id="68" w:name="_Ref64040740"/>
      <w:r w:rsidRPr="001528D0">
        <w:rPr>
          <w:color w:val="auto"/>
        </w:rPr>
        <w:lastRenderedPageBreak/>
        <w:t xml:space="preserve">Table </w:t>
      </w:r>
      <w:r w:rsidRPr="001528D0">
        <w:rPr>
          <w:color w:val="auto"/>
        </w:rPr>
        <w:fldChar w:fldCharType="begin"/>
      </w:r>
      <w:r w:rsidRPr="001528D0">
        <w:rPr>
          <w:color w:val="auto"/>
        </w:rPr>
        <w:instrText xml:space="preserve"> SEQ Table \* ARABIC </w:instrText>
      </w:r>
      <w:r w:rsidRPr="001528D0">
        <w:rPr>
          <w:color w:val="auto"/>
        </w:rPr>
        <w:fldChar w:fldCharType="separate"/>
      </w:r>
      <w:r w:rsidR="009B3538" w:rsidRPr="001528D0">
        <w:rPr>
          <w:noProof/>
          <w:color w:val="auto"/>
        </w:rPr>
        <w:t>1</w:t>
      </w:r>
      <w:r w:rsidRPr="001528D0">
        <w:rPr>
          <w:color w:val="auto"/>
        </w:rPr>
        <w:fldChar w:fldCharType="end"/>
      </w:r>
      <w:bookmarkEnd w:id="67"/>
      <w:r w:rsidRPr="001528D0">
        <w:rPr>
          <w:color w:val="auto"/>
        </w:rPr>
        <w:t xml:space="preserve"> – Summary of Petroleum Regulations </w:t>
      </w:r>
      <w:r w:rsidR="008E4150" w:rsidRPr="001528D0">
        <w:rPr>
          <w:color w:val="auto"/>
        </w:rPr>
        <w:t>(not</w:t>
      </w:r>
      <w:r w:rsidR="0080778C" w:rsidRPr="001528D0">
        <w:rPr>
          <w:color w:val="auto"/>
        </w:rPr>
        <w:t>e this is not an</w:t>
      </w:r>
      <w:r w:rsidR="008E4150" w:rsidRPr="001528D0">
        <w:rPr>
          <w:color w:val="auto"/>
        </w:rPr>
        <w:t xml:space="preserve"> exhaustive list)</w:t>
      </w:r>
      <w:bookmarkEnd w:id="68"/>
      <w:r w:rsidR="008E4150" w:rsidRPr="001528D0">
        <w:rPr>
          <w:color w:val="auto"/>
        </w:rPr>
        <w:t xml:space="preserve"> </w:t>
      </w:r>
    </w:p>
    <w:tbl>
      <w:tblPr>
        <w:tblStyle w:val="Deloittetable"/>
        <w:tblW w:w="5498" w:type="pct"/>
        <w:tblLayout w:type="fixed"/>
        <w:tblLook w:val="04A0" w:firstRow="1" w:lastRow="0" w:firstColumn="1" w:lastColumn="0" w:noHBand="0" w:noVBand="1"/>
      </w:tblPr>
      <w:tblGrid>
        <w:gridCol w:w="1560"/>
        <w:gridCol w:w="8364"/>
        <w:gridCol w:w="706"/>
      </w:tblGrid>
      <w:tr w:rsidR="00A40798" w:rsidRPr="00BF281D" w14:paraId="19C4A09F" w14:textId="52EED846" w:rsidTr="006F01B1">
        <w:trPr>
          <w:cnfStyle w:val="100000000000" w:firstRow="1" w:lastRow="0" w:firstColumn="0" w:lastColumn="0" w:oddVBand="0" w:evenVBand="0" w:oddHBand="0" w:evenHBand="0" w:firstRowFirstColumn="0" w:firstRowLastColumn="0" w:lastRowFirstColumn="0" w:lastRowLastColumn="0"/>
          <w:trHeight w:val="493"/>
          <w:tblHeader/>
        </w:trPr>
        <w:tc>
          <w:tcPr>
            <w:tcW w:w="734" w:type="pct"/>
          </w:tcPr>
          <w:p w14:paraId="585E0B7A" w14:textId="1E025953" w:rsidR="00A40798" w:rsidRPr="00BF281D" w:rsidRDefault="00C813AB" w:rsidP="00076238">
            <w:pPr>
              <w:spacing w:after="0" w:line="240" w:lineRule="auto"/>
              <w:rPr>
                <w:rFonts w:ascii="Calibri" w:eastAsia="Times New Roman" w:hAnsi="Calibri" w:cs="Calibri"/>
                <w:b/>
                <w:bCs/>
                <w:color w:val="000000"/>
                <w:sz w:val="18"/>
                <w:lang w:eastAsia="en-AU"/>
              </w:rPr>
            </w:pPr>
            <w:r w:rsidRPr="00BF281D">
              <w:rPr>
                <w:rFonts w:ascii="Calibri" w:eastAsia="Times New Roman" w:hAnsi="Calibri" w:cs="Calibri"/>
                <w:b/>
                <w:bCs/>
                <w:color w:val="000000"/>
                <w:lang w:eastAsia="en-AU"/>
              </w:rPr>
              <w:t>Item</w:t>
            </w:r>
          </w:p>
        </w:tc>
        <w:tc>
          <w:tcPr>
            <w:tcW w:w="3934" w:type="pct"/>
            <w:noWrap/>
            <w:vAlign w:val="center"/>
          </w:tcPr>
          <w:p w14:paraId="2AEB2D73" w14:textId="1BFD8EAD" w:rsidR="00A40798" w:rsidRPr="00BF281D" w:rsidRDefault="00A40798" w:rsidP="00697887">
            <w:pPr>
              <w:spacing w:after="0" w:line="240" w:lineRule="auto"/>
              <w:rPr>
                <w:rFonts w:ascii="Calibri" w:eastAsia="Times New Roman" w:hAnsi="Calibri" w:cs="Calibri"/>
                <w:color w:val="000000"/>
                <w:sz w:val="18"/>
                <w:lang w:eastAsia="en-AU"/>
              </w:rPr>
            </w:pPr>
            <w:r w:rsidRPr="00BF281D">
              <w:rPr>
                <w:rFonts w:ascii="Calibri" w:eastAsia="Times New Roman" w:hAnsi="Calibri" w:cs="Calibri"/>
                <w:color w:val="000000"/>
                <w:sz w:val="18"/>
                <w:lang w:eastAsia="en-AU"/>
              </w:rPr>
              <w:t xml:space="preserve">Summary </w:t>
            </w:r>
          </w:p>
        </w:tc>
        <w:tc>
          <w:tcPr>
            <w:tcW w:w="332" w:type="pct"/>
          </w:tcPr>
          <w:p w14:paraId="2FEBE5AC" w14:textId="77777777" w:rsidR="00A40798" w:rsidRPr="00BF281D" w:rsidRDefault="00A40798" w:rsidP="00A772C0">
            <w:pPr>
              <w:spacing w:after="0" w:line="240" w:lineRule="auto"/>
              <w:ind w:right="68"/>
              <w:rPr>
                <w:rFonts w:ascii="Calibri" w:eastAsia="Times New Roman" w:hAnsi="Calibri" w:cs="Calibri"/>
                <w:color w:val="000000"/>
                <w:lang w:eastAsia="en-AU"/>
              </w:rPr>
            </w:pPr>
          </w:p>
        </w:tc>
      </w:tr>
      <w:tr w:rsidR="00A40798" w:rsidRPr="00BF281D" w14:paraId="47697C57" w14:textId="6138D45C" w:rsidTr="006F01B1">
        <w:trPr>
          <w:trHeight w:val="729"/>
        </w:trPr>
        <w:tc>
          <w:tcPr>
            <w:tcW w:w="734" w:type="pct"/>
            <w:vAlign w:val="center"/>
          </w:tcPr>
          <w:p w14:paraId="2752AE95" w14:textId="319BB24C" w:rsidR="00A40798" w:rsidRPr="00057AEF" w:rsidRDefault="00A40798" w:rsidP="002C7F2E">
            <w:pPr>
              <w:spacing w:after="0" w:line="240" w:lineRule="auto"/>
              <w:rPr>
                <w:rFonts w:ascii="Calibri" w:eastAsia="Times New Roman" w:hAnsi="Calibri" w:cs="Calibri"/>
                <w:b/>
                <w:bCs/>
                <w:color w:val="000000"/>
                <w:sz w:val="18"/>
                <w:lang w:eastAsia="en-AU"/>
              </w:rPr>
            </w:pPr>
            <w:r w:rsidRPr="00057AEF">
              <w:rPr>
                <w:rFonts w:ascii="Calibri" w:hAnsi="Calibri"/>
                <w:b/>
                <w:color w:val="000000"/>
              </w:rPr>
              <w:t xml:space="preserve">Objectives </w:t>
            </w:r>
          </w:p>
        </w:tc>
        <w:tc>
          <w:tcPr>
            <w:tcW w:w="3934" w:type="pct"/>
            <w:noWrap/>
            <w:vAlign w:val="center"/>
          </w:tcPr>
          <w:p w14:paraId="2A005429" w14:textId="60BDAD64" w:rsidR="00A40798" w:rsidRPr="00C73B72" w:rsidRDefault="00A40798" w:rsidP="00697887">
            <w:pPr>
              <w:spacing w:after="0" w:line="240" w:lineRule="auto"/>
              <w:rPr>
                <w:rFonts w:ascii="Calibri" w:eastAsia="Times New Roman" w:hAnsi="Calibri" w:cs="Calibri"/>
                <w:color w:val="000000"/>
                <w:sz w:val="18"/>
                <w:lang w:eastAsia="en-AU"/>
              </w:rPr>
            </w:pPr>
            <w:r w:rsidRPr="00C73B72">
              <w:rPr>
                <w:rFonts w:ascii="Calibri" w:eastAsia="Times New Roman" w:hAnsi="Calibri" w:cs="Calibri"/>
                <w:color w:val="000000"/>
                <w:sz w:val="18"/>
                <w:lang w:eastAsia="en-AU"/>
              </w:rPr>
              <w:t>To provide for elimination and minimisation of environmental</w:t>
            </w:r>
            <w:r w:rsidR="00F03DDB" w:rsidRPr="00C73B72">
              <w:rPr>
                <w:rFonts w:ascii="Calibri" w:eastAsia="Times New Roman" w:hAnsi="Calibri" w:cs="Calibri"/>
                <w:color w:val="000000"/>
                <w:sz w:val="18"/>
                <w:lang w:eastAsia="en-AU"/>
              </w:rPr>
              <w:t>,</w:t>
            </w:r>
            <w:r w:rsidRPr="00C73B72">
              <w:rPr>
                <w:rFonts w:ascii="Calibri" w:eastAsia="Times New Roman" w:hAnsi="Calibri" w:cs="Calibri"/>
                <w:color w:val="000000"/>
                <w:sz w:val="18"/>
                <w:lang w:eastAsia="en-AU"/>
              </w:rPr>
              <w:t xml:space="preserve"> public health</w:t>
            </w:r>
            <w:r w:rsidR="00F03DDB" w:rsidRPr="00C73B72">
              <w:rPr>
                <w:rFonts w:ascii="Calibri" w:eastAsia="Times New Roman" w:hAnsi="Calibri" w:cs="Calibri"/>
                <w:color w:val="000000"/>
                <w:sz w:val="18"/>
                <w:lang w:eastAsia="en-AU"/>
              </w:rPr>
              <w:t>,</w:t>
            </w:r>
            <w:r w:rsidRPr="00C73B72">
              <w:rPr>
                <w:rFonts w:ascii="Calibri" w:eastAsia="Times New Roman" w:hAnsi="Calibri" w:cs="Calibri"/>
                <w:color w:val="000000"/>
                <w:sz w:val="18"/>
                <w:lang w:eastAsia="en-AU"/>
              </w:rPr>
              <w:t xml:space="preserve"> safety hazards and risks in undertaking petroleum operations; to prescribe requirements for operation plans; and to prescribe various administrative matters, fees and other requirements authorised by the Petroleum Act </w:t>
            </w:r>
          </w:p>
        </w:tc>
        <w:tc>
          <w:tcPr>
            <w:tcW w:w="332" w:type="pct"/>
          </w:tcPr>
          <w:p w14:paraId="5C37A90F" w14:textId="77777777" w:rsidR="00A40798" w:rsidRPr="00BF281D" w:rsidRDefault="00A40798" w:rsidP="00697887">
            <w:pPr>
              <w:spacing w:after="0" w:line="240" w:lineRule="auto"/>
              <w:rPr>
                <w:rFonts w:ascii="Calibri" w:eastAsia="Times New Roman" w:hAnsi="Calibri" w:cs="Calibri"/>
                <w:color w:val="000000"/>
                <w:lang w:eastAsia="en-AU"/>
              </w:rPr>
            </w:pPr>
          </w:p>
        </w:tc>
      </w:tr>
      <w:tr w:rsidR="00A40798" w:rsidRPr="00BF281D" w14:paraId="715A40F4" w14:textId="3F040241" w:rsidTr="006F01B1">
        <w:trPr>
          <w:trHeight w:val="850"/>
        </w:trPr>
        <w:tc>
          <w:tcPr>
            <w:tcW w:w="734" w:type="pct"/>
            <w:vAlign w:val="center"/>
          </w:tcPr>
          <w:p w14:paraId="34D3EAE0" w14:textId="04E4BAB1" w:rsidR="00A40798" w:rsidRPr="00057AEF" w:rsidRDefault="00A40798" w:rsidP="002C7F2E">
            <w:pPr>
              <w:spacing w:after="0" w:line="240" w:lineRule="auto"/>
              <w:rPr>
                <w:rFonts w:ascii="Calibri" w:eastAsia="Times New Roman" w:hAnsi="Calibri" w:cs="Calibri"/>
                <w:b/>
                <w:bCs/>
                <w:color w:val="000000"/>
                <w:sz w:val="18"/>
                <w:lang w:eastAsia="en-AU"/>
              </w:rPr>
            </w:pPr>
            <w:r w:rsidRPr="00057AEF">
              <w:rPr>
                <w:rFonts w:ascii="Calibri" w:hAnsi="Calibri"/>
                <w:b/>
                <w:color w:val="000000"/>
              </w:rPr>
              <w:t xml:space="preserve">Operation plan </w:t>
            </w:r>
          </w:p>
        </w:tc>
        <w:tc>
          <w:tcPr>
            <w:tcW w:w="3934" w:type="pct"/>
            <w:noWrap/>
            <w:vAlign w:val="center"/>
          </w:tcPr>
          <w:p w14:paraId="34726FAB" w14:textId="136983C4" w:rsidR="00A40798" w:rsidRPr="00C73B72" w:rsidRDefault="00A40798" w:rsidP="006F01B1">
            <w:pPr>
              <w:spacing w:after="0" w:line="240" w:lineRule="auto"/>
              <w:ind w:left="0"/>
              <w:rPr>
                <w:rFonts w:ascii="Calibri" w:eastAsia="Times New Roman" w:hAnsi="Calibri" w:cs="Calibri"/>
                <w:color w:val="000000"/>
                <w:sz w:val="18"/>
                <w:lang w:eastAsia="en-AU"/>
              </w:rPr>
            </w:pPr>
            <w:r w:rsidRPr="00C73B72">
              <w:rPr>
                <w:rFonts w:ascii="Calibri" w:eastAsia="Times New Roman" w:hAnsi="Calibri" w:cs="Calibri"/>
                <w:color w:val="000000"/>
                <w:sz w:val="18"/>
                <w:lang w:eastAsia="en-AU"/>
              </w:rPr>
              <w:t xml:space="preserve">Sets out the requirements for an operation plan including for an environment management </w:t>
            </w:r>
            <w:r w:rsidR="000638B0" w:rsidRPr="00C73B72">
              <w:rPr>
                <w:rFonts w:ascii="Calibri" w:eastAsia="Times New Roman" w:hAnsi="Calibri" w:cs="Calibri"/>
                <w:color w:val="000000"/>
                <w:sz w:val="18"/>
                <w:lang w:eastAsia="en-AU"/>
              </w:rPr>
              <w:t>plan,</w:t>
            </w:r>
            <w:r w:rsidRPr="00C73B72">
              <w:rPr>
                <w:rFonts w:ascii="Calibri" w:eastAsia="Times New Roman" w:hAnsi="Calibri" w:cs="Calibri"/>
                <w:color w:val="000000"/>
                <w:sz w:val="18"/>
                <w:lang w:eastAsia="en-AU"/>
              </w:rPr>
              <w:t xml:space="preserve"> a statement of activities, and a well operation management plan (WOMP). </w:t>
            </w:r>
          </w:p>
          <w:p w14:paraId="40E661FA" w14:textId="344EF32B" w:rsidR="00A40798" w:rsidRPr="00C73B72" w:rsidRDefault="00A40798" w:rsidP="00C73B72">
            <w:pPr>
              <w:spacing w:after="0" w:line="240" w:lineRule="auto"/>
              <w:ind w:left="0"/>
              <w:rPr>
                <w:rFonts w:ascii="Calibri" w:eastAsia="Times New Roman" w:hAnsi="Calibri" w:cs="Calibri"/>
                <w:color w:val="000000"/>
                <w:sz w:val="18"/>
                <w:lang w:eastAsia="en-AU"/>
              </w:rPr>
            </w:pPr>
            <w:r w:rsidRPr="00C73B72">
              <w:rPr>
                <w:rFonts w:ascii="Calibri" w:eastAsia="Times New Roman" w:hAnsi="Calibri" w:cs="Calibri"/>
                <w:color w:val="000000"/>
                <w:sz w:val="18"/>
                <w:lang w:eastAsia="en-AU"/>
              </w:rPr>
              <w:t xml:space="preserve">Includes requirements for risk identification </w:t>
            </w:r>
            <w:r w:rsidR="008D1B0A" w:rsidRPr="00C73B72">
              <w:rPr>
                <w:rFonts w:ascii="Calibri" w:eastAsia="Times New Roman" w:hAnsi="Calibri" w:cs="Calibri"/>
                <w:color w:val="000000"/>
                <w:sz w:val="18"/>
                <w:lang w:eastAsia="en-AU"/>
              </w:rPr>
              <w:t>and a</w:t>
            </w:r>
            <w:r w:rsidR="00EB33E9" w:rsidRPr="00C73B72">
              <w:rPr>
                <w:rFonts w:ascii="Calibri" w:eastAsia="Times New Roman" w:hAnsi="Calibri" w:cs="Calibri"/>
                <w:color w:val="000000"/>
                <w:sz w:val="18"/>
                <w:lang w:eastAsia="en-AU"/>
              </w:rPr>
              <w:t>t minimum a</w:t>
            </w:r>
            <w:r w:rsidR="008D1B0A" w:rsidRPr="00C73B72">
              <w:rPr>
                <w:rFonts w:ascii="Calibri" w:eastAsia="Times New Roman" w:hAnsi="Calibri" w:cs="Calibri"/>
                <w:color w:val="000000"/>
                <w:sz w:val="18"/>
                <w:lang w:eastAsia="en-AU"/>
              </w:rPr>
              <w:t xml:space="preserve"> </w:t>
            </w:r>
            <w:r w:rsidR="000638B0" w:rsidRPr="00C73B72">
              <w:rPr>
                <w:rFonts w:ascii="Calibri" w:eastAsia="Times New Roman" w:hAnsi="Calibri" w:cs="Calibri"/>
                <w:color w:val="000000"/>
                <w:sz w:val="18"/>
                <w:lang w:eastAsia="en-AU"/>
              </w:rPr>
              <w:t>5-yearly</w:t>
            </w:r>
            <w:r w:rsidR="008D1B0A" w:rsidRPr="00C73B72">
              <w:rPr>
                <w:rFonts w:ascii="Calibri" w:eastAsia="Times New Roman" w:hAnsi="Calibri" w:cs="Calibri"/>
                <w:color w:val="000000"/>
                <w:sz w:val="18"/>
                <w:lang w:eastAsia="en-AU"/>
              </w:rPr>
              <w:t xml:space="preserve"> </w:t>
            </w:r>
            <w:r w:rsidRPr="00C73B72">
              <w:rPr>
                <w:rFonts w:ascii="Calibri" w:eastAsia="Times New Roman" w:hAnsi="Calibri" w:cs="Calibri"/>
                <w:color w:val="000000"/>
                <w:sz w:val="18"/>
                <w:lang w:eastAsia="en-AU"/>
              </w:rPr>
              <w:t>review of the plan</w:t>
            </w:r>
            <w:r w:rsidR="00EB33E9" w:rsidRPr="00C73B72">
              <w:rPr>
                <w:rFonts w:ascii="Calibri" w:eastAsia="Times New Roman" w:hAnsi="Calibri" w:cs="Calibri"/>
                <w:color w:val="000000"/>
                <w:sz w:val="18"/>
                <w:lang w:eastAsia="en-AU"/>
              </w:rPr>
              <w:t xml:space="preserve"> (unless required earlier due to a change in risks)</w:t>
            </w:r>
            <w:r w:rsidRPr="00C73B72">
              <w:rPr>
                <w:rFonts w:ascii="Calibri" w:eastAsia="Times New Roman" w:hAnsi="Calibri" w:cs="Calibri"/>
                <w:color w:val="000000"/>
                <w:sz w:val="18"/>
                <w:lang w:eastAsia="en-AU"/>
              </w:rPr>
              <w:t xml:space="preserve"> with a</w:t>
            </w:r>
            <w:r w:rsidR="008D1B0A" w:rsidRPr="00C73B72">
              <w:rPr>
                <w:rFonts w:ascii="Calibri" w:eastAsia="Times New Roman" w:hAnsi="Calibri" w:cs="Calibri"/>
                <w:color w:val="000000"/>
                <w:sz w:val="18"/>
                <w:lang w:eastAsia="en-AU"/>
              </w:rPr>
              <w:t>n associated</w:t>
            </w:r>
            <w:r w:rsidRPr="00C73B72">
              <w:rPr>
                <w:rFonts w:ascii="Calibri" w:eastAsia="Times New Roman" w:hAnsi="Calibri" w:cs="Calibri"/>
                <w:color w:val="000000"/>
                <w:sz w:val="18"/>
                <w:lang w:eastAsia="en-AU"/>
              </w:rPr>
              <w:t xml:space="preserve"> report to the Minister. </w:t>
            </w:r>
          </w:p>
        </w:tc>
        <w:tc>
          <w:tcPr>
            <w:tcW w:w="332" w:type="pct"/>
          </w:tcPr>
          <w:p w14:paraId="17D747DD" w14:textId="77777777" w:rsidR="00A40798" w:rsidRPr="00BF281D" w:rsidRDefault="00A40798" w:rsidP="002C7F2E">
            <w:pPr>
              <w:spacing w:after="0" w:line="240" w:lineRule="auto"/>
              <w:jc w:val="center"/>
              <w:rPr>
                <w:rFonts w:ascii="Calibri" w:eastAsia="Times New Roman" w:hAnsi="Calibri" w:cs="Calibri"/>
                <w:color w:val="000000"/>
                <w:lang w:eastAsia="en-AU"/>
              </w:rPr>
            </w:pPr>
          </w:p>
        </w:tc>
      </w:tr>
      <w:tr w:rsidR="00A40798" w:rsidRPr="00BF281D" w14:paraId="4A492520" w14:textId="30F7CB2C" w:rsidTr="006F01B1">
        <w:trPr>
          <w:trHeight w:val="2621"/>
        </w:trPr>
        <w:tc>
          <w:tcPr>
            <w:tcW w:w="734" w:type="pct"/>
            <w:vAlign w:val="center"/>
          </w:tcPr>
          <w:p w14:paraId="2E7ACB73" w14:textId="45F5E3C1" w:rsidR="00A40798" w:rsidRPr="00057AEF" w:rsidRDefault="0017237A" w:rsidP="002C7F2E">
            <w:pPr>
              <w:spacing w:after="0" w:line="240" w:lineRule="auto"/>
              <w:rPr>
                <w:rFonts w:ascii="Calibri" w:eastAsia="Times New Roman" w:hAnsi="Calibri" w:cs="Calibri"/>
                <w:b/>
                <w:bCs/>
                <w:color w:val="000000"/>
                <w:sz w:val="18"/>
                <w:lang w:eastAsia="en-AU"/>
              </w:rPr>
            </w:pPr>
            <w:r w:rsidRPr="00057AEF">
              <w:rPr>
                <w:rFonts w:ascii="Calibri" w:hAnsi="Calibri"/>
                <w:b/>
                <w:color w:val="000000"/>
              </w:rPr>
              <w:t>Environment management plan (</w:t>
            </w:r>
            <w:r w:rsidR="00A40798" w:rsidRPr="00057AEF">
              <w:rPr>
                <w:rFonts w:ascii="Calibri" w:hAnsi="Calibri"/>
                <w:b/>
                <w:color w:val="000000"/>
              </w:rPr>
              <w:t>EMP</w:t>
            </w:r>
            <w:r w:rsidRPr="00057AEF">
              <w:rPr>
                <w:rFonts w:ascii="Calibri" w:hAnsi="Calibri"/>
                <w:b/>
                <w:color w:val="000000"/>
              </w:rPr>
              <w:t>)</w:t>
            </w:r>
          </w:p>
        </w:tc>
        <w:tc>
          <w:tcPr>
            <w:tcW w:w="3934" w:type="pct"/>
            <w:noWrap/>
            <w:vAlign w:val="center"/>
          </w:tcPr>
          <w:p w14:paraId="09F52C26" w14:textId="77777777" w:rsidR="00A40798" w:rsidRPr="00C73B72" w:rsidRDefault="00A40798" w:rsidP="0080778C">
            <w:pPr>
              <w:spacing w:after="40" w:line="240" w:lineRule="auto"/>
              <w:ind w:left="0"/>
              <w:rPr>
                <w:rFonts w:ascii="Calibri" w:eastAsia="Times New Roman" w:hAnsi="Calibri" w:cs="Calibri"/>
                <w:color w:val="000000"/>
                <w:sz w:val="18"/>
                <w:lang w:eastAsia="en-AU"/>
              </w:rPr>
            </w:pPr>
            <w:r w:rsidRPr="00C73B72">
              <w:rPr>
                <w:rFonts w:ascii="Calibri" w:eastAsia="Times New Roman" w:hAnsi="Calibri" w:cs="Calibri"/>
                <w:color w:val="000000"/>
                <w:sz w:val="18"/>
                <w:lang w:eastAsia="en-AU"/>
              </w:rPr>
              <w:t xml:space="preserve">EMP must describe the environment values (including cultural, historical, aesthetic, social, recreational, ecological, biological, landscape and economic aspects) that may be affected by the petroleum operation. </w:t>
            </w:r>
          </w:p>
          <w:p w14:paraId="0847FA0C" w14:textId="77777777" w:rsidR="00A40798" w:rsidRPr="00C73B72" w:rsidRDefault="00A40798" w:rsidP="0080778C">
            <w:pPr>
              <w:spacing w:after="40" w:line="240" w:lineRule="auto"/>
              <w:ind w:left="0"/>
              <w:rPr>
                <w:rFonts w:ascii="Calibri" w:eastAsia="Times New Roman" w:hAnsi="Calibri" w:cs="Calibri"/>
                <w:color w:val="000000"/>
                <w:sz w:val="18"/>
                <w:lang w:eastAsia="en-AU"/>
              </w:rPr>
            </w:pPr>
            <w:r w:rsidRPr="00C73B72">
              <w:rPr>
                <w:rFonts w:ascii="Calibri" w:eastAsia="Times New Roman" w:hAnsi="Calibri" w:cs="Calibri"/>
                <w:color w:val="000000"/>
                <w:sz w:val="18"/>
                <w:lang w:eastAsia="en-AU"/>
              </w:rPr>
              <w:t xml:space="preserve">Must assess the environment effects and risks of the petroleum operation, as well as set environmental performance standards. </w:t>
            </w:r>
          </w:p>
          <w:p w14:paraId="6E21CB8A" w14:textId="53D37995" w:rsidR="00A40798" w:rsidRPr="00C73B72" w:rsidRDefault="00A40798" w:rsidP="0080778C">
            <w:pPr>
              <w:spacing w:after="40" w:line="240" w:lineRule="auto"/>
              <w:ind w:left="0"/>
              <w:rPr>
                <w:rFonts w:ascii="Calibri" w:eastAsia="Times New Roman" w:hAnsi="Calibri" w:cs="Calibri"/>
                <w:color w:val="000000"/>
                <w:sz w:val="18"/>
                <w:lang w:eastAsia="en-AU"/>
              </w:rPr>
            </w:pPr>
            <w:r w:rsidRPr="00C73B72">
              <w:rPr>
                <w:rFonts w:ascii="Calibri" w:eastAsia="Times New Roman" w:hAnsi="Calibri" w:cs="Calibri"/>
                <w:color w:val="000000"/>
                <w:sz w:val="18"/>
                <w:lang w:eastAsia="en-AU"/>
              </w:rPr>
              <w:t>An implementation strategy must also be develop</w:t>
            </w:r>
            <w:r w:rsidR="00C97D92" w:rsidRPr="00C73B72">
              <w:rPr>
                <w:rFonts w:ascii="Calibri" w:eastAsia="Times New Roman" w:hAnsi="Calibri" w:cs="Calibri"/>
                <w:color w:val="000000"/>
                <w:sz w:val="18"/>
                <w:lang w:eastAsia="en-AU"/>
              </w:rPr>
              <w:t>ed</w:t>
            </w:r>
            <w:r w:rsidRPr="00C73B72">
              <w:rPr>
                <w:rFonts w:ascii="Calibri" w:eastAsia="Times New Roman" w:hAnsi="Calibri" w:cs="Calibri"/>
                <w:color w:val="000000"/>
                <w:sz w:val="18"/>
                <w:lang w:eastAsia="en-AU"/>
              </w:rPr>
              <w:t xml:space="preserve"> that includes the performance objectives and standards and the practices to ensure adverse effects or risks are eliminated or as far as reasonably practicable, and that the standards are met.  Includes a requirement for record of emissions and discharges </w:t>
            </w:r>
            <w:r w:rsidR="00AB4EAB" w:rsidRPr="00C73B72">
              <w:rPr>
                <w:rFonts w:ascii="Calibri" w:eastAsia="Times New Roman" w:hAnsi="Calibri" w:cs="Calibri"/>
                <w:color w:val="000000"/>
                <w:sz w:val="18"/>
                <w:lang w:eastAsia="en-AU"/>
              </w:rPr>
              <w:t>into</w:t>
            </w:r>
            <w:r w:rsidRPr="00C73B72">
              <w:rPr>
                <w:rFonts w:ascii="Calibri" w:eastAsia="Times New Roman" w:hAnsi="Calibri" w:cs="Calibri"/>
                <w:color w:val="000000"/>
                <w:sz w:val="18"/>
                <w:lang w:eastAsia="en-AU"/>
              </w:rPr>
              <w:t xml:space="preserve"> the air, or onto or below land. </w:t>
            </w:r>
          </w:p>
          <w:p w14:paraId="37DBC987" w14:textId="70485952" w:rsidR="00A40798" w:rsidRPr="00C73B72" w:rsidRDefault="00A40798" w:rsidP="0080778C">
            <w:pPr>
              <w:spacing w:after="40" w:line="240" w:lineRule="auto"/>
              <w:ind w:left="0"/>
              <w:rPr>
                <w:rFonts w:ascii="Calibri" w:eastAsia="Times New Roman" w:hAnsi="Calibri" w:cs="Calibri"/>
                <w:color w:val="000000"/>
                <w:sz w:val="18"/>
                <w:lang w:eastAsia="en-AU"/>
              </w:rPr>
            </w:pPr>
            <w:r w:rsidRPr="00C73B72">
              <w:rPr>
                <w:rFonts w:ascii="Calibri" w:eastAsia="Times New Roman" w:hAnsi="Calibri" w:cs="Calibri"/>
                <w:color w:val="000000"/>
                <w:sz w:val="18"/>
                <w:lang w:eastAsia="en-AU"/>
              </w:rPr>
              <w:t xml:space="preserve">Includes requirement for appropriate consultation on environmental performance, ongoing for the life of the operation, with relevant government agencies and ‘other relevant interested people and </w:t>
            </w:r>
            <w:proofErr w:type="gramStart"/>
            <w:r w:rsidRPr="00C73B72">
              <w:rPr>
                <w:rFonts w:ascii="Calibri" w:eastAsia="Times New Roman" w:hAnsi="Calibri" w:cs="Calibri"/>
                <w:color w:val="000000"/>
                <w:sz w:val="18"/>
                <w:lang w:eastAsia="en-AU"/>
              </w:rPr>
              <w:t>organisations’</w:t>
            </w:r>
            <w:proofErr w:type="gramEnd"/>
            <w:r w:rsidRPr="00C73B72">
              <w:rPr>
                <w:rFonts w:ascii="Calibri" w:eastAsia="Times New Roman" w:hAnsi="Calibri" w:cs="Calibri"/>
                <w:color w:val="000000"/>
                <w:sz w:val="18"/>
                <w:lang w:eastAsia="en-AU"/>
              </w:rPr>
              <w:t>.</w:t>
            </w:r>
          </w:p>
        </w:tc>
        <w:tc>
          <w:tcPr>
            <w:tcW w:w="332" w:type="pct"/>
          </w:tcPr>
          <w:p w14:paraId="2D3A1972" w14:textId="77777777" w:rsidR="00A40798" w:rsidRPr="00BF281D" w:rsidRDefault="00A40798" w:rsidP="002C7F2E">
            <w:pPr>
              <w:spacing w:after="0" w:line="240" w:lineRule="auto"/>
              <w:jc w:val="center"/>
              <w:rPr>
                <w:rFonts w:ascii="Calibri" w:eastAsia="Times New Roman" w:hAnsi="Calibri" w:cs="Calibri"/>
                <w:b/>
                <w:bCs/>
                <w:color w:val="000000"/>
                <w:lang w:eastAsia="en-AU"/>
              </w:rPr>
            </w:pPr>
          </w:p>
        </w:tc>
      </w:tr>
      <w:tr w:rsidR="00A40798" w:rsidRPr="00BF281D" w14:paraId="7E669419" w14:textId="77777777" w:rsidTr="006F01B1">
        <w:trPr>
          <w:trHeight w:val="768"/>
        </w:trPr>
        <w:tc>
          <w:tcPr>
            <w:tcW w:w="734" w:type="pct"/>
            <w:vAlign w:val="center"/>
          </w:tcPr>
          <w:p w14:paraId="33E2BD18" w14:textId="3B183030" w:rsidR="00A40798" w:rsidRPr="00057AEF" w:rsidRDefault="00A40798" w:rsidP="002C7F2E">
            <w:pPr>
              <w:spacing w:after="0" w:line="240" w:lineRule="auto"/>
              <w:rPr>
                <w:rFonts w:ascii="Calibri" w:eastAsia="Times New Roman" w:hAnsi="Calibri" w:cs="Calibri"/>
                <w:b/>
                <w:bCs/>
                <w:color w:val="000000"/>
                <w:sz w:val="18"/>
                <w:lang w:eastAsia="en-AU"/>
              </w:rPr>
            </w:pPr>
            <w:r w:rsidRPr="00057AEF">
              <w:rPr>
                <w:rFonts w:ascii="Calibri" w:hAnsi="Calibri"/>
                <w:b/>
                <w:color w:val="000000"/>
              </w:rPr>
              <w:t>W</w:t>
            </w:r>
            <w:r w:rsidR="008E06C0" w:rsidRPr="00057AEF">
              <w:rPr>
                <w:rFonts w:ascii="Calibri" w:hAnsi="Calibri"/>
                <w:b/>
                <w:color w:val="000000"/>
              </w:rPr>
              <w:t>ell operation management plan (</w:t>
            </w:r>
            <w:r w:rsidR="0017237A" w:rsidRPr="00057AEF">
              <w:rPr>
                <w:rFonts w:ascii="Calibri" w:hAnsi="Calibri"/>
                <w:b/>
                <w:color w:val="000000"/>
              </w:rPr>
              <w:t>W</w:t>
            </w:r>
            <w:r w:rsidRPr="00057AEF">
              <w:rPr>
                <w:rFonts w:ascii="Calibri" w:hAnsi="Calibri"/>
                <w:b/>
                <w:color w:val="000000"/>
              </w:rPr>
              <w:t>OMP</w:t>
            </w:r>
            <w:r w:rsidR="0017237A" w:rsidRPr="00057AEF">
              <w:rPr>
                <w:rFonts w:ascii="Calibri" w:hAnsi="Calibri"/>
                <w:b/>
                <w:color w:val="000000"/>
              </w:rPr>
              <w:t>)</w:t>
            </w:r>
            <w:r w:rsidRPr="00057AEF">
              <w:rPr>
                <w:rFonts w:ascii="Calibri" w:hAnsi="Calibri"/>
                <w:b/>
                <w:color w:val="000000"/>
              </w:rPr>
              <w:t xml:space="preserve"> </w:t>
            </w:r>
          </w:p>
        </w:tc>
        <w:tc>
          <w:tcPr>
            <w:tcW w:w="3934" w:type="pct"/>
            <w:noWrap/>
            <w:vAlign w:val="center"/>
          </w:tcPr>
          <w:p w14:paraId="1C7D23F4" w14:textId="5DD7D26E" w:rsidR="00A40798" w:rsidRPr="00C73B72" w:rsidRDefault="00A40798" w:rsidP="0080778C">
            <w:pPr>
              <w:spacing w:after="40" w:line="240" w:lineRule="auto"/>
              <w:rPr>
                <w:rFonts w:ascii="Calibri" w:eastAsia="Times New Roman" w:hAnsi="Calibri" w:cs="Calibri"/>
                <w:color w:val="000000"/>
                <w:sz w:val="18"/>
                <w:lang w:eastAsia="en-AU"/>
              </w:rPr>
            </w:pPr>
            <w:r w:rsidRPr="00C73B72">
              <w:rPr>
                <w:rFonts w:ascii="Calibri" w:eastAsia="Times New Roman" w:hAnsi="Calibri" w:cs="Calibri"/>
                <w:color w:val="000000"/>
                <w:sz w:val="18"/>
                <w:lang w:eastAsia="en-AU"/>
              </w:rPr>
              <w:t xml:space="preserve">The WOMP must include details </w:t>
            </w:r>
            <w:proofErr w:type="gramStart"/>
            <w:r w:rsidRPr="00C73B72">
              <w:rPr>
                <w:rFonts w:ascii="Calibri" w:eastAsia="Times New Roman" w:hAnsi="Calibri" w:cs="Calibri"/>
                <w:color w:val="000000"/>
                <w:sz w:val="18"/>
                <w:lang w:eastAsia="en-AU"/>
              </w:rPr>
              <w:t>of:</w:t>
            </w:r>
            <w:proofErr w:type="gramEnd"/>
            <w:r w:rsidRPr="00C73B72">
              <w:rPr>
                <w:rFonts w:ascii="Calibri" w:eastAsia="Times New Roman" w:hAnsi="Calibri" w:cs="Calibri"/>
                <w:color w:val="000000"/>
                <w:sz w:val="18"/>
                <w:lang w:eastAsia="en-AU"/>
              </w:rPr>
              <w:t xml:space="preserve"> the design and equipment of the well; proposed drilling; process for connection; management of maintenance; how suspension and abandonment of the well are to be managed. It must identify risks and set out how those risks will be eliminated or mitigated.  </w:t>
            </w:r>
          </w:p>
        </w:tc>
        <w:tc>
          <w:tcPr>
            <w:tcW w:w="332" w:type="pct"/>
          </w:tcPr>
          <w:p w14:paraId="07D90024" w14:textId="77777777" w:rsidR="00A40798" w:rsidRPr="00BF281D" w:rsidRDefault="00A40798" w:rsidP="002C7F2E">
            <w:pPr>
              <w:spacing w:after="0" w:line="240" w:lineRule="auto"/>
              <w:jc w:val="center"/>
              <w:rPr>
                <w:rFonts w:ascii="Calibri" w:eastAsia="Times New Roman" w:hAnsi="Calibri" w:cs="Calibri"/>
                <w:b/>
                <w:bCs/>
                <w:color w:val="000000"/>
                <w:lang w:eastAsia="en-AU"/>
              </w:rPr>
            </w:pPr>
          </w:p>
        </w:tc>
      </w:tr>
      <w:tr w:rsidR="00A40798" w:rsidRPr="00BF281D" w14:paraId="1507CE38" w14:textId="77777777" w:rsidTr="006F01B1">
        <w:trPr>
          <w:trHeight w:val="1125"/>
        </w:trPr>
        <w:tc>
          <w:tcPr>
            <w:tcW w:w="734" w:type="pct"/>
            <w:vAlign w:val="center"/>
          </w:tcPr>
          <w:p w14:paraId="0810B3FB" w14:textId="4FAF69CC" w:rsidR="00A40798" w:rsidRPr="00057AEF" w:rsidRDefault="00A40798" w:rsidP="002C7F2E">
            <w:pPr>
              <w:spacing w:after="0" w:line="240" w:lineRule="auto"/>
              <w:rPr>
                <w:rFonts w:ascii="Calibri" w:eastAsia="Times New Roman" w:hAnsi="Calibri" w:cs="Calibri"/>
                <w:b/>
                <w:bCs/>
                <w:color w:val="000000"/>
                <w:sz w:val="18"/>
                <w:lang w:eastAsia="en-AU"/>
              </w:rPr>
            </w:pPr>
            <w:r w:rsidRPr="00057AEF">
              <w:rPr>
                <w:rFonts w:ascii="Calibri" w:hAnsi="Calibri"/>
                <w:b/>
                <w:color w:val="000000"/>
              </w:rPr>
              <w:t>Petroleum production development plan</w:t>
            </w:r>
            <w:r w:rsidR="00F65691" w:rsidRPr="00057AEF">
              <w:rPr>
                <w:rFonts w:ascii="Calibri" w:hAnsi="Calibri"/>
                <w:b/>
                <w:color w:val="000000"/>
              </w:rPr>
              <w:t>s</w:t>
            </w:r>
            <w:r w:rsidRPr="00057AEF">
              <w:rPr>
                <w:rFonts w:ascii="Calibri" w:hAnsi="Calibri"/>
                <w:b/>
                <w:color w:val="000000"/>
              </w:rPr>
              <w:t xml:space="preserve"> (PPDP)</w:t>
            </w:r>
          </w:p>
        </w:tc>
        <w:tc>
          <w:tcPr>
            <w:tcW w:w="3934" w:type="pct"/>
            <w:noWrap/>
            <w:vAlign w:val="center"/>
          </w:tcPr>
          <w:p w14:paraId="03D56AFF" w14:textId="3780DC1C" w:rsidR="00A40798" w:rsidRPr="00C73B72" w:rsidRDefault="00A40798" w:rsidP="0080778C">
            <w:pPr>
              <w:spacing w:after="40" w:line="240" w:lineRule="auto"/>
              <w:rPr>
                <w:rFonts w:ascii="Calibri" w:eastAsia="Times New Roman" w:hAnsi="Calibri" w:cs="Calibri"/>
                <w:color w:val="000000"/>
                <w:sz w:val="18"/>
                <w:lang w:eastAsia="en-AU"/>
              </w:rPr>
            </w:pPr>
            <w:r w:rsidRPr="00C73B72">
              <w:rPr>
                <w:rFonts w:ascii="Calibri" w:eastAsia="Times New Roman" w:hAnsi="Calibri" w:cs="Calibri"/>
                <w:color w:val="000000"/>
                <w:sz w:val="18"/>
                <w:lang w:eastAsia="en-AU"/>
              </w:rPr>
              <w:t xml:space="preserve">The PPDP must contain a description of the operation, plant and equipment, relevant data and data studies, and a reservoir management plan.  The PPDP must be reviewed within 12 months of production and then yearly. </w:t>
            </w:r>
          </w:p>
        </w:tc>
        <w:tc>
          <w:tcPr>
            <w:tcW w:w="332" w:type="pct"/>
          </w:tcPr>
          <w:p w14:paraId="2D765EB4" w14:textId="77777777" w:rsidR="00A40798" w:rsidRPr="00BF281D" w:rsidRDefault="00A40798" w:rsidP="002C7F2E">
            <w:pPr>
              <w:spacing w:after="0" w:line="240" w:lineRule="auto"/>
              <w:jc w:val="center"/>
              <w:rPr>
                <w:rFonts w:ascii="Calibri" w:eastAsia="Times New Roman" w:hAnsi="Calibri" w:cs="Calibri"/>
                <w:b/>
                <w:bCs/>
                <w:color w:val="000000"/>
                <w:lang w:eastAsia="en-AU"/>
              </w:rPr>
            </w:pPr>
          </w:p>
        </w:tc>
      </w:tr>
      <w:tr w:rsidR="00A40798" w:rsidRPr="00BF281D" w14:paraId="106ED16D" w14:textId="77777777" w:rsidTr="006F01B1">
        <w:trPr>
          <w:trHeight w:val="717"/>
        </w:trPr>
        <w:tc>
          <w:tcPr>
            <w:tcW w:w="734" w:type="pct"/>
            <w:vAlign w:val="center"/>
          </w:tcPr>
          <w:p w14:paraId="2A5FF1A3" w14:textId="177A98F8" w:rsidR="00A40798" w:rsidRPr="00057AEF" w:rsidRDefault="00A40798" w:rsidP="002C7F2E">
            <w:pPr>
              <w:spacing w:after="0" w:line="240" w:lineRule="auto"/>
              <w:rPr>
                <w:rFonts w:ascii="Calibri" w:eastAsia="Times New Roman" w:hAnsi="Calibri" w:cs="Calibri"/>
                <w:b/>
                <w:bCs/>
                <w:color w:val="000000"/>
                <w:sz w:val="18"/>
                <w:lang w:eastAsia="en-AU"/>
              </w:rPr>
            </w:pPr>
            <w:r w:rsidRPr="00057AEF">
              <w:rPr>
                <w:rFonts w:ascii="Calibri" w:hAnsi="Calibri"/>
                <w:b/>
                <w:color w:val="000000"/>
              </w:rPr>
              <w:t>Storage development plan</w:t>
            </w:r>
            <w:r w:rsidR="00F65691" w:rsidRPr="00057AEF">
              <w:rPr>
                <w:rFonts w:ascii="Calibri" w:hAnsi="Calibri"/>
                <w:b/>
                <w:color w:val="000000"/>
              </w:rPr>
              <w:t>s</w:t>
            </w:r>
          </w:p>
        </w:tc>
        <w:tc>
          <w:tcPr>
            <w:tcW w:w="3934" w:type="pct"/>
            <w:noWrap/>
            <w:vAlign w:val="center"/>
          </w:tcPr>
          <w:p w14:paraId="3DC5BCFA" w14:textId="4EC8DF40" w:rsidR="00A40798" w:rsidRPr="00C73B72" w:rsidRDefault="00A40798" w:rsidP="0080778C">
            <w:pPr>
              <w:spacing w:after="40" w:line="240" w:lineRule="auto"/>
              <w:rPr>
                <w:rFonts w:ascii="Calibri" w:eastAsia="Times New Roman" w:hAnsi="Calibri" w:cs="Calibri"/>
                <w:color w:val="000000"/>
                <w:sz w:val="18"/>
                <w:lang w:eastAsia="en-AU"/>
              </w:rPr>
            </w:pPr>
            <w:r w:rsidRPr="00C73B72">
              <w:rPr>
                <w:rFonts w:ascii="Calibri" w:hAnsi="Calibri"/>
                <w:color w:val="000000"/>
                <w:sz w:val="18"/>
              </w:rPr>
              <w:t xml:space="preserve">A storage development plan must include a description of the petroleum operation, existing data and proposed data studies, and a reservoir management plan. The storage development plan must be reviewed within 12 months and then yearly. </w:t>
            </w:r>
          </w:p>
        </w:tc>
        <w:tc>
          <w:tcPr>
            <w:tcW w:w="332" w:type="pct"/>
          </w:tcPr>
          <w:p w14:paraId="65EF9697" w14:textId="77777777" w:rsidR="00A40798" w:rsidRPr="00BF281D" w:rsidRDefault="00A40798" w:rsidP="002C7F2E">
            <w:pPr>
              <w:spacing w:after="0" w:line="240" w:lineRule="auto"/>
              <w:jc w:val="center"/>
              <w:rPr>
                <w:rFonts w:ascii="Calibri" w:eastAsia="Times New Roman" w:hAnsi="Calibri" w:cs="Calibri"/>
                <w:b/>
                <w:bCs/>
                <w:color w:val="000000"/>
                <w:lang w:eastAsia="en-AU"/>
              </w:rPr>
            </w:pPr>
          </w:p>
        </w:tc>
      </w:tr>
      <w:tr w:rsidR="00A40798" w:rsidRPr="00BF281D" w14:paraId="690FC035" w14:textId="77777777" w:rsidTr="006F01B1">
        <w:trPr>
          <w:trHeight w:val="1016"/>
        </w:trPr>
        <w:tc>
          <w:tcPr>
            <w:tcW w:w="0" w:type="pct"/>
            <w:vAlign w:val="center"/>
          </w:tcPr>
          <w:p w14:paraId="064BBD3A" w14:textId="0C41D8A5" w:rsidR="00A40798" w:rsidRPr="00057AEF" w:rsidRDefault="00A40798" w:rsidP="002C7F2E">
            <w:pPr>
              <w:spacing w:after="0" w:line="240" w:lineRule="auto"/>
              <w:rPr>
                <w:rFonts w:ascii="Calibri" w:eastAsia="Times New Roman" w:hAnsi="Calibri" w:cs="Calibri"/>
                <w:b/>
                <w:bCs/>
                <w:color w:val="000000"/>
                <w:sz w:val="18"/>
                <w:lang w:eastAsia="en-AU"/>
              </w:rPr>
            </w:pPr>
            <w:r w:rsidRPr="00057AEF">
              <w:rPr>
                <w:rFonts w:ascii="Calibri" w:hAnsi="Calibri"/>
                <w:b/>
                <w:color w:val="000000"/>
              </w:rPr>
              <w:t xml:space="preserve">Reporting </w:t>
            </w:r>
          </w:p>
        </w:tc>
        <w:tc>
          <w:tcPr>
            <w:tcW w:w="0" w:type="pct"/>
            <w:noWrap/>
            <w:vAlign w:val="center"/>
          </w:tcPr>
          <w:p w14:paraId="5547EAC8" w14:textId="6588DE89" w:rsidR="00CA1DA4" w:rsidRPr="00C73B72" w:rsidRDefault="00CA1DA4" w:rsidP="0080778C">
            <w:pPr>
              <w:spacing w:after="40" w:line="240" w:lineRule="auto"/>
              <w:rPr>
                <w:rFonts w:ascii="Calibri" w:eastAsia="Times New Roman" w:hAnsi="Calibri" w:cs="Calibri"/>
                <w:color w:val="000000"/>
                <w:sz w:val="18"/>
                <w:lang w:eastAsia="en-AU"/>
              </w:rPr>
            </w:pPr>
            <w:r w:rsidRPr="00C73B72">
              <w:rPr>
                <w:rFonts w:ascii="Calibri" w:hAnsi="Calibri"/>
                <w:color w:val="000000"/>
                <w:sz w:val="18"/>
              </w:rPr>
              <w:t xml:space="preserve">The types of reports required from authority holders include: </w:t>
            </w:r>
          </w:p>
          <w:p w14:paraId="0FB5478E" w14:textId="77777777" w:rsidR="00CA1DA4" w:rsidRPr="00C73B72" w:rsidRDefault="00CA1DA4" w:rsidP="001B757C">
            <w:pPr>
              <w:pStyle w:val="ListParagraph"/>
              <w:numPr>
                <w:ilvl w:val="0"/>
                <w:numId w:val="49"/>
              </w:numPr>
              <w:spacing w:after="40" w:line="240" w:lineRule="auto"/>
              <w:rPr>
                <w:rFonts w:ascii="Calibri" w:eastAsia="Times New Roman" w:hAnsi="Calibri" w:cs="Calibri"/>
                <w:color w:val="000000"/>
                <w:sz w:val="18"/>
                <w:lang w:eastAsia="en-AU"/>
              </w:rPr>
            </w:pPr>
            <w:r w:rsidRPr="00C73B72">
              <w:rPr>
                <w:rFonts w:ascii="Calibri" w:hAnsi="Calibri"/>
                <w:color w:val="000000"/>
                <w:sz w:val="18"/>
              </w:rPr>
              <w:t xml:space="preserve">annual reports </w:t>
            </w:r>
          </w:p>
          <w:p w14:paraId="0671F9C4" w14:textId="77777777" w:rsidR="00B41B1D" w:rsidRPr="00C73B72" w:rsidRDefault="00CA1DA4" w:rsidP="001B757C">
            <w:pPr>
              <w:pStyle w:val="ListParagraph"/>
              <w:numPr>
                <w:ilvl w:val="0"/>
                <w:numId w:val="49"/>
              </w:numPr>
              <w:spacing w:after="40" w:line="240" w:lineRule="auto"/>
              <w:rPr>
                <w:rFonts w:ascii="Calibri" w:eastAsia="Times New Roman" w:hAnsi="Calibri" w:cs="Calibri"/>
                <w:color w:val="000000"/>
                <w:sz w:val="18"/>
                <w:lang w:eastAsia="en-AU"/>
              </w:rPr>
            </w:pPr>
            <w:r w:rsidRPr="00C73B72">
              <w:rPr>
                <w:rFonts w:ascii="Calibri" w:hAnsi="Calibri"/>
                <w:color w:val="000000"/>
                <w:sz w:val="18"/>
              </w:rPr>
              <w:t xml:space="preserve">reports of surveys, </w:t>
            </w:r>
            <w:proofErr w:type="gramStart"/>
            <w:r w:rsidRPr="00C73B72">
              <w:rPr>
                <w:rFonts w:ascii="Calibri" w:hAnsi="Calibri"/>
                <w:color w:val="000000"/>
                <w:sz w:val="18"/>
              </w:rPr>
              <w:t>drilling</w:t>
            </w:r>
            <w:proofErr w:type="gramEnd"/>
            <w:r w:rsidRPr="00C73B72">
              <w:rPr>
                <w:rFonts w:ascii="Calibri" w:hAnsi="Calibri"/>
                <w:color w:val="000000"/>
                <w:sz w:val="18"/>
              </w:rPr>
              <w:t xml:space="preserve"> and other activities </w:t>
            </w:r>
          </w:p>
          <w:p w14:paraId="6DD2A1B9" w14:textId="77777777" w:rsidR="00B41B1D" w:rsidRPr="00C73B72" w:rsidRDefault="00B41B1D" w:rsidP="001B757C">
            <w:pPr>
              <w:pStyle w:val="ListParagraph"/>
              <w:numPr>
                <w:ilvl w:val="0"/>
                <w:numId w:val="49"/>
              </w:numPr>
              <w:spacing w:after="40" w:line="240" w:lineRule="auto"/>
              <w:rPr>
                <w:rFonts w:ascii="Calibri" w:eastAsia="Times New Roman" w:hAnsi="Calibri" w:cs="Calibri"/>
                <w:color w:val="000000"/>
                <w:sz w:val="18"/>
                <w:lang w:eastAsia="en-AU"/>
              </w:rPr>
            </w:pPr>
            <w:r w:rsidRPr="00C73B72">
              <w:rPr>
                <w:rFonts w:ascii="Calibri" w:hAnsi="Calibri"/>
                <w:color w:val="000000"/>
                <w:sz w:val="18"/>
              </w:rPr>
              <w:t>report by holder of production licence</w:t>
            </w:r>
          </w:p>
          <w:p w14:paraId="22A6FE30" w14:textId="72001479" w:rsidR="00A40798" w:rsidRPr="00C73B72" w:rsidRDefault="00B41B1D" w:rsidP="001B757C">
            <w:pPr>
              <w:pStyle w:val="ListParagraph"/>
              <w:numPr>
                <w:ilvl w:val="0"/>
                <w:numId w:val="49"/>
              </w:numPr>
              <w:spacing w:after="40" w:line="240" w:lineRule="auto"/>
              <w:rPr>
                <w:rFonts w:ascii="Calibri" w:eastAsia="Times New Roman" w:hAnsi="Calibri" w:cs="Calibri"/>
                <w:color w:val="000000"/>
                <w:sz w:val="18"/>
                <w:lang w:eastAsia="en-AU"/>
              </w:rPr>
            </w:pPr>
            <w:r w:rsidRPr="00C73B72">
              <w:rPr>
                <w:rFonts w:ascii="Calibri" w:hAnsi="Calibri"/>
                <w:color w:val="000000"/>
                <w:sz w:val="18"/>
              </w:rPr>
              <w:t xml:space="preserve"> </w:t>
            </w:r>
            <w:r w:rsidR="00B207BD" w:rsidRPr="00C73B72">
              <w:rPr>
                <w:rFonts w:ascii="Calibri" w:hAnsi="Calibri"/>
                <w:color w:val="000000"/>
                <w:sz w:val="18"/>
              </w:rPr>
              <w:t>incident reporting</w:t>
            </w:r>
            <w:r w:rsidR="00A40798" w:rsidRPr="00C73B72">
              <w:rPr>
                <w:rFonts w:ascii="Calibri" w:hAnsi="Calibri"/>
                <w:color w:val="000000"/>
                <w:sz w:val="18"/>
              </w:rPr>
              <w:t xml:space="preserve"> </w:t>
            </w:r>
          </w:p>
        </w:tc>
        <w:tc>
          <w:tcPr>
            <w:tcW w:w="332" w:type="pct"/>
          </w:tcPr>
          <w:p w14:paraId="7B72400A" w14:textId="77777777" w:rsidR="00A40798" w:rsidRPr="00BF281D" w:rsidRDefault="00A40798" w:rsidP="002C7F2E">
            <w:pPr>
              <w:spacing w:after="0" w:line="240" w:lineRule="auto"/>
              <w:jc w:val="center"/>
              <w:rPr>
                <w:rFonts w:ascii="Calibri" w:eastAsia="Times New Roman" w:hAnsi="Calibri" w:cs="Calibri"/>
                <w:b/>
                <w:bCs/>
                <w:color w:val="000000"/>
                <w:lang w:eastAsia="en-AU"/>
              </w:rPr>
            </w:pPr>
          </w:p>
        </w:tc>
      </w:tr>
      <w:tr w:rsidR="00B207BD" w:rsidRPr="00BF281D" w14:paraId="00A1A2D4" w14:textId="77777777" w:rsidTr="006F01B1">
        <w:trPr>
          <w:trHeight w:val="681"/>
        </w:trPr>
        <w:tc>
          <w:tcPr>
            <w:tcW w:w="0" w:type="pct"/>
            <w:vAlign w:val="center"/>
          </w:tcPr>
          <w:p w14:paraId="6EE23E22" w14:textId="08A94C59" w:rsidR="00B207BD" w:rsidRPr="00057AEF" w:rsidRDefault="00B207BD" w:rsidP="002C7F2E">
            <w:pPr>
              <w:spacing w:after="0" w:line="240" w:lineRule="auto"/>
              <w:rPr>
                <w:rFonts w:ascii="Calibri" w:eastAsia="Times New Roman" w:hAnsi="Calibri" w:cs="Calibri"/>
                <w:b/>
                <w:bCs/>
                <w:color w:val="000000"/>
                <w:sz w:val="18"/>
                <w:lang w:eastAsia="en-AU"/>
              </w:rPr>
            </w:pPr>
            <w:r w:rsidRPr="00057AEF">
              <w:rPr>
                <w:rFonts w:ascii="Calibri" w:hAnsi="Calibri"/>
                <w:b/>
                <w:color w:val="000000"/>
              </w:rPr>
              <w:t>Royalties and Rent</w:t>
            </w:r>
            <w:r w:rsidR="00C251DA" w:rsidRPr="00057AEF">
              <w:rPr>
                <w:rFonts w:ascii="Calibri" w:hAnsi="Calibri"/>
                <w:b/>
                <w:color w:val="000000"/>
              </w:rPr>
              <w:t xml:space="preserve">, pecuniary interest statements </w:t>
            </w:r>
            <w:r w:rsidRPr="00057AEF">
              <w:rPr>
                <w:rFonts w:ascii="Calibri" w:hAnsi="Calibri"/>
                <w:b/>
                <w:color w:val="000000"/>
              </w:rPr>
              <w:t xml:space="preserve"> </w:t>
            </w:r>
          </w:p>
        </w:tc>
        <w:tc>
          <w:tcPr>
            <w:tcW w:w="0" w:type="pct"/>
            <w:noWrap/>
            <w:vAlign w:val="center"/>
          </w:tcPr>
          <w:p w14:paraId="78768DD7" w14:textId="3C0544A9" w:rsidR="00B207BD" w:rsidRPr="00C73B72" w:rsidRDefault="00B207BD" w:rsidP="0080778C">
            <w:pPr>
              <w:spacing w:after="40" w:line="240" w:lineRule="auto"/>
              <w:rPr>
                <w:rFonts w:ascii="Calibri" w:eastAsia="Times New Roman" w:hAnsi="Calibri" w:cs="Calibri"/>
                <w:color w:val="000000"/>
                <w:sz w:val="18"/>
                <w:lang w:eastAsia="en-AU"/>
              </w:rPr>
            </w:pPr>
            <w:r w:rsidRPr="00C73B72">
              <w:rPr>
                <w:rFonts w:ascii="Calibri" w:hAnsi="Calibri"/>
                <w:color w:val="000000"/>
                <w:sz w:val="18"/>
              </w:rPr>
              <w:t xml:space="preserve">Timing </w:t>
            </w:r>
            <w:r w:rsidR="00BA20C1" w:rsidRPr="00C73B72">
              <w:rPr>
                <w:rFonts w:ascii="Calibri" w:eastAsia="Times New Roman" w:hAnsi="Calibri" w:cs="Calibri"/>
                <w:color w:val="000000"/>
                <w:sz w:val="18"/>
                <w:lang w:eastAsia="en-AU"/>
              </w:rPr>
              <w:t>and manner of</w:t>
            </w:r>
            <w:r w:rsidRPr="00C73B72">
              <w:rPr>
                <w:rFonts w:ascii="Calibri" w:eastAsia="Times New Roman" w:hAnsi="Calibri" w:cs="Calibri"/>
                <w:color w:val="000000"/>
                <w:sz w:val="18"/>
                <w:lang w:eastAsia="en-AU"/>
              </w:rPr>
              <w:t xml:space="preserve"> </w:t>
            </w:r>
            <w:r w:rsidRPr="00C73B72">
              <w:rPr>
                <w:rFonts w:ascii="Calibri" w:hAnsi="Calibri"/>
                <w:color w:val="000000"/>
                <w:sz w:val="18"/>
              </w:rPr>
              <w:t xml:space="preserve">payment of royalties </w:t>
            </w:r>
            <w:r w:rsidR="004E0AA3" w:rsidRPr="00C73B72">
              <w:rPr>
                <w:rFonts w:ascii="Calibri" w:hAnsi="Calibri"/>
                <w:color w:val="000000"/>
                <w:sz w:val="18"/>
              </w:rPr>
              <w:t xml:space="preserve">and methodology for </w:t>
            </w:r>
            <w:r w:rsidR="00925CDA" w:rsidRPr="00C73B72">
              <w:rPr>
                <w:rFonts w:ascii="Calibri" w:eastAsia="Times New Roman" w:hAnsi="Calibri" w:cs="Calibri"/>
                <w:color w:val="000000"/>
                <w:sz w:val="18"/>
                <w:lang w:eastAsia="en-AU"/>
              </w:rPr>
              <w:t xml:space="preserve">determining rent payable for the </w:t>
            </w:r>
            <w:r w:rsidR="004E0AA3" w:rsidRPr="00C73B72">
              <w:rPr>
                <w:rFonts w:ascii="Calibri" w:hAnsi="Calibri"/>
                <w:color w:val="000000"/>
                <w:sz w:val="18"/>
              </w:rPr>
              <w:t xml:space="preserve">occupancy of Crown Land. </w:t>
            </w:r>
          </w:p>
        </w:tc>
        <w:tc>
          <w:tcPr>
            <w:tcW w:w="332" w:type="pct"/>
          </w:tcPr>
          <w:p w14:paraId="772C7C18" w14:textId="77777777" w:rsidR="00B207BD" w:rsidRPr="00BF281D" w:rsidRDefault="00B207BD" w:rsidP="002C7F2E">
            <w:pPr>
              <w:spacing w:after="0" w:line="240" w:lineRule="auto"/>
              <w:jc w:val="center"/>
              <w:rPr>
                <w:rFonts w:ascii="Calibri" w:eastAsia="Times New Roman" w:hAnsi="Calibri" w:cs="Calibri"/>
                <w:b/>
                <w:bCs/>
                <w:color w:val="000000"/>
                <w:lang w:eastAsia="en-AU"/>
              </w:rPr>
            </w:pPr>
          </w:p>
        </w:tc>
      </w:tr>
      <w:tr w:rsidR="00F469E4" w:rsidRPr="00BF281D" w14:paraId="268806B5" w14:textId="77777777" w:rsidTr="006F01B1">
        <w:trPr>
          <w:trHeight w:val="1016"/>
        </w:trPr>
        <w:tc>
          <w:tcPr>
            <w:tcW w:w="0" w:type="pct"/>
            <w:vAlign w:val="center"/>
          </w:tcPr>
          <w:p w14:paraId="3596F883" w14:textId="7699BA06" w:rsidR="00F469E4" w:rsidRPr="00057AEF" w:rsidRDefault="00F469E4" w:rsidP="002C7F2E">
            <w:pPr>
              <w:spacing w:after="0" w:line="240" w:lineRule="auto"/>
              <w:rPr>
                <w:rFonts w:ascii="Calibri" w:eastAsia="Times New Roman" w:hAnsi="Calibri" w:cs="Calibri"/>
                <w:b/>
                <w:bCs/>
                <w:color w:val="000000"/>
                <w:sz w:val="18"/>
                <w:lang w:eastAsia="en-AU"/>
              </w:rPr>
            </w:pPr>
            <w:r w:rsidRPr="00057AEF">
              <w:rPr>
                <w:rFonts w:ascii="Calibri" w:hAnsi="Calibri"/>
                <w:b/>
                <w:color w:val="000000"/>
              </w:rPr>
              <w:t xml:space="preserve">Administrative matters and fees </w:t>
            </w:r>
          </w:p>
        </w:tc>
        <w:tc>
          <w:tcPr>
            <w:tcW w:w="0" w:type="pct"/>
            <w:noWrap/>
            <w:vAlign w:val="center"/>
          </w:tcPr>
          <w:p w14:paraId="7BC89752" w14:textId="04D6A2F0" w:rsidR="00F469E4" w:rsidRPr="00C73B72" w:rsidRDefault="00052E25" w:rsidP="0080778C">
            <w:pPr>
              <w:spacing w:after="40" w:line="240" w:lineRule="auto"/>
              <w:rPr>
                <w:rFonts w:ascii="Calibri" w:eastAsia="Times New Roman" w:hAnsi="Calibri" w:cs="Calibri"/>
                <w:color w:val="000000"/>
                <w:sz w:val="18"/>
                <w:lang w:eastAsia="en-AU"/>
              </w:rPr>
            </w:pPr>
            <w:r w:rsidRPr="00C73B72">
              <w:rPr>
                <w:rFonts w:ascii="Calibri" w:eastAsia="Times New Roman" w:hAnsi="Calibri" w:cs="Calibri"/>
                <w:color w:val="000000"/>
                <w:sz w:val="18"/>
                <w:lang w:eastAsia="en-AU"/>
              </w:rPr>
              <w:t>Provision for a</w:t>
            </w:r>
            <w:r w:rsidR="00C34DB9" w:rsidRPr="00C73B72">
              <w:rPr>
                <w:rFonts w:ascii="Calibri" w:hAnsi="Calibri"/>
                <w:color w:val="000000"/>
                <w:sz w:val="18"/>
              </w:rPr>
              <w:t xml:space="preserve">pplication fees, fees for renewal of exploration permit, annual fees for exploration permit, retention lease or production licence, fees for transfer of an exploration permit, retention lease or production licence.  Fees for a suspension or variation of conditions of an exploration permit, retention lease or production licence. </w:t>
            </w:r>
            <w:r w:rsidR="001F772F" w:rsidRPr="00C73B72">
              <w:rPr>
                <w:rFonts w:ascii="Calibri" w:hAnsi="Calibri"/>
                <w:color w:val="000000"/>
                <w:sz w:val="18"/>
              </w:rPr>
              <w:t xml:space="preserve"> Fees for registration of documents</w:t>
            </w:r>
            <w:r w:rsidR="00144DC0" w:rsidRPr="00C73B72">
              <w:rPr>
                <w:rFonts w:ascii="Calibri" w:hAnsi="Calibri"/>
                <w:color w:val="000000"/>
                <w:sz w:val="18"/>
              </w:rPr>
              <w:t xml:space="preserve">, inspection of </w:t>
            </w:r>
            <w:r w:rsidR="007A4271" w:rsidRPr="00C73B72">
              <w:rPr>
                <w:rFonts w:ascii="Calibri" w:hAnsi="Calibri"/>
                <w:color w:val="000000"/>
                <w:sz w:val="18"/>
              </w:rPr>
              <w:t>or copy of documents.</w:t>
            </w:r>
            <w:r w:rsidR="007A4271" w:rsidRPr="00C73B72">
              <w:rPr>
                <w:rFonts w:ascii="Calibri" w:eastAsia="Times New Roman" w:hAnsi="Calibri" w:cs="Calibri"/>
                <w:color w:val="000000"/>
                <w:sz w:val="18"/>
                <w:lang w:eastAsia="en-AU"/>
              </w:rPr>
              <w:t xml:space="preserve"> </w:t>
            </w:r>
          </w:p>
        </w:tc>
        <w:tc>
          <w:tcPr>
            <w:tcW w:w="332" w:type="pct"/>
          </w:tcPr>
          <w:p w14:paraId="59622DE8" w14:textId="77777777" w:rsidR="00F469E4" w:rsidRPr="00BF281D" w:rsidRDefault="00F469E4" w:rsidP="002C7F2E">
            <w:pPr>
              <w:spacing w:after="0" w:line="240" w:lineRule="auto"/>
              <w:jc w:val="center"/>
              <w:rPr>
                <w:rFonts w:ascii="Calibri" w:eastAsia="Times New Roman" w:hAnsi="Calibri" w:cs="Calibri"/>
                <w:b/>
                <w:bCs/>
                <w:color w:val="000000"/>
                <w:lang w:eastAsia="en-AU"/>
              </w:rPr>
            </w:pPr>
          </w:p>
        </w:tc>
      </w:tr>
    </w:tbl>
    <w:p w14:paraId="77411FD5" w14:textId="5033154D" w:rsidR="00076238" w:rsidRPr="00BF281D" w:rsidRDefault="00F65691" w:rsidP="007D3541">
      <w:r w:rsidRPr="00BF281D">
        <w:br/>
      </w:r>
    </w:p>
    <w:p w14:paraId="270A87BE" w14:textId="62C3A455" w:rsidR="001B577D" w:rsidRPr="00817682" w:rsidRDefault="001B577D" w:rsidP="007D3541"/>
    <w:p w14:paraId="093BBF4F" w14:textId="3AF20231" w:rsidR="009421EF" w:rsidRPr="00012DD6" w:rsidRDefault="006F5A33" w:rsidP="00134317">
      <w:pPr>
        <w:pStyle w:val="Heading3"/>
        <w:rPr>
          <w:b w:val="0"/>
          <w:bCs w:val="0"/>
        </w:rPr>
      </w:pPr>
      <w:r w:rsidRPr="00012DD6">
        <w:lastRenderedPageBreak/>
        <w:t xml:space="preserve">Offshore - </w:t>
      </w:r>
      <w:r w:rsidR="009421EF" w:rsidRPr="00012DD6">
        <w:t xml:space="preserve">National </w:t>
      </w:r>
      <w:r w:rsidR="00A35DCA" w:rsidRPr="00012DD6">
        <w:t xml:space="preserve">and Victorian </w:t>
      </w:r>
      <w:r w:rsidR="009421EF" w:rsidRPr="00012DD6">
        <w:t xml:space="preserve">legislative framework </w:t>
      </w:r>
    </w:p>
    <w:p w14:paraId="346FD778" w14:textId="40563E93" w:rsidR="00525F8B" w:rsidRDefault="00525F8B" w:rsidP="00525F8B">
      <w:r>
        <w:t xml:space="preserve">Any petroleum found onshore, or up to three nautical miles offshore from the seashore, is owned and regulated by the relevant state. Any petroleum that exists offshore from the three nautical mile limit and to the extent of </w:t>
      </w:r>
      <w:r w:rsidR="00B30BA8">
        <w:t>Australia’s Exclusive Economic Zone</w:t>
      </w:r>
      <w:r w:rsidR="00654F63">
        <w:t xml:space="preserve"> (200 nautical miles from the coastline)</w:t>
      </w:r>
      <w:r>
        <w:t xml:space="preserve"> is owned and regulated by the Commonwealth.</w:t>
      </w:r>
    </w:p>
    <w:p w14:paraId="41A9EC16" w14:textId="4E91CE13" w:rsidR="00525F8B" w:rsidRPr="00BA20C1" w:rsidRDefault="00525F8B" w:rsidP="00525F8B">
      <w:r>
        <w:t xml:space="preserve">Offshore gas development in Victorian waters is regulated under the </w:t>
      </w:r>
      <w:r w:rsidRPr="00C73B72">
        <w:t xml:space="preserve">Victorian </w:t>
      </w:r>
      <w:r w:rsidRPr="00580C6E">
        <w:rPr>
          <w:i/>
          <w:iCs/>
        </w:rPr>
        <w:t>Offshore Petroleum and Greenhouse Gas Storage Act</w:t>
      </w:r>
      <w:r w:rsidRPr="00C73B72">
        <w:rPr>
          <w:i/>
        </w:rPr>
        <w:t xml:space="preserve"> </w:t>
      </w:r>
      <w:r w:rsidRPr="00580C6E">
        <w:rPr>
          <w:i/>
          <w:iCs/>
        </w:rPr>
        <w:t>2010</w:t>
      </w:r>
      <w:r w:rsidR="00996660">
        <w:rPr>
          <w:iCs/>
        </w:rPr>
        <w:t xml:space="preserve"> </w:t>
      </w:r>
      <w:r w:rsidRPr="00BA20C1">
        <w:t>(Vic OPGGSA) while any offshore gas development in Commonwealth waters is regulated under the Commonwealth Offshore Petroleum and Greenhouse Gas Storage Act 2006 (</w:t>
      </w:r>
      <w:proofErr w:type="spellStart"/>
      <w:r w:rsidRPr="00BA20C1">
        <w:t>Cwth</w:t>
      </w:r>
      <w:proofErr w:type="spellEnd"/>
      <w:r w:rsidRPr="00BA20C1">
        <w:t xml:space="preserve"> OPGGSA). The Victorian legislation largely mirrors the Commonwealth legislation. </w:t>
      </w:r>
    </w:p>
    <w:p w14:paraId="2ED2EB80" w14:textId="28A85E68" w:rsidR="00525F8B" w:rsidRPr="00BA20C1" w:rsidRDefault="00525F8B" w:rsidP="00525F8B">
      <w:r w:rsidRPr="00BA20C1">
        <w:t xml:space="preserve">Both the Vic OPGGSA and </w:t>
      </w:r>
      <w:proofErr w:type="spellStart"/>
      <w:r w:rsidRPr="00BA20C1">
        <w:t>Cwth</w:t>
      </w:r>
      <w:proofErr w:type="spellEnd"/>
      <w:r w:rsidRPr="00BA20C1">
        <w:t xml:space="preserve"> OPGGSA broadly operate in a similar way to the onshore framework. This is centred on the allocation of rights and the approval of activities.  Rights are allocated via titles, to facilitate the discovery and production of petroleum for the benefit of constituents in a jurisdiction.  Activities are managed via plans to assess and mitigate risk.</w:t>
      </w:r>
    </w:p>
    <w:p w14:paraId="7782103D" w14:textId="5301E1FC" w:rsidR="004F4663" w:rsidRPr="00BA20C1" w:rsidRDefault="00525F8B" w:rsidP="00BA21D4">
      <w:r w:rsidRPr="00BA20C1">
        <w:t>The Commonwealth established the National Offshore Petroleum Titles Administrator (NOPTA) to handle the day-to-day administration of all titles in Commonwealth waters, and the National Offshore Petroleum Safety and Environmental Management Authority (NOPSEMA) to serve as the national regulator for health and safety, well integrity, and environmental management. NOPSEMA also operates in state coastal waters if regulatory powers and functions have been conferred by state governments. Victoria has conferred well integrity and occupational health and safety functions on NOPSEMA while retaining environmental management responsibility.</w:t>
      </w:r>
    </w:p>
    <w:p w14:paraId="198A7D70" w14:textId="2EDD4190" w:rsidR="00AC640B" w:rsidRPr="00BF281D" w:rsidRDefault="00090834" w:rsidP="00AC640B">
      <w:pPr>
        <w:pStyle w:val="Heading2"/>
      </w:pPr>
      <w:bookmarkStart w:id="69" w:name="_Toc69839568"/>
      <w:bookmarkStart w:id="70" w:name="_Toc67663750"/>
      <w:r w:rsidRPr="001528D0">
        <w:rPr>
          <w:color w:val="012169" w:themeColor="accent4"/>
        </w:rPr>
        <w:t>Developments in the Victorian petroleum</w:t>
      </w:r>
      <w:r w:rsidR="009C374A" w:rsidRPr="001528D0">
        <w:rPr>
          <w:color w:val="012169" w:themeColor="accent4"/>
        </w:rPr>
        <w:t xml:space="preserve"> landscape</w:t>
      </w:r>
      <w:r w:rsidRPr="001528D0">
        <w:rPr>
          <w:color w:val="012169" w:themeColor="accent4"/>
        </w:rPr>
        <w:t xml:space="preserve"> since 2011</w:t>
      </w:r>
      <w:bookmarkEnd w:id="69"/>
      <w:bookmarkEnd w:id="70"/>
    </w:p>
    <w:p w14:paraId="365A434F" w14:textId="5052623C" w:rsidR="008C3255" w:rsidRPr="00012DD6" w:rsidRDefault="00880151" w:rsidP="00880151">
      <w:pPr>
        <w:pStyle w:val="Heading3"/>
      </w:pPr>
      <w:r w:rsidRPr="00BF281D">
        <w:t>Findings of the Victorian Gas Program (VGP)</w:t>
      </w:r>
    </w:p>
    <w:p w14:paraId="3C680ED3" w14:textId="292266E9" w:rsidR="00880151" w:rsidRPr="00012DD6" w:rsidRDefault="00385E69" w:rsidP="00880151">
      <w:r w:rsidRPr="00012DD6">
        <w:t xml:space="preserve">The </w:t>
      </w:r>
      <w:r w:rsidR="00BC4707" w:rsidRPr="00012DD6">
        <w:t>VGP</w:t>
      </w:r>
      <w:r w:rsidR="00975AD1" w:rsidRPr="00012DD6">
        <w:t xml:space="preserve"> </w:t>
      </w:r>
      <w:r w:rsidR="00496C46" w:rsidRPr="00012DD6">
        <w:t xml:space="preserve">was a three-year program which began in 2017 </w:t>
      </w:r>
      <w:r w:rsidR="001A579E">
        <w:t>and finished in</w:t>
      </w:r>
      <w:r w:rsidR="00496C46" w:rsidRPr="00012DD6">
        <w:t xml:space="preserve"> 2020. </w:t>
      </w:r>
      <w:r w:rsidR="00DF5FA9" w:rsidRPr="00012DD6">
        <w:t>The program</w:t>
      </w:r>
      <w:r w:rsidR="00BE1DBE">
        <w:t>’</w:t>
      </w:r>
      <w:r w:rsidR="00496C46" w:rsidRPr="00012DD6">
        <w:t>s</w:t>
      </w:r>
      <w:r w:rsidR="00DF5FA9" w:rsidRPr="00012DD6">
        <w:t xml:space="preserve"> aim</w:t>
      </w:r>
      <w:r w:rsidR="0025230F" w:rsidRPr="00012DD6">
        <w:t xml:space="preserve"> </w:t>
      </w:r>
      <w:r w:rsidR="00496C46" w:rsidRPr="00012DD6">
        <w:t>was</w:t>
      </w:r>
      <w:r w:rsidR="0025230F" w:rsidRPr="00012DD6">
        <w:t xml:space="preserve"> </w:t>
      </w:r>
      <w:r w:rsidR="00D82313" w:rsidRPr="00012DD6">
        <w:t>to improv</w:t>
      </w:r>
      <w:r w:rsidR="00D0730D" w:rsidRPr="00012DD6">
        <w:t>e</w:t>
      </w:r>
      <w:r w:rsidR="00D82313" w:rsidRPr="00012DD6">
        <w:t xml:space="preserve"> the</w:t>
      </w:r>
      <w:r w:rsidR="00255E4B" w:rsidRPr="00012DD6">
        <w:t xml:space="preserve"> understanding of </w:t>
      </w:r>
      <w:r w:rsidR="00FA32A1" w:rsidRPr="00012DD6">
        <w:t xml:space="preserve">the potential for new onshore conventional gas </w:t>
      </w:r>
      <w:r w:rsidR="006A0478" w:rsidRPr="00012DD6">
        <w:t>discoveries in Victoria,</w:t>
      </w:r>
      <w:r w:rsidR="00862F40" w:rsidRPr="00012DD6">
        <w:t xml:space="preserve"> </w:t>
      </w:r>
      <w:r w:rsidR="00DA7EA9" w:rsidRPr="00012DD6">
        <w:t xml:space="preserve">as well as </w:t>
      </w:r>
      <w:r w:rsidR="00596A4F" w:rsidRPr="00012DD6">
        <w:t xml:space="preserve">the </w:t>
      </w:r>
      <w:r w:rsidR="00283A2E" w:rsidRPr="00012DD6">
        <w:t xml:space="preserve">risks, benefits and impacts of </w:t>
      </w:r>
      <w:r w:rsidR="00E04C43" w:rsidRPr="00012DD6">
        <w:t xml:space="preserve">allowing </w:t>
      </w:r>
      <w:r w:rsidR="00007ACB" w:rsidRPr="00012DD6">
        <w:t xml:space="preserve">exploration and production. </w:t>
      </w:r>
      <w:r w:rsidR="002B70AE" w:rsidRPr="00012DD6">
        <w:t xml:space="preserve">The findings </w:t>
      </w:r>
      <w:r w:rsidR="00260F43" w:rsidRPr="00012DD6">
        <w:t xml:space="preserve">were </w:t>
      </w:r>
      <w:r w:rsidR="002B70AE" w:rsidRPr="00012DD6">
        <w:t xml:space="preserve">informed </w:t>
      </w:r>
      <w:r w:rsidR="001D0ED4" w:rsidRPr="00012DD6">
        <w:t xml:space="preserve">by a suite of scientific research, as well as extensive stakeholder engagement. </w:t>
      </w:r>
      <w:r w:rsidR="008B447C" w:rsidRPr="00012DD6">
        <w:t>The VGP also help</w:t>
      </w:r>
      <w:r w:rsidR="00260F43" w:rsidRPr="00012DD6">
        <w:t>ed</w:t>
      </w:r>
      <w:r w:rsidR="008B447C" w:rsidRPr="00012DD6">
        <w:t xml:space="preserve"> </w:t>
      </w:r>
      <w:r w:rsidR="008A1A28" w:rsidRPr="00012DD6">
        <w:t>to determine</w:t>
      </w:r>
      <w:r w:rsidR="008B447C" w:rsidRPr="00012DD6">
        <w:t xml:space="preserve"> </w:t>
      </w:r>
      <w:r w:rsidR="006B6060" w:rsidRPr="00012DD6">
        <w:t xml:space="preserve">if Victoria’s current underground gas storage capacity </w:t>
      </w:r>
      <w:r w:rsidR="00CB4589" w:rsidRPr="00012DD6">
        <w:t xml:space="preserve">could </w:t>
      </w:r>
      <w:r w:rsidR="006B6060" w:rsidRPr="00012DD6">
        <w:t xml:space="preserve">be expanded. </w:t>
      </w:r>
      <w:r w:rsidR="00D22339" w:rsidRPr="00012DD6">
        <w:t xml:space="preserve">The </w:t>
      </w:r>
      <w:r w:rsidR="00892F95" w:rsidRPr="00012DD6">
        <w:t>fifth</w:t>
      </w:r>
      <w:r w:rsidR="00D22339" w:rsidRPr="00012DD6">
        <w:t xml:space="preserve"> VGP progress report was released in </w:t>
      </w:r>
      <w:r w:rsidR="00032435" w:rsidRPr="00012DD6">
        <w:t>December 2020 and</w:t>
      </w:r>
      <w:r w:rsidR="00D22339" w:rsidRPr="00012DD6">
        <w:t xml:space="preserve"> </w:t>
      </w:r>
      <w:r w:rsidR="00DF5FA9" w:rsidRPr="00012DD6">
        <w:t xml:space="preserve">details the findings of the program to date. </w:t>
      </w:r>
    </w:p>
    <w:p w14:paraId="040B84EF" w14:textId="27D2B5DD" w:rsidR="00F44E3F" w:rsidRPr="00012DD6" w:rsidRDefault="00D21547" w:rsidP="00880151">
      <w:r w:rsidRPr="00012DD6">
        <w:t xml:space="preserve">The report </w:t>
      </w:r>
      <w:r w:rsidR="00ED717F" w:rsidRPr="00012DD6">
        <w:t>outline</w:t>
      </w:r>
      <w:r w:rsidR="00A24338" w:rsidRPr="00012DD6">
        <w:t>d</w:t>
      </w:r>
      <w:r w:rsidR="00ED717F" w:rsidRPr="00012DD6">
        <w:t xml:space="preserve"> </w:t>
      </w:r>
      <w:r w:rsidRPr="00012DD6">
        <w:t xml:space="preserve">that </w:t>
      </w:r>
      <w:r w:rsidR="00ED3E7C" w:rsidRPr="00012DD6">
        <w:t xml:space="preserve">there is an estimated 128-830 PJ of </w:t>
      </w:r>
      <w:r w:rsidR="00842F70" w:rsidRPr="00012DD6">
        <w:t xml:space="preserve">prospective </w:t>
      </w:r>
      <w:r w:rsidR="00ED3E7C" w:rsidRPr="00012DD6">
        <w:t xml:space="preserve">onshore conventional </w:t>
      </w:r>
      <w:r w:rsidR="00842F70" w:rsidRPr="00012DD6">
        <w:t>gas in Victoria</w:t>
      </w:r>
      <w:r w:rsidR="00A83F64" w:rsidRPr="00012DD6">
        <w:t xml:space="preserve">, </w:t>
      </w:r>
      <w:r w:rsidR="00680470" w:rsidRPr="00012DD6">
        <w:t xml:space="preserve">worth approximately </w:t>
      </w:r>
      <w:r w:rsidR="00F413E3" w:rsidRPr="00012DD6">
        <w:t>$</w:t>
      </w:r>
      <w:r w:rsidR="00852785" w:rsidRPr="00012DD6">
        <w:t>0.6</w:t>
      </w:r>
      <w:r w:rsidR="00F413E3" w:rsidRPr="00012DD6">
        <w:t>-</w:t>
      </w:r>
      <w:r w:rsidR="00126C3B">
        <w:t>$</w:t>
      </w:r>
      <w:r w:rsidR="00063B57" w:rsidRPr="00012DD6">
        <w:t>3</w:t>
      </w:r>
      <w:r w:rsidR="00852785" w:rsidRPr="00012DD6">
        <w:t>.8</w:t>
      </w:r>
      <w:r w:rsidR="00063B57" w:rsidRPr="00012DD6">
        <w:t xml:space="preserve"> </w:t>
      </w:r>
      <w:r w:rsidR="00852785" w:rsidRPr="00012DD6">
        <w:t>b</w:t>
      </w:r>
      <w:r w:rsidR="00063B57" w:rsidRPr="00012DD6">
        <w:t>illion at current prices</w:t>
      </w:r>
      <w:r w:rsidR="00E87DC5" w:rsidRPr="00012DD6">
        <w:t>.</w:t>
      </w:r>
      <w:r w:rsidR="00C20709" w:rsidRPr="00817682">
        <w:rPr>
          <w:rStyle w:val="FootnoteReference"/>
        </w:rPr>
        <w:footnoteReference w:id="4"/>
      </w:r>
      <w:r w:rsidR="00703E00" w:rsidRPr="00012DD6">
        <w:rPr>
          <w:vertAlign w:val="superscript"/>
        </w:rPr>
        <w:t>,</w:t>
      </w:r>
      <w:r w:rsidR="004938B5" w:rsidRPr="00817682">
        <w:rPr>
          <w:rStyle w:val="EndnoteReference"/>
        </w:rPr>
        <w:endnoteReference w:id="5"/>
      </w:r>
      <w:r w:rsidR="00EF6593" w:rsidRPr="00012DD6">
        <w:t xml:space="preserve"> </w:t>
      </w:r>
      <w:r w:rsidR="006F46F1" w:rsidRPr="00012DD6">
        <w:t xml:space="preserve">This volume of gas is unlikely to materially impact </w:t>
      </w:r>
      <w:r w:rsidR="00F44E3F" w:rsidRPr="00012DD6">
        <w:t xml:space="preserve">gas prices or demand in </w:t>
      </w:r>
      <w:proofErr w:type="gramStart"/>
      <w:r w:rsidR="00F44E3F" w:rsidRPr="00012DD6">
        <w:t>Victoria</w:t>
      </w:r>
      <w:proofErr w:type="gramEnd"/>
      <w:r w:rsidR="00C56B15" w:rsidRPr="00012DD6">
        <w:t xml:space="preserve"> </w:t>
      </w:r>
      <w:r w:rsidR="00FE281F" w:rsidRPr="00012DD6">
        <w:t>but</w:t>
      </w:r>
      <w:r w:rsidR="00AB3234" w:rsidRPr="00012DD6">
        <w:t xml:space="preserve"> </w:t>
      </w:r>
      <w:r w:rsidR="00FE281F" w:rsidRPr="00012DD6">
        <w:t>its</w:t>
      </w:r>
      <w:r w:rsidR="00AB3234" w:rsidRPr="00012DD6">
        <w:t xml:space="preserve"> d</w:t>
      </w:r>
      <w:r w:rsidR="00127AA0" w:rsidRPr="00012DD6">
        <w:t xml:space="preserve">evelopment </w:t>
      </w:r>
      <w:r w:rsidR="000038E1">
        <w:t xml:space="preserve">would supplement Victoria’s diminishing domestic supplies, and support regional jobs and economic development over a number of years. Production of the estimated gas resources </w:t>
      </w:r>
      <w:r w:rsidR="00BF425A" w:rsidRPr="00012DD6">
        <w:t xml:space="preserve">could </w:t>
      </w:r>
      <w:r w:rsidR="000D0128" w:rsidRPr="00012DD6">
        <w:t xml:space="preserve">create up to </w:t>
      </w:r>
      <w:r w:rsidR="00372DE1" w:rsidRPr="00012DD6">
        <w:t>6,400</w:t>
      </w:r>
      <w:r w:rsidR="000D0128" w:rsidRPr="00012DD6">
        <w:t xml:space="preserve"> jobs</w:t>
      </w:r>
      <w:r w:rsidR="008173F2" w:rsidRPr="00012DD6">
        <w:t xml:space="preserve"> over the lifespan of the </w:t>
      </w:r>
      <w:r w:rsidR="00DF0058" w:rsidRPr="00012DD6">
        <w:t>projects</w:t>
      </w:r>
      <w:r w:rsidR="00C8059F" w:rsidRPr="00012DD6">
        <w:t xml:space="preserve">, </w:t>
      </w:r>
      <w:r w:rsidR="00C31CF4">
        <w:t xml:space="preserve">generate </w:t>
      </w:r>
      <w:r w:rsidR="00C8059F" w:rsidRPr="00012DD6">
        <w:t>$</w:t>
      </w:r>
      <w:r w:rsidR="006F62EC" w:rsidRPr="00012DD6">
        <w:t>300</w:t>
      </w:r>
      <w:r w:rsidR="00C8059F" w:rsidRPr="00012DD6">
        <w:t xml:space="preserve"> million </w:t>
      </w:r>
      <w:r w:rsidR="006F62EC" w:rsidRPr="00012DD6">
        <w:t>annually</w:t>
      </w:r>
      <w:r w:rsidR="00C8059F" w:rsidRPr="00012DD6">
        <w:t xml:space="preserve"> in gross regional product and $43 million in royalties</w:t>
      </w:r>
      <w:r w:rsidR="00820898" w:rsidRPr="00012DD6">
        <w:t xml:space="preserve"> per year</w:t>
      </w:r>
      <w:r w:rsidR="001822F2" w:rsidRPr="00012DD6">
        <w:t>, starting as early as 2023-24</w:t>
      </w:r>
      <w:r w:rsidR="00820898" w:rsidRPr="00012DD6">
        <w:t>.</w:t>
      </w:r>
      <w:r w:rsidR="00820898" w:rsidRPr="00817682">
        <w:rPr>
          <w:rStyle w:val="FootnoteReference"/>
        </w:rPr>
        <w:footnoteReference w:id="5"/>
      </w:r>
      <w:r w:rsidR="00820898" w:rsidRPr="00012DD6">
        <w:t xml:space="preserve"> </w:t>
      </w:r>
      <w:r w:rsidR="00BC1FDF">
        <w:t>Additionally, it would support approximately two million Victorian</w:t>
      </w:r>
      <w:r w:rsidR="00D425AA">
        <w:t xml:space="preserve"> customers who currently depend on gas for heating, </w:t>
      </w:r>
      <w:proofErr w:type="gramStart"/>
      <w:r w:rsidR="00D425AA">
        <w:t>cooking</w:t>
      </w:r>
      <w:proofErr w:type="gramEnd"/>
      <w:r w:rsidR="00D425AA">
        <w:t xml:space="preserve"> and industrial uses.</w:t>
      </w:r>
    </w:p>
    <w:p w14:paraId="64195DDE" w14:textId="11CC0B8B" w:rsidR="00281DE0" w:rsidRDefault="006243AC" w:rsidP="00880151">
      <w:r w:rsidRPr="00012DD6">
        <w:t>VGP a</w:t>
      </w:r>
      <w:r w:rsidR="004973F6" w:rsidRPr="00012DD6">
        <w:t xml:space="preserve">ssessments identified </w:t>
      </w:r>
      <w:r w:rsidR="003F20C1" w:rsidRPr="00012DD6">
        <w:t xml:space="preserve">prospective areas for conventional gas including </w:t>
      </w:r>
      <w:r w:rsidR="0026654B" w:rsidRPr="00012DD6">
        <w:t xml:space="preserve">west, </w:t>
      </w:r>
      <w:proofErr w:type="gramStart"/>
      <w:r w:rsidR="0026654B" w:rsidRPr="00012DD6">
        <w:t>central</w:t>
      </w:r>
      <w:proofErr w:type="gramEnd"/>
      <w:r w:rsidR="0026654B" w:rsidRPr="00012DD6">
        <w:t xml:space="preserve"> and eastern areas of the </w:t>
      </w:r>
      <w:r w:rsidR="005C6107" w:rsidRPr="00012DD6">
        <w:t xml:space="preserve">onshore Otway Basin, and </w:t>
      </w:r>
      <w:r w:rsidR="00323440" w:rsidRPr="00012DD6">
        <w:t>the central onshore area of the Gippsland Basin</w:t>
      </w:r>
      <w:r w:rsidR="00E758B4" w:rsidRPr="00012DD6">
        <w:t xml:space="preserve">. </w:t>
      </w:r>
      <w:r w:rsidR="00281DE0">
        <w:t>South-West Victoria and Gippsland would be the main regions to benefit, where potentially significant onshore conventional gas resources were identified.</w:t>
      </w:r>
    </w:p>
    <w:p w14:paraId="1CD8088C" w14:textId="1ADEE7D2" w:rsidR="005D71E8" w:rsidRDefault="00A24338" w:rsidP="00880151">
      <w:r w:rsidRPr="00012DD6">
        <w:t xml:space="preserve">The </w:t>
      </w:r>
      <w:r w:rsidR="008E30DA">
        <w:t>program’s environmental studies showed</w:t>
      </w:r>
      <w:r w:rsidRPr="00012DD6">
        <w:t xml:space="preserve"> that </w:t>
      </w:r>
      <w:r w:rsidR="008E30DA">
        <w:t xml:space="preserve">developing these gas resources to secure </w:t>
      </w:r>
      <w:r w:rsidR="006311EB">
        <w:t xml:space="preserve">local gas supply would not compromise the state’s groundwater supplies or agricultural sector. </w:t>
      </w:r>
      <w:r w:rsidR="00347C31">
        <w:t xml:space="preserve">It would also have a negligible impact on Victoria’s greenhouse gas emissions. </w:t>
      </w:r>
      <w:r w:rsidR="00295129" w:rsidRPr="00012DD6">
        <w:t>The report</w:t>
      </w:r>
      <w:r w:rsidR="00A57966">
        <w:t>s</w:t>
      </w:r>
      <w:r w:rsidR="00295129" w:rsidRPr="00012DD6">
        <w:t xml:space="preserve"> also found that </w:t>
      </w:r>
      <w:r w:rsidR="00D90937" w:rsidRPr="00012DD6">
        <w:t xml:space="preserve">the existing regulatory framework is </w:t>
      </w:r>
      <w:r w:rsidR="00FB748A" w:rsidRPr="00012DD6">
        <w:t xml:space="preserve">robust for managing environmental and safety risks, but community engagement and </w:t>
      </w:r>
      <w:r w:rsidR="00B30888" w:rsidRPr="00012DD6">
        <w:t>industry transparency</w:t>
      </w:r>
      <w:r w:rsidR="009F2C39" w:rsidRPr="00012DD6">
        <w:t xml:space="preserve"> could be improved</w:t>
      </w:r>
      <w:r w:rsidR="00B30888" w:rsidRPr="00012DD6">
        <w:t xml:space="preserve">. </w:t>
      </w:r>
    </w:p>
    <w:p w14:paraId="7B1D380D" w14:textId="77777777" w:rsidR="007B2AEE" w:rsidRPr="00012DD6" w:rsidRDefault="007B2AEE" w:rsidP="00880151"/>
    <w:p w14:paraId="5EDEC0FB" w14:textId="3C0C598C" w:rsidR="003B1C98" w:rsidRPr="00012DD6" w:rsidRDefault="005D71E8" w:rsidP="00AD55C5">
      <w:r w:rsidRPr="00012DD6">
        <w:lastRenderedPageBreak/>
        <w:t>The VGP also con</w:t>
      </w:r>
      <w:r w:rsidR="008402FA" w:rsidRPr="00012DD6">
        <w:t>tained a community engagement component</w:t>
      </w:r>
      <w:r w:rsidR="005848BB">
        <w:t xml:space="preserve"> </w:t>
      </w:r>
      <w:r w:rsidR="00537812">
        <w:t xml:space="preserve">whereby the team engaged with local government, industry, farmers, school students, and environmental and community groups. These engagements </w:t>
      </w:r>
      <w:r w:rsidR="00032435">
        <w:t>were</w:t>
      </w:r>
      <w:r w:rsidR="00032435" w:rsidRPr="00012DD6">
        <w:t xml:space="preserve"> focussed</w:t>
      </w:r>
      <w:r w:rsidR="00780878" w:rsidRPr="00012DD6">
        <w:t xml:space="preserve"> on communities </w:t>
      </w:r>
      <w:r w:rsidR="00D20074" w:rsidRPr="00012DD6">
        <w:t xml:space="preserve">in close proximity to </w:t>
      </w:r>
      <w:r w:rsidR="00663DE4" w:rsidRPr="00012DD6">
        <w:t xml:space="preserve">petroleum basins, </w:t>
      </w:r>
      <w:proofErr w:type="gramStart"/>
      <w:r w:rsidR="000F0D98" w:rsidRPr="00012DD6">
        <w:t>i.e.</w:t>
      </w:r>
      <w:proofErr w:type="gramEnd"/>
      <w:r w:rsidR="000F0D98" w:rsidRPr="00012DD6">
        <w:t xml:space="preserve"> Gippsland and Otway. </w:t>
      </w:r>
      <w:r w:rsidR="00306FA1" w:rsidRPr="00012DD6">
        <w:t>The consultations found</w:t>
      </w:r>
      <w:r w:rsidR="008402FA" w:rsidRPr="00012DD6">
        <w:t xml:space="preserve"> that</w:t>
      </w:r>
      <w:r w:rsidR="005E6908">
        <w:t xml:space="preserve"> about</w:t>
      </w:r>
      <w:r w:rsidR="008402FA" w:rsidRPr="00012DD6">
        <w:t xml:space="preserve"> </w:t>
      </w:r>
      <w:r w:rsidR="005E6908">
        <w:t>80 per cent of Victoria’s communities would support or tolerate onshore conventional</w:t>
      </w:r>
      <w:r w:rsidR="00AF7008">
        <w:t xml:space="preserve"> gas development. Support would be enhanced by providing genuine engagement opportunities and more information about industry activity and how the </w:t>
      </w:r>
      <w:r w:rsidR="00AD55C5">
        <w:t xml:space="preserve">communities interests were being managed. </w:t>
      </w:r>
      <w:r w:rsidR="002A1688" w:rsidRPr="00012DD6">
        <w:t>Additionally,</w:t>
      </w:r>
      <w:r w:rsidR="005F51B2" w:rsidRPr="00012DD6">
        <w:t xml:space="preserve"> communities perceive</w:t>
      </w:r>
      <w:r w:rsidR="002A1688" w:rsidRPr="00012DD6">
        <w:t xml:space="preserve"> e</w:t>
      </w:r>
      <w:r w:rsidR="00FA63A8" w:rsidRPr="00012DD6">
        <w:t>ffective governance</w:t>
      </w:r>
      <w:r w:rsidR="00234DEC" w:rsidRPr="00012DD6">
        <w:t xml:space="preserve"> and </w:t>
      </w:r>
      <w:r w:rsidR="00FE385E" w:rsidRPr="00012DD6">
        <w:t xml:space="preserve">strong regulations as important </w:t>
      </w:r>
      <w:r w:rsidR="00E11C30" w:rsidRPr="00012DD6">
        <w:t xml:space="preserve">in achieving </w:t>
      </w:r>
      <w:r w:rsidR="0054704E">
        <w:t>social license</w:t>
      </w:r>
      <w:r w:rsidR="00E11C30" w:rsidRPr="00012DD6">
        <w:t xml:space="preserve"> to operate (</w:t>
      </w:r>
      <w:r w:rsidR="00ED7E04" w:rsidRPr="00012DD6">
        <w:t>’</w:t>
      </w:r>
      <w:r w:rsidR="00E11C30" w:rsidRPr="00012DD6">
        <w:t>SLO</w:t>
      </w:r>
      <w:r w:rsidR="00ED7E04" w:rsidRPr="00012DD6">
        <w:t>’ or ’</w:t>
      </w:r>
      <w:r w:rsidR="0054704E">
        <w:t>Social license</w:t>
      </w:r>
      <w:r w:rsidR="00ED7E04" w:rsidRPr="00012DD6">
        <w:t>’</w:t>
      </w:r>
      <w:r w:rsidR="00E11C30" w:rsidRPr="00012DD6">
        <w:t>).</w:t>
      </w:r>
      <w:r w:rsidR="00C00029" w:rsidRPr="00012DD6">
        <w:t xml:space="preserve"> </w:t>
      </w:r>
    </w:p>
    <w:p w14:paraId="75BF4202" w14:textId="7BF8068E" w:rsidR="007E76C6" w:rsidRPr="00BF281D" w:rsidRDefault="00425CEF" w:rsidP="00880151">
      <w:r>
        <w:t>T</w:t>
      </w:r>
      <w:r w:rsidR="007E76C6" w:rsidRPr="00817682">
        <w:t>he gas industry has a relatively high output per worker</w:t>
      </w:r>
      <w:r w:rsidR="00F67E8E">
        <w:t xml:space="preserve"> because it is </w:t>
      </w:r>
      <w:r w:rsidR="007E76C6" w:rsidRPr="00817682">
        <w:t xml:space="preserve">a </w:t>
      </w:r>
      <w:r w:rsidR="0093286F" w:rsidRPr="00817682">
        <w:t>capital-intensive</w:t>
      </w:r>
      <w:r w:rsidR="007E76C6" w:rsidRPr="00817682">
        <w:t xml:space="preserve"> industry. In FY19, the average value </w:t>
      </w:r>
      <w:r w:rsidR="007E76C6" w:rsidRPr="00BF281D">
        <w:t>added per gas industry employee in the Great South Coast region was $165,000, significantly higher than the regional average of $113,000. The gas industry also supports a high level of indirect employment due to its high capital intensity. For each of the 19,000 direct jobs in the Australian gas industry, approximately 10 jobs are supported indirectly, compared to 1.9 in the average industry.</w:t>
      </w:r>
      <w:r w:rsidR="007E76C6" w:rsidRPr="00817682">
        <w:rPr>
          <w:rStyle w:val="FootnoteReference"/>
        </w:rPr>
        <w:footnoteReference w:id="6"/>
      </w:r>
      <w:r w:rsidR="007E76C6" w:rsidRPr="00817682">
        <w:t xml:space="preserve"> This consists of 5.4 jobs within the supply chain and 4.6 in the wider economy. Direct jobs created in the gas ind</w:t>
      </w:r>
      <w:r w:rsidR="007E76C6" w:rsidRPr="00BF281D">
        <w:t xml:space="preserve">ustry tend to </w:t>
      </w:r>
      <w:proofErr w:type="gramStart"/>
      <w:r w:rsidR="007E76C6" w:rsidRPr="00BF281D">
        <w:t>be located in</w:t>
      </w:r>
      <w:proofErr w:type="gramEnd"/>
      <w:r w:rsidR="007E76C6" w:rsidRPr="00BF281D">
        <w:t xml:space="preserve"> regional locations, close to operations. </w:t>
      </w:r>
    </w:p>
    <w:p w14:paraId="1D20C646" w14:textId="77777777" w:rsidR="00D60E65" w:rsidRPr="00BF281D" w:rsidRDefault="00D60E65" w:rsidP="007D3541">
      <w:pPr>
        <w:pStyle w:val="Heading3"/>
      </w:pPr>
      <w:bookmarkStart w:id="71" w:name="_Toc23952841"/>
      <w:r w:rsidRPr="00BF281D">
        <w:t>Climate change policy and gas</w:t>
      </w:r>
      <w:bookmarkEnd w:id="71"/>
      <w:r w:rsidRPr="00BF281D">
        <w:br/>
      </w:r>
      <w:bookmarkStart w:id="72" w:name="_Toc23952842"/>
      <w:bookmarkEnd w:id="72"/>
    </w:p>
    <w:p w14:paraId="0D63249A" w14:textId="156A9B37" w:rsidR="00D60E65" w:rsidRPr="00BF281D" w:rsidRDefault="00D60E65" w:rsidP="00D60E65">
      <w:r w:rsidRPr="00BF281D">
        <w:t xml:space="preserve">The Victorian government has a target of net zero CO2 emissions by 2050, enshrined in the </w:t>
      </w:r>
      <w:r w:rsidRPr="00BF281D">
        <w:rPr>
          <w:i/>
        </w:rPr>
        <w:t xml:space="preserve">Climate Change Act 2017 </w:t>
      </w:r>
      <w:r w:rsidRPr="00BF281D">
        <w:t xml:space="preserve">(Vic). As part of achieving this emissions reduction target, the Victorian Government will set interim targets every five years to 2050. The Government has committed to pledging contributions to emission reduction in key emissions producing sectors, and other levels of government, businesses and communities are also able to pledge contributions (the ‘sector pledges’). </w:t>
      </w:r>
    </w:p>
    <w:p w14:paraId="2F7FF220" w14:textId="198730AA" w:rsidR="00870376" w:rsidRPr="00870376" w:rsidRDefault="00D60E65" w:rsidP="00870376">
      <w:r w:rsidRPr="00BF281D">
        <w:t>The government has already set renewable energy generation targets of 25% by 2020</w:t>
      </w:r>
      <w:r w:rsidR="00154843">
        <w:t>,</w:t>
      </w:r>
      <w:r w:rsidRPr="00BF281D">
        <w:t xml:space="preserve"> 40% by </w:t>
      </w:r>
      <w:proofErr w:type="gramStart"/>
      <w:r w:rsidRPr="00BF281D">
        <w:t>2025</w:t>
      </w:r>
      <w:proofErr w:type="gramEnd"/>
      <w:r w:rsidRPr="00BF281D">
        <w:t xml:space="preserve"> and 50% by 2030.</w:t>
      </w:r>
      <w:r w:rsidRPr="00817682">
        <w:rPr>
          <w:rStyle w:val="FootnoteReference"/>
        </w:rPr>
        <w:footnoteReference w:id="7"/>
      </w:r>
      <w:r w:rsidRPr="00817682">
        <w:t xml:space="preserve"> The Victorian government </w:t>
      </w:r>
      <w:r w:rsidR="00C56764">
        <w:t xml:space="preserve">has </w:t>
      </w:r>
      <w:r w:rsidR="00DF1215" w:rsidRPr="00817682">
        <w:t xml:space="preserve">also </w:t>
      </w:r>
      <w:r w:rsidRPr="00BF281D">
        <w:t>set emissions reduction target</w:t>
      </w:r>
      <w:r w:rsidR="00DF1215" w:rsidRPr="00BF281D">
        <w:t>s</w:t>
      </w:r>
      <w:r w:rsidRPr="00BF281D" w:rsidDel="00DF1215">
        <w:t xml:space="preserve"> </w:t>
      </w:r>
      <w:r w:rsidR="00175F78">
        <w:t xml:space="preserve">of </w:t>
      </w:r>
      <w:r w:rsidR="00C952DA">
        <w:t xml:space="preserve">a reduction of 28 – 33% by </w:t>
      </w:r>
      <w:r w:rsidRPr="00BF281D">
        <w:t>2025, and</w:t>
      </w:r>
      <w:r w:rsidR="00C952DA">
        <w:t xml:space="preserve"> a reduction of 45 – 50% by</w:t>
      </w:r>
      <w:r w:rsidRPr="00BF281D">
        <w:t xml:space="preserve"> 2030</w:t>
      </w:r>
      <w:r w:rsidR="00B81B7D">
        <w:t xml:space="preserve"> on 2005 levels</w:t>
      </w:r>
      <w:r w:rsidRPr="00BF281D">
        <w:t xml:space="preserve">. </w:t>
      </w:r>
    </w:p>
    <w:p w14:paraId="3E4FBCFF" w14:textId="72C86121" w:rsidR="00870376" w:rsidRPr="00C73B72" w:rsidRDefault="002D6132" w:rsidP="00870376">
      <w:pPr>
        <w:rPr>
          <w:color w:val="000000"/>
          <w:lang w:val="en-US"/>
        </w:rPr>
      </w:pPr>
      <w:proofErr w:type="gramStart"/>
      <w:r>
        <w:rPr>
          <w:rStyle w:val="normaltextrun"/>
          <w:color w:val="000000"/>
          <w:lang w:val="en-US"/>
        </w:rPr>
        <w:t>T</w:t>
      </w:r>
      <w:r w:rsidR="00835FAB">
        <w:rPr>
          <w:rStyle w:val="normaltextrun"/>
          <w:color w:val="000000"/>
          <w:lang w:val="en-US"/>
        </w:rPr>
        <w:t>he 2020</w:t>
      </w:r>
      <w:r w:rsidR="002F314B">
        <w:rPr>
          <w:rStyle w:val="normaltextrun"/>
          <w:color w:val="000000"/>
          <w:lang w:val="en-US"/>
        </w:rPr>
        <w:t>-</w:t>
      </w:r>
      <w:r w:rsidR="00835FAB">
        <w:rPr>
          <w:rStyle w:val="normaltextrun"/>
          <w:color w:val="000000"/>
          <w:lang w:val="en-US"/>
        </w:rPr>
        <w:t>21 Victorian State Budget,</w:t>
      </w:r>
      <w:proofErr w:type="gramEnd"/>
      <w:r w:rsidR="00835FAB">
        <w:rPr>
          <w:rStyle w:val="normaltextrun"/>
          <w:color w:val="000000"/>
          <w:lang w:val="en-US"/>
        </w:rPr>
        <w:t xml:space="preserve"> </w:t>
      </w:r>
      <w:r>
        <w:rPr>
          <w:rStyle w:val="normaltextrun"/>
          <w:color w:val="000000"/>
          <w:lang w:val="en-US"/>
        </w:rPr>
        <w:t>included funding to</w:t>
      </w:r>
      <w:r w:rsidR="00835FAB">
        <w:rPr>
          <w:rStyle w:val="normaltextrun"/>
          <w:color w:val="000000"/>
          <w:lang w:val="en-US"/>
        </w:rPr>
        <w:t xml:space="preserve"> develop a gas roadmap.  This will detail the transition pathways and propose regulatory and policy mechanisms to achieve Victoria’s emissions reduction targets through reduced fugitive emissions, more efficient use of gas, electrification and increased use of hydrogen and biogas whilst maintaining energy security, reliability, </w:t>
      </w:r>
      <w:proofErr w:type="gramStart"/>
      <w:r w:rsidR="00835FAB">
        <w:rPr>
          <w:rStyle w:val="normaltextrun"/>
          <w:color w:val="000000"/>
          <w:lang w:val="en-US"/>
        </w:rPr>
        <w:t>safety</w:t>
      </w:r>
      <w:proofErr w:type="gramEnd"/>
      <w:r w:rsidR="00835FAB">
        <w:rPr>
          <w:rStyle w:val="normaltextrun"/>
          <w:color w:val="000000"/>
          <w:lang w:val="en-US"/>
        </w:rPr>
        <w:t xml:space="preserve"> and affordability for end users.</w:t>
      </w:r>
      <w:r w:rsidR="00835FAB" w:rsidRPr="00C73B72">
        <w:rPr>
          <w:rStyle w:val="normaltextrun"/>
          <w:color w:val="000000"/>
          <w:lang w:val="en-US"/>
        </w:rPr>
        <w:t xml:space="preserve"> </w:t>
      </w:r>
    </w:p>
    <w:p w14:paraId="7E86F23C" w14:textId="7BADC83E" w:rsidR="004B5D56" w:rsidRPr="00BF281D" w:rsidRDefault="004B5D56" w:rsidP="00134317">
      <w:pPr>
        <w:pStyle w:val="Heading2"/>
      </w:pPr>
      <w:bookmarkStart w:id="73" w:name="_Toc69839569"/>
      <w:bookmarkStart w:id="74" w:name="_Toc67663751"/>
      <w:r w:rsidRPr="001528D0">
        <w:rPr>
          <w:color w:val="012169" w:themeColor="accent4"/>
        </w:rPr>
        <w:t>Overview of the</w:t>
      </w:r>
      <w:r w:rsidR="00176642" w:rsidRPr="001528D0">
        <w:rPr>
          <w:color w:val="012169" w:themeColor="accent4"/>
        </w:rPr>
        <w:t xml:space="preserve"> </w:t>
      </w:r>
      <w:proofErr w:type="gramStart"/>
      <w:r w:rsidR="00176642" w:rsidRPr="001528D0">
        <w:rPr>
          <w:color w:val="012169" w:themeColor="accent4"/>
        </w:rPr>
        <w:t>current status</w:t>
      </w:r>
      <w:proofErr w:type="gramEnd"/>
      <w:r w:rsidR="00176642" w:rsidRPr="001528D0">
        <w:rPr>
          <w:color w:val="012169" w:themeColor="accent4"/>
        </w:rPr>
        <w:t xml:space="preserve"> of the</w:t>
      </w:r>
      <w:r w:rsidRPr="001528D0">
        <w:rPr>
          <w:color w:val="012169" w:themeColor="accent4"/>
        </w:rPr>
        <w:t xml:space="preserve"> Victorian gas market</w:t>
      </w:r>
      <w:bookmarkEnd w:id="73"/>
      <w:bookmarkEnd w:id="74"/>
    </w:p>
    <w:p w14:paraId="1A07E634" w14:textId="77777777" w:rsidR="004B5D56" w:rsidRPr="00BF281D" w:rsidRDefault="004B5D56" w:rsidP="004B5D56">
      <w:pPr>
        <w:pStyle w:val="Heading3"/>
      </w:pPr>
      <w:r w:rsidRPr="00BF281D">
        <w:t xml:space="preserve">The Victorian gas </w:t>
      </w:r>
      <w:proofErr w:type="gramStart"/>
      <w:r w:rsidRPr="00BF281D">
        <w:t>market</w:t>
      </w:r>
      <w:proofErr w:type="gramEnd"/>
    </w:p>
    <w:p w14:paraId="3C171CDA" w14:textId="77777777" w:rsidR="004B5D56" w:rsidRPr="00BF281D" w:rsidRDefault="004B5D56" w:rsidP="004B5D56">
      <w:r w:rsidRPr="00BF281D">
        <w:t xml:space="preserve">The Victorian Gas Market, known as the Declared Wholesale Gas Market (DWGM) was established in 1999 to enable competitive, dynamic trading based on injections into, and withdrawals from, the transmission system that links multiple producers, major users, and retailers. The DWGM is supported by production facilities in Gippsland and Port Campbell, and transportation pipelines between Victoria and New South Wales (NSW), South Australia (SA) and Tasmania (TAS). In the 1970s, gas was established as a reliable and cheap energy source in Victoria due to historically large levels of supply from the Otway, </w:t>
      </w:r>
      <w:proofErr w:type="gramStart"/>
      <w:r w:rsidRPr="00BF281D">
        <w:t>Gippsland</w:t>
      </w:r>
      <w:proofErr w:type="gramEnd"/>
      <w:r w:rsidRPr="00BF281D">
        <w:t xml:space="preserve"> and Bass basins.</w:t>
      </w:r>
    </w:p>
    <w:p w14:paraId="5DBAA75E" w14:textId="77777777" w:rsidR="004B5D56" w:rsidRPr="00BF281D" w:rsidRDefault="004B5D56" w:rsidP="004B5D56">
      <w:r w:rsidRPr="00BF281D">
        <w:t xml:space="preserve">However, more recently, Victoria’s ability to meet gas demand from local sources has reduced. This has been due to a moratorium on unconventional petroleum exploration, regulatory restrictions, and an accelerated depletion of traditional gas fields. These factors have led to Victoria relying upon gas supply from Queensland, particularly during peak periods, to meet shortfalls. </w:t>
      </w:r>
    </w:p>
    <w:p w14:paraId="71471AAA" w14:textId="79B9041F" w:rsidR="00B10BC0" w:rsidRDefault="00C5353A" w:rsidP="00C5353A">
      <w:r>
        <w:t>The situation in March 2021 has improved on previous years. The 2021 Victorian Gas Planning Report</w:t>
      </w:r>
      <w:r>
        <w:rPr>
          <w:rStyle w:val="EndnoteReference"/>
        </w:rPr>
        <w:endnoteReference w:id="6"/>
      </w:r>
      <w:r>
        <w:t xml:space="preserve"> now forecasts supply adequacy until at least 2025, a two-year improvement on the 2020 report.</w:t>
      </w:r>
      <w:r w:rsidRPr="00817682">
        <w:rPr>
          <w:rStyle w:val="EndnoteReference"/>
        </w:rPr>
        <w:endnoteReference w:id="7"/>
      </w:r>
      <w:r w:rsidRPr="00817682">
        <w:t xml:space="preserve"> </w:t>
      </w:r>
    </w:p>
    <w:p w14:paraId="1A21D56F" w14:textId="67A94505" w:rsidR="00C5353A" w:rsidRDefault="00C5353A" w:rsidP="00C5353A">
      <w:r>
        <w:lastRenderedPageBreak/>
        <w:t xml:space="preserve">This is </w:t>
      </w:r>
      <w:r w:rsidR="008139BA">
        <w:t>primarily</w:t>
      </w:r>
      <w:r>
        <w:t xml:space="preserve"> a result of the commitment from Australian Industrial Energy to proceed with construction of the 500 terajoule per day liquefied natural gas (LNG) import terminal in Port Kembla. </w:t>
      </w:r>
    </w:p>
    <w:p w14:paraId="7358D60B" w14:textId="63C9B166" w:rsidR="004B5D56" w:rsidRPr="00817682" w:rsidRDefault="004B5D56" w:rsidP="004B5D56">
      <w:r w:rsidRPr="00BF281D">
        <w:t xml:space="preserve">As illustrated in </w:t>
      </w:r>
      <w:r w:rsidR="0087225D">
        <w:t>Chart 1.1</w:t>
      </w:r>
      <w:r w:rsidRPr="00817682">
        <w:t xml:space="preserve"> gas consumption in Victoria is relatively high compared to other states, providing 73% of residential energy use in 2018-2019 </w:t>
      </w:r>
      <w:r w:rsidRPr="00BF281D">
        <w:t>compared to an Australian average of 43%.</w:t>
      </w:r>
      <w:r w:rsidRPr="00817682">
        <w:rPr>
          <w:rStyle w:val="EndnoteReference"/>
        </w:rPr>
        <w:endnoteReference w:id="8"/>
      </w:r>
      <w:r w:rsidRPr="00817682">
        <w:t xml:space="preserve"> This is because in </w:t>
      </w:r>
      <w:r w:rsidR="00B10BC0">
        <w:t xml:space="preserve">the </w:t>
      </w:r>
      <w:r w:rsidRPr="00817682">
        <w:t xml:space="preserve">cold climate, </w:t>
      </w:r>
      <w:r w:rsidR="00972145" w:rsidRPr="00BF281D">
        <w:t>almost all</w:t>
      </w:r>
      <w:r w:rsidRPr="00BF281D">
        <w:t xml:space="preserve"> </w:t>
      </w:r>
      <w:r w:rsidR="00B10BC0">
        <w:t xml:space="preserve">Victorian </w:t>
      </w:r>
      <w:r w:rsidRPr="00BF281D">
        <w:t xml:space="preserve">houses have space heating – whereby central gas heaters with ducting take warm air to multiple rooms. </w:t>
      </w:r>
      <w:r w:rsidR="00460D15" w:rsidRPr="00BF281D">
        <w:t>A large amount</w:t>
      </w:r>
      <w:r w:rsidR="0092529E" w:rsidRPr="00BF281D">
        <w:t xml:space="preserve"> of this heating</w:t>
      </w:r>
      <w:r w:rsidR="00E90DE4" w:rsidRPr="00BF281D">
        <w:t>, including fixed heating, gas log fires and ducted heating</w:t>
      </w:r>
      <w:r w:rsidR="0092529E" w:rsidRPr="00BF281D">
        <w:t xml:space="preserve"> is fuelled by gas</w:t>
      </w:r>
      <w:r w:rsidR="00E90DE4" w:rsidRPr="00BF281D">
        <w:t>.</w:t>
      </w:r>
      <w:r w:rsidRPr="00BF281D">
        <w:t xml:space="preserve"> Almost half of all gas used in Australian homes is used for heating in Victoria.</w:t>
      </w:r>
      <w:r w:rsidRPr="00817682">
        <w:rPr>
          <w:rStyle w:val="EndnoteReference"/>
        </w:rPr>
        <w:endnoteReference w:id="9"/>
      </w:r>
    </w:p>
    <w:p w14:paraId="32184E9F" w14:textId="77777777" w:rsidR="004B5D56" w:rsidRPr="00BF281D" w:rsidRDefault="004B5D56" w:rsidP="004B5D56">
      <w:pPr>
        <w:pStyle w:val="CaptionChart"/>
      </w:pPr>
      <w:bookmarkStart w:id="75" w:name="_Toc68799776"/>
      <w:bookmarkStart w:id="76" w:name="_Toc66354718"/>
      <w:r w:rsidRPr="001528D0" w:rsidDel="00E76E63">
        <w:rPr>
          <w:color w:val="auto"/>
        </w:rPr>
        <w:t xml:space="preserve">: </w:t>
      </w:r>
      <w:r w:rsidRPr="001528D0">
        <w:rPr>
          <w:color w:val="auto"/>
        </w:rPr>
        <w:t>Residential energy use by fuel type, 2018-19.</w:t>
      </w:r>
      <w:bookmarkEnd w:id="75"/>
      <w:bookmarkEnd w:id="76"/>
    </w:p>
    <w:p w14:paraId="698CEF85" w14:textId="77777777" w:rsidR="004B5D56" w:rsidRPr="00817682" w:rsidRDefault="004B5D56" w:rsidP="004B5D56">
      <w:r w:rsidRPr="00817682">
        <w:rPr>
          <w:noProof/>
        </w:rPr>
        <w:drawing>
          <wp:inline distT="0" distB="0" distL="0" distR="0" wp14:anchorId="1FFBFB3B" wp14:editId="3803CABC">
            <wp:extent cx="4572000" cy="2743200"/>
            <wp:effectExtent l="0" t="0" r="0" b="0"/>
            <wp:docPr id="12" name="Chart 12" descr="Diagram. Chart showing residential energy use by fuel type, 2018-19.">
              <a:extLst xmlns:a="http://schemas.openxmlformats.org/drawingml/2006/main">
                <a:ext uri="{FF2B5EF4-FFF2-40B4-BE49-F238E27FC236}">
                  <a16:creationId xmlns:a16="http://schemas.microsoft.com/office/drawing/2014/main" id="{F0454AD8-3C7D-470E-B3E7-2E820B7BD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CD9F46" w14:textId="77777777" w:rsidR="004B5D56" w:rsidRPr="00BF281D" w:rsidRDefault="004B5D56" w:rsidP="004B5D56">
      <w:pPr>
        <w:rPr>
          <w:color w:val="75787B" w:themeColor="accent6"/>
        </w:rPr>
      </w:pPr>
    </w:p>
    <w:p w14:paraId="11643818" w14:textId="77777777" w:rsidR="004B5D56" w:rsidRPr="00BF281D" w:rsidRDefault="004B5D56" w:rsidP="004B5D56">
      <w:pPr>
        <w:rPr>
          <w:color w:val="75787B" w:themeColor="accent6"/>
        </w:rPr>
      </w:pPr>
    </w:p>
    <w:p w14:paraId="4CC8A744" w14:textId="77777777" w:rsidR="004B5D56" w:rsidRPr="00BF281D" w:rsidRDefault="004B5D56" w:rsidP="004B5D56">
      <w:pPr>
        <w:rPr>
          <w:color w:val="75787B" w:themeColor="accent6"/>
        </w:rPr>
      </w:pPr>
    </w:p>
    <w:p w14:paraId="48C5BE89" w14:textId="77777777" w:rsidR="004B5D56" w:rsidRPr="00BF281D" w:rsidRDefault="004B5D56" w:rsidP="004B5D56">
      <w:pPr>
        <w:rPr>
          <w:color w:val="75787B" w:themeColor="accent6"/>
        </w:rPr>
      </w:pPr>
    </w:p>
    <w:p w14:paraId="652B57A6" w14:textId="77777777" w:rsidR="004B5D56" w:rsidRPr="00BF281D" w:rsidRDefault="004B5D56" w:rsidP="004B5D56">
      <w:pPr>
        <w:rPr>
          <w:color w:val="75787B" w:themeColor="accent6"/>
        </w:rPr>
      </w:pPr>
    </w:p>
    <w:p w14:paraId="4ACE58E4" w14:textId="77777777" w:rsidR="004B5D56" w:rsidRPr="00BF281D" w:rsidRDefault="004B5D56" w:rsidP="004B5D56">
      <w:pPr>
        <w:rPr>
          <w:color w:val="75787B" w:themeColor="accent6"/>
        </w:rPr>
      </w:pPr>
    </w:p>
    <w:p w14:paraId="6934F7A5" w14:textId="77777777" w:rsidR="004B5D56" w:rsidRPr="00BF281D" w:rsidRDefault="004B5D56" w:rsidP="004B5D56">
      <w:pPr>
        <w:rPr>
          <w:color w:val="75787B" w:themeColor="accent6"/>
        </w:rPr>
      </w:pPr>
    </w:p>
    <w:p w14:paraId="300D6676" w14:textId="77777777" w:rsidR="004B5D56" w:rsidRPr="00BF281D" w:rsidRDefault="004B5D56" w:rsidP="004B5D56">
      <w:pPr>
        <w:rPr>
          <w:color w:val="75787B" w:themeColor="accent6"/>
        </w:rPr>
      </w:pPr>
    </w:p>
    <w:p w14:paraId="0D207777" w14:textId="77777777" w:rsidR="004B5D56" w:rsidRPr="00BF281D" w:rsidRDefault="004B5D56" w:rsidP="004B5D56">
      <w:pPr>
        <w:rPr>
          <w:color w:val="75787B" w:themeColor="accent6"/>
        </w:rPr>
      </w:pPr>
    </w:p>
    <w:p w14:paraId="3193C55B" w14:textId="77777777" w:rsidR="004B5D56" w:rsidRPr="00BF281D" w:rsidRDefault="004B5D56" w:rsidP="004B5D56">
      <w:pPr>
        <w:rPr>
          <w:color w:val="75787B" w:themeColor="accent6"/>
        </w:rPr>
      </w:pPr>
    </w:p>
    <w:p w14:paraId="3560C89C" w14:textId="01611D46" w:rsidR="004B5D56" w:rsidRPr="00BF281D" w:rsidRDefault="004B5D56" w:rsidP="00134317">
      <w:pPr>
        <w:pStyle w:val="Source"/>
      </w:pPr>
      <w:r w:rsidRPr="001528D0">
        <w:rPr>
          <w:color w:val="auto"/>
        </w:rPr>
        <w:t>Source: Department of Industry, Science, Energy and Resources, Australian Energy Statistics, Table K, October 2020.</w:t>
      </w:r>
    </w:p>
    <w:p w14:paraId="5CFCDD0A" w14:textId="77777777" w:rsidR="004B5D56" w:rsidRPr="00BF281D" w:rsidRDefault="004B5D56" w:rsidP="004B5D56">
      <w:pPr>
        <w:pStyle w:val="Heading3"/>
      </w:pPr>
      <w:bookmarkStart w:id="77" w:name="_Ref64622832"/>
      <w:r w:rsidRPr="00BF281D">
        <w:t>Supply and demand balance</w:t>
      </w:r>
      <w:bookmarkEnd w:id="77"/>
    </w:p>
    <w:p w14:paraId="6BB8B6B3" w14:textId="1EDA2D9F" w:rsidR="004B5D56" w:rsidRPr="00BF281D" w:rsidRDefault="004B5D56" w:rsidP="004B5D56">
      <w:r w:rsidRPr="00BF281D">
        <w:t>Annual gas consumption in Victoria has fluctuated between 210 PJ and 240 PJ over the past six years (refer</w:t>
      </w:r>
      <w:r w:rsidR="0087225D">
        <w:t xml:space="preserve"> Table 1.1</w:t>
      </w:r>
      <w:r w:rsidRPr="00817682">
        <w:t xml:space="preserve">). </w:t>
      </w:r>
    </w:p>
    <w:p w14:paraId="2845EAB6" w14:textId="45D55BB2" w:rsidR="004B5D56" w:rsidRPr="00BF281D" w:rsidRDefault="004B5D56" w:rsidP="004B5D56">
      <w:pPr>
        <w:pStyle w:val="CaptionTable"/>
      </w:pPr>
      <w:bookmarkStart w:id="78" w:name="_Toc68799765"/>
      <w:bookmarkStart w:id="79" w:name="_Toc67663776"/>
      <w:r w:rsidRPr="001528D0">
        <w:rPr>
          <w:color w:val="auto"/>
        </w:rPr>
        <w:lastRenderedPageBreak/>
        <w:t>: Annual gas consumption and peak daily demand from 2014-</w:t>
      </w:r>
      <w:r w:rsidR="0041090C" w:rsidRPr="001528D0">
        <w:rPr>
          <w:color w:val="auto"/>
        </w:rPr>
        <w:t>2020</w:t>
      </w:r>
      <w:r w:rsidRPr="001528D0">
        <w:rPr>
          <w:color w:val="auto"/>
        </w:rPr>
        <w:t>, Victoria.</w:t>
      </w:r>
      <w:bookmarkEnd w:id="78"/>
      <w:bookmarkEnd w:id="79"/>
    </w:p>
    <w:tbl>
      <w:tblPr>
        <w:tblStyle w:val="Deloittetable"/>
        <w:tblW w:w="4944" w:type="pct"/>
        <w:tblLook w:val="04A0" w:firstRow="1" w:lastRow="0" w:firstColumn="1" w:lastColumn="0" w:noHBand="0" w:noVBand="1"/>
      </w:tblPr>
      <w:tblGrid>
        <w:gridCol w:w="3567"/>
        <w:gridCol w:w="924"/>
        <w:gridCol w:w="927"/>
        <w:gridCol w:w="927"/>
        <w:gridCol w:w="927"/>
        <w:gridCol w:w="929"/>
        <w:gridCol w:w="679"/>
        <w:gridCol w:w="679"/>
      </w:tblGrid>
      <w:tr w:rsidR="0091690E" w:rsidRPr="00BF281D" w14:paraId="00822A33" w14:textId="4864F7EF" w:rsidTr="00C73B72">
        <w:trPr>
          <w:cnfStyle w:val="100000000000" w:firstRow="1" w:lastRow="0" w:firstColumn="0" w:lastColumn="0" w:oddVBand="0" w:evenVBand="0" w:oddHBand="0" w:evenHBand="0" w:firstRowFirstColumn="0" w:firstRowLastColumn="0" w:lastRowFirstColumn="0" w:lastRowLastColumn="0"/>
          <w:trHeight w:val="482"/>
        </w:trPr>
        <w:tc>
          <w:tcPr>
            <w:tcW w:w="1865" w:type="pct"/>
            <w:vAlign w:val="center"/>
          </w:tcPr>
          <w:p w14:paraId="1D4A215C" w14:textId="77777777" w:rsidR="0091690E" w:rsidRPr="00BF281D" w:rsidRDefault="0091690E" w:rsidP="00AB61CA">
            <w:pPr>
              <w:spacing w:after="0" w:line="240" w:lineRule="auto"/>
              <w:jc w:val="center"/>
              <w:rPr>
                <w:rFonts w:asciiTheme="minorHAnsi" w:eastAsia="Times New Roman" w:hAnsiTheme="minorHAnsi" w:cs="Calibri"/>
                <w:color w:val="000000"/>
                <w:sz w:val="18"/>
                <w:lang w:eastAsia="en-AU"/>
              </w:rPr>
            </w:pPr>
          </w:p>
        </w:tc>
        <w:tc>
          <w:tcPr>
            <w:tcW w:w="483" w:type="pct"/>
            <w:noWrap/>
            <w:vAlign w:val="center"/>
          </w:tcPr>
          <w:p w14:paraId="3FEE86B6" w14:textId="77777777" w:rsidR="0091690E" w:rsidRPr="00BF281D" w:rsidRDefault="0091690E" w:rsidP="00AB61CA">
            <w:pPr>
              <w:spacing w:after="0" w:line="240" w:lineRule="auto"/>
              <w:jc w:val="center"/>
              <w:rPr>
                <w:rFonts w:asciiTheme="minorHAnsi" w:eastAsia="Times New Roman" w:hAnsiTheme="minorHAnsi" w:cs="Calibri"/>
                <w:b/>
                <w:color w:val="000000"/>
                <w:sz w:val="18"/>
                <w:lang w:eastAsia="en-AU"/>
              </w:rPr>
            </w:pPr>
            <w:r w:rsidRPr="00BF281D">
              <w:rPr>
                <w:rFonts w:asciiTheme="minorHAnsi" w:eastAsia="Times New Roman" w:hAnsiTheme="minorHAnsi" w:cs="Calibri"/>
                <w:b/>
                <w:color w:val="000000"/>
                <w:sz w:val="18"/>
                <w:lang w:eastAsia="en-AU"/>
              </w:rPr>
              <w:t>2014</w:t>
            </w:r>
          </w:p>
        </w:tc>
        <w:tc>
          <w:tcPr>
            <w:tcW w:w="485" w:type="pct"/>
            <w:noWrap/>
            <w:vAlign w:val="center"/>
          </w:tcPr>
          <w:p w14:paraId="3CB2C81D" w14:textId="77777777" w:rsidR="0091690E" w:rsidRPr="00BF281D" w:rsidRDefault="0091690E" w:rsidP="00AB61CA">
            <w:pPr>
              <w:spacing w:after="0" w:line="240" w:lineRule="auto"/>
              <w:jc w:val="center"/>
              <w:rPr>
                <w:rFonts w:asciiTheme="minorHAnsi" w:eastAsia="Times New Roman" w:hAnsiTheme="minorHAnsi" w:cs="Calibri"/>
                <w:b/>
                <w:color w:val="000000"/>
                <w:sz w:val="18"/>
                <w:lang w:eastAsia="en-AU"/>
              </w:rPr>
            </w:pPr>
            <w:r w:rsidRPr="00BF281D">
              <w:rPr>
                <w:rFonts w:asciiTheme="minorHAnsi" w:eastAsia="Times New Roman" w:hAnsiTheme="minorHAnsi" w:cs="Calibri"/>
                <w:b/>
                <w:color w:val="000000"/>
                <w:sz w:val="18"/>
                <w:lang w:eastAsia="en-AU"/>
              </w:rPr>
              <w:t>2015</w:t>
            </w:r>
          </w:p>
        </w:tc>
        <w:tc>
          <w:tcPr>
            <w:tcW w:w="485" w:type="pct"/>
            <w:noWrap/>
            <w:vAlign w:val="center"/>
          </w:tcPr>
          <w:p w14:paraId="31B3CBC4" w14:textId="77777777" w:rsidR="0091690E" w:rsidRPr="00BF281D" w:rsidRDefault="0091690E" w:rsidP="00AB61CA">
            <w:pPr>
              <w:spacing w:after="0" w:line="240" w:lineRule="auto"/>
              <w:jc w:val="center"/>
              <w:rPr>
                <w:rFonts w:asciiTheme="minorHAnsi" w:eastAsia="Times New Roman" w:hAnsiTheme="minorHAnsi" w:cs="Calibri"/>
                <w:b/>
                <w:color w:val="000000"/>
                <w:sz w:val="18"/>
                <w:lang w:eastAsia="en-AU"/>
              </w:rPr>
            </w:pPr>
            <w:r w:rsidRPr="00BF281D">
              <w:rPr>
                <w:rFonts w:asciiTheme="minorHAnsi" w:eastAsia="Times New Roman" w:hAnsiTheme="minorHAnsi" w:cs="Calibri"/>
                <w:b/>
                <w:color w:val="000000"/>
                <w:sz w:val="18"/>
                <w:lang w:eastAsia="en-AU"/>
              </w:rPr>
              <w:t>2016</w:t>
            </w:r>
          </w:p>
        </w:tc>
        <w:tc>
          <w:tcPr>
            <w:tcW w:w="485" w:type="pct"/>
            <w:noWrap/>
            <w:vAlign w:val="center"/>
          </w:tcPr>
          <w:p w14:paraId="599CDFC4" w14:textId="77777777" w:rsidR="0091690E" w:rsidRPr="00BF281D" w:rsidRDefault="0091690E" w:rsidP="00AB61CA">
            <w:pPr>
              <w:spacing w:after="0" w:line="240" w:lineRule="auto"/>
              <w:jc w:val="center"/>
              <w:rPr>
                <w:rFonts w:asciiTheme="minorHAnsi" w:eastAsia="Times New Roman" w:hAnsiTheme="minorHAnsi" w:cs="Calibri"/>
                <w:b/>
                <w:color w:val="000000"/>
                <w:sz w:val="18"/>
                <w:lang w:eastAsia="en-AU"/>
              </w:rPr>
            </w:pPr>
            <w:r w:rsidRPr="00BF281D">
              <w:rPr>
                <w:rFonts w:asciiTheme="minorHAnsi" w:eastAsia="Times New Roman" w:hAnsiTheme="minorHAnsi" w:cs="Calibri"/>
                <w:b/>
                <w:color w:val="000000"/>
                <w:sz w:val="18"/>
                <w:lang w:eastAsia="en-AU"/>
              </w:rPr>
              <w:t>2017</w:t>
            </w:r>
          </w:p>
        </w:tc>
        <w:tc>
          <w:tcPr>
            <w:tcW w:w="486" w:type="pct"/>
            <w:noWrap/>
            <w:vAlign w:val="center"/>
          </w:tcPr>
          <w:p w14:paraId="72413991" w14:textId="77777777" w:rsidR="0091690E" w:rsidRPr="00BF281D" w:rsidRDefault="0091690E" w:rsidP="00AB61CA">
            <w:pPr>
              <w:spacing w:after="0" w:line="240" w:lineRule="auto"/>
              <w:jc w:val="center"/>
              <w:rPr>
                <w:rFonts w:asciiTheme="minorHAnsi" w:eastAsia="Times New Roman" w:hAnsiTheme="minorHAnsi" w:cs="Calibri"/>
                <w:b/>
                <w:color w:val="000000"/>
                <w:sz w:val="18"/>
                <w:lang w:eastAsia="en-AU"/>
              </w:rPr>
            </w:pPr>
            <w:r w:rsidRPr="00BF281D">
              <w:rPr>
                <w:rFonts w:asciiTheme="minorHAnsi" w:eastAsia="Times New Roman" w:hAnsiTheme="minorHAnsi" w:cs="Calibri"/>
                <w:b/>
                <w:color w:val="000000"/>
                <w:sz w:val="18"/>
                <w:lang w:eastAsia="en-AU"/>
              </w:rPr>
              <w:t>2018</w:t>
            </w:r>
          </w:p>
        </w:tc>
        <w:tc>
          <w:tcPr>
            <w:tcW w:w="355" w:type="pct"/>
            <w:noWrap/>
            <w:vAlign w:val="center"/>
          </w:tcPr>
          <w:p w14:paraId="28B23211" w14:textId="1688FA85" w:rsidR="0091690E" w:rsidRPr="00C73B72" w:rsidRDefault="0091690E" w:rsidP="0091690E">
            <w:pPr>
              <w:spacing w:after="0" w:line="240" w:lineRule="auto"/>
              <w:jc w:val="center"/>
              <w:rPr>
                <w:rFonts w:asciiTheme="minorHAnsi" w:hAnsiTheme="minorHAnsi"/>
                <w:b/>
                <w:color w:val="000000"/>
              </w:rPr>
            </w:pPr>
            <w:r w:rsidRPr="00BF281D">
              <w:rPr>
                <w:rFonts w:asciiTheme="minorHAnsi" w:eastAsia="Times New Roman" w:hAnsiTheme="minorHAnsi" w:cs="Calibri"/>
                <w:b/>
                <w:color w:val="000000"/>
                <w:sz w:val="18"/>
                <w:lang w:eastAsia="en-AU"/>
              </w:rPr>
              <w:t>2019</w:t>
            </w:r>
          </w:p>
        </w:tc>
        <w:tc>
          <w:tcPr>
            <w:tcW w:w="355" w:type="pct"/>
            <w:vAlign w:val="center"/>
          </w:tcPr>
          <w:p w14:paraId="4B4A67EF" w14:textId="1AD9349A" w:rsidR="0091690E" w:rsidRPr="00BF281D" w:rsidRDefault="0091690E" w:rsidP="00AB61CA">
            <w:pPr>
              <w:spacing w:after="0" w:line="240" w:lineRule="auto"/>
              <w:jc w:val="center"/>
              <w:rPr>
                <w:rFonts w:asciiTheme="minorHAnsi" w:eastAsia="Times New Roman" w:hAnsiTheme="minorHAnsi" w:cs="Calibri"/>
                <w:b/>
                <w:color w:val="000000"/>
                <w:sz w:val="18"/>
                <w:lang w:eastAsia="en-AU"/>
              </w:rPr>
            </w:pPr>
            <w:r>
              <w:rPr>
                <w:rFonts w:asciiTheme="minorHAnsi" w:eastAsia="Times New Roman" w:hAnsiTheme="minorHAnsi" w:cs="Calibri"/>
                <w:b/>
                <w:color w:val="000000"/>
                <w:sz w:val="18"/>
                <w:lang w:eastAsia="en-AU"/>
              </w:rPr>
              <w:t>2020</w:t>
            </w:r>
          </w:p>
        </w:tc>
      </w:tr>
      <w:tr w:rsidR="0091690E" w:rsidRPr="00BF281D" w14:paraId="07F0E54B" w14:textId="6B68753F" w:rsidTr="00C73B72">
        <w:trPr>
          <w:trHeight w:val="492"/>
        </w:trPr>
        <w:tc>
          <w:tcPr>
            <w:tcW w:w="1865" w:type="pct"/>
            <w:vAlign w:val="center"/>
            <w:hideMark/>
          </w:tcPr>
          <w:p w14:paraId="1C9988FF" w14:textId="77777777" w:rsidR="0091690E" w:rsidRPr="00BF281D" w:rsidRDefault="0091690E" w:rsidP="00AB61CA">
            <w:pPr>
              <w:spacing w:after="0" w:line="240" w:lineRule="auto"/>
              <w:rPr>
                <w:rFonts w:asciiTheme="minorHAnsi" w:eastAsia="Times New Roman" w:hAnsiTheme="minorHAnsi" w:cs="Calibri"/>
                <w:color w:val="000000"/>
                <w:sz w:val="18"/>
                <w:lang w:eastAsia="en-AU"/>
              </w:rPr>
            </w:pPr>
            <w:r w:rsidRPr="00BF281D">
              <w:rPr>
                <w:rFonts w:asciiTheme="minorHAnsi" w:eastAsia="Times New Roman" w:hAnsiTheme="minorHAnsi" w:cs="Calibri"/>
                <w:color w:val="000000"/>
                <w:sz w:val="18"/>
                <w:lang w:eastAsia="en-AU"/>
              </w:rPr>
              <w:t>Total Victorian Consumption (PJ)</w:t>
            </w:r>
          </w:p>
        </w:tc>
        <w:tc>
          <w:tcPr>
            <w:tcW w:w="483" w:type="pct"/>
            <w:noWrap/>
            <w:vAlign w:val="center"/>
            <w:hideMark/>
          </w:tcPr>
          <w:p w14:paraId="49296765" w14:textId="77777777" w:rsidR="0091690E" w:rsidRPr="00BF281D" w:rsidRDefault="0091690E" w:rsidP="00AB61CA">
            <w:pPr>
              <w:spacing w:after="0" w:line="240" w:lineRule="auto"/>
              <w:jc w:val="center"/>
              <w:rPr>
                <w:rFonts w:asciiTheme="minorHAnsi" w:eastAsia="Times New Roman" w:hAnsiTheme="minorHAnsi" w:cs="Calibri"/>
                <w:color w:val="000000"/>
                <w:sz w:val="18"/>
                <w:lang w:eastAsia="en-AU"/>
              </w:rPr>
            </w:pPr>
            <w:r w:rsidRPr="00BF281D">
              <w:rPr>
                <w:rFonts w:asciiTheme="minorHAnsi" w:eastAsia="Times New Roman" w:hAnsiTheme="minorHAnsi" w:cs="Calibri"/>
                <w:color w:val="000000"/>
                <w:sz w:val="18"/>
                <w:lang w:eastAsia="en-AU"/>
              </w:rPr>
              <w:t>217</w:t>
            </w:r>
          </w:p>
        </w:tc>
        <w:tc>
          <w:tcPr>
            <w:tcW w:w="485" w:type="pct"/>
            <w:noWrap/>
            <w:vAlign w:val="center"/>
            <w:hideMark/>
          </w:tcPr>
          <w:p w14:paraId="54705AFB" w14:textId="77777777" w:rsidR="0091690E" w:rsidRPr="00BF281D" w:rsidRDefault="0091690E" w:rsidP="00AB61CA">
            <w:pPr>
              <w:spacing w:after="0" w:line="240" w:lineRule="auto"/>
              <w:jc w:val="center"/>
              <w:rPr>
                <w:rFonts w:asciiTheme="minorHAnsi" w:eastAsia="Times New Roman" w:hAnsiTheme="minorHAnsi" w:cs="Calibri"/>
                <w:color w:val="000000"/>
                <w:sz w:val="18"/>
                <w:lang w:eastAsia="en-AU"/>
              </w:rPr>
            </w:pPr>
            <w:r w:rsidRPr="00BF281D">
              <w:rPr>
                <w:rFonts w:asciiTheme="minorHAnsi" w:eastAsia="Times New Roman" w:hAnsiTheme="minorHAnsi" w:cs="Calibri"/>
                <w:color w:val="000000"/>
                <w:sz w:val="18"/>
                <w:lang w:eastAsia="en-AU"/>
              </w:rPr>
              <w:t>218</w:t>
            </w:r>
          </w:p>
        </w:tc>
        <w:tc>
          <w:tcPr>
            <w:tcW w:w="485" w:type="pct"/>
            <w:noWrap/>
            <w:vAlign w:val="center"/>
            <w:hideMark/>
          </w:tcPr>
          <w:p w14:paraId="755F23B3" w14:textId="77777777" w:rsidR="0091690E" w:rsidRPr="00BF281D" w:rsidRDefault="0091690E" w:rsidP="00AB61CA">
            <w:pPr>
              <w:spacing w:after="0" w:line="240" w:lineRule="auto"/>
              <w:jc w:val="center"/>
              <w:rPr>
                <w:rFonts w:asciiTheme="minorHAnsi" w:eastAsia="Times New Roman" w:hAnsiTheme="minorHAnsi" w:cs="Calibri"/>
                <w:color w:val="000000"/>
                <w:sz w:val="18"/>
                <w:lang w:eastAsia="en-AU"/>
              </w:rPr>
            </w:pPr>
            <w:r w:rsidRPr="00BF281D">
              <w:rPr>
                <w:rFonts w:asciiTheme="minorHAnsi" w:eastAsia="Times New Roman" w:hAnsiTheme="minorHAnsi" w:cs="Calibri"/>
                <w:color w:val="000000"/>
                <w:sz w:val="18"/>
                <w:lang w:eastAsia="en-AU"/>
              </w:rPr>
              <w:t>211</w:t>
            </w:r>
          </w:p>
        </w:tc>
        <w:tc>
          <w:tcPr>
            <w:tcW w:w="485" w:type="pct"/>
            <w:noWrap/>
            <w:vAlign w:val="center"/>
            <w:hideMark/>
          </w:tcPr>
          <w:p w14:paraId="5DE98608" w14:textId="77777777" w:rsidR="0091690E" w:rsidRPr="00BF281D" w:rsidRDefault="0091690E" w:rsidP="00AB61CA">
            <w:pPr>
              <w:spacing w:after="0" w:line="240" w:lineRule="auto"/>
              <w:jc w:val="center"/>
              <w:rPr>
                <w:rFonts w:asciiTheme="minorHAnsi" w:eastAsia="Times New Roman" w:hAnsiTheme="minorHAnsi" w:cs="Calibri"/>
                <w:color w:val="000000"/>
                <w:sz w:val="18"/>
                <w:lang w:eastAsia="en-AU"/>
              </w:rPr>
            </w:pPr>
            <w:r w:rsidRPr="00BF281D">
              <w:rPr>
                <w:rFonts w:asciiTheme="minorHAnsi" w:eastAsia="Times New Roman" w:hAnsiTheme="minorHAnsi" w:cs="Calibri"/>
                <w:color w:val="000000"/>
                <w:sz w:val="18"/>
                <w:lang w:eastAsia="en-AU"/>
              </w:rPr>
              <w:t>241</w:t>
            </w:r>
          </w:p>
        </w:tc>
        <w:tc>
          <w:tcPr>
            <w:tcW w:w="486" w:type="pct"/>
            <w:noWrap/>
            <w:vAlign w:val="center"/>
            <w:hideMark/>
          </w:tcPr>
          <w:p w14:paraId="62C7D26C" w14:textId="77777777" w:rsidR="0091690E" w:rsidRPr="00BF281D" w:rsidRDefault="0091690E" w:rsidP="00AB61CA">
            <w:pPr>
              <w:spacing w:after="0" w:line="240" w:lineRule="auto"/>
              <w:jc w:val="center"/>
              <w:rPr>
                <w:rFonts w:asciiTheme="minorHAnsi" w:eastAsia="Times New Roman" w:hAnsiTheme="minorHAnsi" w:cs="Calibri"/>
                <w:color w:val="000000"/>
                <w:sz w:val="18"/>
                <w:lang w:eastAsia="en-AU"/>
              </w:rPr>
            </w:pPr>
            <w:r w:rsidRPr="00BF281D">
              <w:rPr>
                <w:rFonts w:asciiTheme="minorHAnsi" w:eastAsia="Times New Roman" w:hAnsiTheme="minorHAnsi" w:cs="Calibri"/>
                <w:color w:val="000000"/>
                <w:sz w:val="18"/>
                <w:lang w:eastAsia="en-AU"/>
              </w:rPr>
              <w:t>220</w:t>
            </w:r>
          </w:p>
        </w:tc>
        <w:tc>
          <w:tcPr>
            <w:tcW w:w="355" w:type="pct"/>
            <w:noWrap/>
            <w:vAlign w:val="center"/>
            <w:hideMark/>
          </w:tcPr>
          <w:p w14:paraId="1E8A30B0" w14:textId="22ACCB97" w:rsidR="0091690E" w:rsidRPr="00C73B72" w:rsidRDefault="0091690E" w:rsidP="00AB61CA">
            <w:pPr>
              <w:spacing w:after="0" w:line="240" w:lineRule="auto"/>
              <w:jc w:val="center"/>
              <w:rPr>
                <w:rFonts w:asciiTheme="minorHAnsi" w:hAnsiTheme="minorHAnsi"/>
                <w:color w:val="000000"/>
              </w:rPr>
            </w:pPr>
            <w:r>
              <w:rPr>
                <w:rFonts w:asciiTheme="minorHAnsi" w:eastAsia="Times New Roman" w:hAnsiTheme="minorHAnsi" w:cs="Calibri"/>
                <w:color w:val="000000"/>
                <w:lang w:eastAsia="en-AU"/>
              </w:rPr>
              <w:t>232</w:t>
            </w:r>
          </w:p>
        </w:tc>
        <w:tc>
          <w:tcPr>
            <w:tcW w:w="355" w:type="pct"/>
            <w:vAlign w:val="center"/>
          </w:tcPr>
          <w:p w14:paraId="26E05A32" w14:textId="348013AF" w:rsidR="0091690E" w:rsidRPr="00BF281D" w:rsidRDefault="0091690E" w:rsidP="00AB61CA">
            <w:pPr>
              <w:spacing w:after="0" w:line="240" w:lineRule="auto"/>
              <w:jc w:val="center"/>
              <w:rPr>
                <w:rFonts w:asciiTheme="minorHAnsi" w:eastAsia="Times New Roman" w:hAnsiTheme="minorHAnsi" w:cs="Calibri"/>
                <w:color w:val="000000"/>
                <w:sz w:val="18"/>
                <w:lang w:eastAsia="en-AU"/>
              </w:rPr>
            </w:pPr>
            <w:r>
              <w:rPr>
                <w:rFonts w:asciiTheme="minorHAnsi" w:eastAsia="Times New Roman" w:hAnsiTheme="minorHAnsi" w:cs="Calibri"/>
                <w:color w:val="000000"/>
                <w:sz w:val="18"/>
                <w:lang w:eastAsia="en-AU"/>
              </w:rPr>
              <w:t>220</w:t>
            </w:r>
          </w:p>
        </w:tc>
      </w:tr>
      <w:tr w:rsidR="0091690E" w:rsidRPr="00BF281D" w14:paraId="51DDBCDB" w14:textId="0D9A3299" w:rsidTr="00C73B72">
        <w:trPr>
          <w:trHeight w:val="471"/>
        </w:trPr>
        <w:tc>
          <w:tcPr>
            <w:tcW w:w="1865" w:type="pct"/>
            <w:vAlign w:val="center"/>
            <w:hideMark/>
          </w:tcPr>
          <w:p w14:paraId="3F991968" w14:textId="77777777" w:rsidR="0091690E" w:rsidRPr="00BF281D" w:rsidRDefault="0091690E" w:rsidP="00AB61CA">
            <w:pPr>
              <w:spacing w:after="0" w:line="240" w:lineRule="auto"/>
              <w:rPr>
                <w:rFonts w:asciiTheme="minorHAnsi" w:eastAsia="Times New Roman" w:hAnsiTheme="minorHAnsi" w:cs="Calibri"/>
                <w:color w:val="000000"/>
                <w:sz w:val="18"/>
                <w:lang w:eastAsia="en-AU"/>
              </w:rPr>
            </w:pPr>
            <w:r w:rsidRPr="00BF281D">
              <w:rPr>
                <w:rFonts w:asciiTheme="minorHAnsi" w:eastAsia="Times New Roman" w:hAnsiTheme="minorHAnsi" w:cs="Calibri"/>
                <w:color w:val="000000"/>
                <w:sz w:val="18"/>
                <w:lang w:eastAsia="en-AU"/>
              </w:rPr>
              <w:t>Actual DTS peak total Demand (TJ/d)</w:t>
            </w:r>
          </w:p>
        </w:tc>
        <w:tc>
          <w:tcPr>
            <w:tcW w:w="483" w:type="pct"/>
            <w:noWrap/>
            <w:vAlign w:val="center"/>
            <w:hideMark/>
          </w:tcPr>
          <w:p w14:paraId="6F70763B" w14:textId="77777777" w:rsidR="0091690E" w:rsidRPr="00BF281D" w:rsidRDefault="0091690E" w:rsidP="00AB61CA">
            <w:pPr>
              <w:spacing w:after="0" w:line="240" w:lineRule="auto"/>
              <w:jc w:val="center"/>
              <w:rPr>
                <w:rFonts w:asciiTheme="minorHAnsi" w:eastAsia="Times New Roman" w:hAnsiTheme="minorHAnsi" w:cs="Calibri"/>
                <w:color w:val="000000"/>
                <w:sz w:val="18"/>
                <w:lang w:eastAsia="en-AU"/>
              </w:rPr>
            </w:pPr>
            <w:r w:rsidRPr="00BF281D">
              <w:rPr>
                <w:rFonts w:asciiTheme="minorHAnsi" w:eastAsia="Times New Roman" w:hAnsiTheme="minorHAnsi" w:cs="Calibri"/>
                <w:color w:val="000000"/>
                <w:sz w:val="18"/>
                <w:lang w:eastAsia="en-AU"/>
              </w:rPr>
              <w:t>1,214</w:t>
            </w:r>
          </w:p>
        </w:tc>
        <w:tc>
          <w:tcPr>
            <w:tcW w:w="485" w:type="pct"/>
            <w:noWrap/>
            <w:vAlign w:val="center"/>
            <w:hideMark/>
          </w:tcPr>
          <w:p w14:paraId="4874B244" w14:textId="77777777" w:rsidR="0091690E" w:rsidRPr="00BF281D" w:rsidRDefault="0091690E" w:rsidP="00AB61CA">
            <w:pPr>
              <w:spacing w:after="0" w:line="240" w:lineRule="auto"/>
              <w:jc w:val="center"/>
              <w:rPr>
                <w:rFonts w:asciiTheme="minorHAnsi" w:eastAsia="Times New Roman" w:hAnsiTheme="minorHAnsi" w:cs="Calibri"/>
                <w:color w:val="000000"/>
                <w:sz w:val="18"/>
                <w:lang w:eastAsia="en-AU"/>
              </w:rPr>
            </w:pPr>
            <w:r w:rsidRPr="00BF281D">
              <w:rPr>
                <w:rFonts w:asciiTheme="minorHAnsi" w:eastAsia="Times New Roman" w:hAnsiTheme="minorHAnsi" w:cs="Calibri"/>
                <w:color w:val="000000"/>
                <w:sz w:val="18"/>
                <w:lang w:eastAsia="en-AU"/>
              </w:rPr>
              <w:t>1,179</w:t>
            </w:r>
          </w:p>
        </w:tc>
        <w:tc>
          <w:tcPr>
            <w:tcW w:w="485" w:type="pct"/>
            <w:noWrap/>
            <w:vAlign w:val="center"/>
            <w:hideMark/>
          </w:tcPr>
          <w:p w14:paraId="3FE7A5DB" w14:textId="77777777" w:rsidR="0091690E" w:rsidRPr="00BF281D" w:rsidRDefault="0091690E" w:rsidP="00AB61CA">
            <w:pPr>
              <w:spacing w:after="0" w:line="240" w:lineRule="auto"/>
              <w:jc w:val="center"/>
              <w:rPr>
                <w:rFonts w:asciiTheme="minorHAnsi" w:eastAsia="Times New Roman" w:hAnsiTheme="minorHAnsi" w:cs="Calibri"/>
                <w:color w:val="000000"/>
                <w:sz w:val="18"/>
                <w:lang w:eastAsia="en-AU"/>
              </w:rPr>
            </w:pPr>
            <w:r w:rsidRPr="00BF281D">
              <w:rPr>
                <w:rFonts w:asciiTheme="minorHAnsi" w:eastAsia="Times New Roman" w:hAnsiTheme="minorHAnsi" w:cs="Calibri"/>
                <w:color w:val="000000"/>
                <w:sz w:val="18"/>
                <w:lang w:eastAsia="en-AU"/>
              </w:rPr>
              <w:t>1,187</w:t>
            </w:r>
          </w:p>
        </w:tc>
        <w:tc>
          <w:tcPr>
            <w:tcW w:w="485" w:type="pct"/>
            <w:noWrap/>
            <w:vAlign w:val="center"/>
            <w:hideMark/>
          </w:tcPr>
          <w:p w14:paraId="34D2A384" w14:textId="77777777" w:rsidR="0091690E" w:rsidRPr="00BF281D" w:rsidRDefault="0091690E" w:rsidP="00AB61CA">
            <w:pPr>
              <w:spacing w:after="0" w:line="240" w:lineRule="auto"/>
              <w:jc w:val="center"/>
              <w:rPr>
                <w:rFonts w:asciiTheme="minorHAnsi" w:eastAsia="Times New Roman" w:hAnsiTheme="minorHAnsi" w:cs="Calibri"/>
                <w:color w:val="000000"/>
                <w:sz w:val="18"/>
                <w:lang w:eastAsia="en-AU"/>
              </w:rPr>
            </w:pPr>
            <w:r w:rsidRPr="00BF281D">
              <w:rPr>
                <w:rFonts w:asciiTheme="minorHAnsi" w:eastAsia="Times New Roman" w:hAnsiTheme="minorHAnsi" w:cs="Calibri"/>
                <w:color w:val="000000"/>
                <w:sz w:val="18"/>
                <w:lang w:eastAsia="en-AU"/>
              </w:rPr>
              <w:t>1,279</w:t>
            </w:r>
          </w:p>
        </w:tc>
        <w:tc>
          <w:tcPr>
            <w:tcW w:w="486" w:type="pct"/>
            <w:noWrap/>
            <w:vAlign w:val="center"/>
            <w:hideMark/>
          </w:tcPr>
          <w:p w14:paraId="0FD7DA72" w14:textId="77777777" w:rsidR="0091690E" w:rsidRPr="00BF281D" w:rsidRDefault="0091690E" w:rsidP="00AB61CA">
            <w:pPr>
              <w:spacing w:after="0" w:line="240" w:lineRule="auto"/>
              <w:jc w:val="center"/>
              <w:rPr>
                <w:rFonts w:asciiTheme="minorHAnsi" w:eastAsia="Times New Roman" w:hAnsiTheme="minorHAnsi" w:cs="Calibri"/>
                <w:color w:val="000000"/>
                <w:sz w:val="18"/>
                <w:lang w:eastAsia="en-AU"/>
              </w:rPr>
            </w:pPr>
            <w:r w:rsidRPr="00BF281D">
              <w:rPr>
                <w:rFonts w:asciiTheme="minorHAnsi" w:eastAsia="Times New Roman" w:hAnsiTheme="minorHAnsi" w:cs="Calibri"/>
                <w:color w:val="000000"/>
                <w:sz w:val="18"/>
                <w:lang w:eastAsia="en-AU"/>
              </w:rPr>
              <w:t>1,132</w:t>
            </w:r>
          </w:p>
        </w:tc>
        <w:tc>
          <w:tcPr>
            <w:tcW w:w="355" w:type="pct"/>
            <w:noWrap/>
            <w:vAlign w:val="center"/>
            <w:hideMark/>
          </w:tcPr>
          <w:p w14:paraId="5001082F" w14:textId="6A840E81" w:rsidR="0091690E" w:rsidRPr="00C73B72" w:rsidRDefault="0091690E" w:rsidP="00AB61CA">
            <w:pPr>
              <w:spacing w:after="0" w:line="240" w:lineRule="auto"/>
              <w:jc w:val="center"/>
              <w:rPr>
                <w:rFonts w:asciiTheme="minorHAnsi" w:hAnsiTheme="minorHAnsi"/>
                <w:color w:val="000000"/>
              </w:rPr>
            </w:pPr>
            <w:r>
              <w:rPr>
                <w:rFonts w:asciiTheme="minorHAnsi" w:hAnsiTheme="minorHAnsi"/>
                <w:color w:val="000000"/>
              </w:rPr>
              <w:t>1,308</w:t>
            </w:r>
          </w:p>
        </w:tc>
        <w:tc>
          <w:tcPr>
            <w:tcW w:w="355" w:type="pct"/>
            <w:vAlign w:val="center"/>
          </w:tcPr>
          <w:p w14:paraId="66E3F292" w14:textId="6BC9DEB0" w:rsidR="0091690E" w:rsidRPr="00BF281D" w:rsidRDefault="00D000A4" w:rsidP="00AB61CA">
            <w:pPr>
              <w:spacing w:after="0" w:line="240" w:lineRule="auto"/>
              <w:jc w:val="center"/>
              <w:rPr>
                <w:rFonts w:asciiTheme="minorHAnsi" w:eastAsia="Times New Roman" w:hAnsiTheme="minorHAnsi" w:cs="Calibri"/>
                <w:color w:val="000000"/>
                <w:sz w:val="18"/>
                <w:lang w:eastAsia="en-AU"/>
              </w:rPr>
            </w:pPr>
            <w:r>
              <w:rPr>
                <w:rFonts w:asciiTheme="minorHAnsi" w:eastAsia="Times New Roman" w:hAnsiTheme="minorHAnsi" w:cs="Calibri"/>
                <w:color w:val="000000"/>
                <w:sz w:val="18"/>
                <w:lang w:eastAsia="en-AU"/>
              </w:rPr>
              <w:t>NA</w:t>
            </w:r>
          </w:p>
        </w:tc>
      </w:tr>
    </w:tbl>
    <w:p w14:paraId="42A2F407" w14:textId="5A0B2A8F" w:rsidR="004B5D56" w:rsidRPr="00BF281D" w:rsidRDefault="004B5D56" w:rsidP="004B5D56">
      <w:pPr>
        <w:pStyle w:val="Source"/>
      </w:pPr>
      <w:r w:rsidRPr="001528D0">
        <w:rPr>
          <w:color w:val="auto"/>
        </w:rPr>
        <w:t>Source: AEMO (202</w:t>
      </w:r>
      <w:r w:rsidR="00D000A4" w:rsidRPr="001528D0">
        <w:rPr>
          <w:color w:val="auto"/>
        </w:rPr>
        <w:t>1</w:t>
      </w:r>
      <w:r w:rsidRPr="001528D0">
        <w:rPr>
          <w:color w:val="auto"/>
        </w:rPr>
        <w:t xml:space="preserve">) </w:t>
      </w:r>
    </w:p>
    <w:p w14:paraId="00787B8D" w14:textId="461C9CF6" w:rsidR="004B5D56" w:rsidRPr="00BF281D" w:rsidRDefault="004B5D56" w:rsidP="004B5D56">
      <w:r w:rsidRPr="00BF281D">
        <w:t xml:space="preserve">While current forecasts demonstrate that Victorian gas production should meet annual demand </w:t>
      </w:r>
      <w:r w:rsidR="00AF2B3C">
        <w:t>until</w:t>
      </w:r>
      <w:r w:rsidRPr="00BF281D">
        <w:t xml:space="preserve"> 202</w:t>
      </w:r>
      <w:r w:rsidR="00AF2B3C">
        <w:t>5</w:t>
      </w:r>
      <w:r w:rsidRPr="00BF281D">
        <w:t>, the supply-demand balance is tightening. AEMO has previously highlighted the possibility of gas shortfalls in the future.</w:t>
      </w:r>
      <w:r w:rsidRPr="00817682">
        <w:rPr>
          <w:rStyle w:val="EndnoteReference"/>
        </w:rPr>
        <w:endnoteReference w:id="10"/>
      </w:r>
      <w:r w:rsidRPr="00817682">
        <w:t xml:space="preserve"> This tightening supply-demand balance is expected to be exacerbated in winter when consumption (25-30 PJ/month) can reach up to three times the monthly consumption </w:t>
      </w:r>
      <w:r w:rsidR="00576E59">
        <w:t>of</w:t>
      </w:r>
      <w:r w:rsidRPr="00817682">
        <w:t xml:space="preserve"> summer (10 PJ/m</w:t>
      </w:r>
      <w:r w:rsidRPr="00BF281D">
        <w:t>onth).</w:t>
      </w:r>
      <w:r w:rsidRPr="00817682">
        <w:rPr>
          <w:rStyle w:val="EndnoteReference"/>
        </w:rPr>
        <w:endnoteReference w:id="11"/>
      </w:r>
      <w:r w:rsidRPr="00817682">
        <w:rPr>
          <w:color w:val="FF0000"/>
        </w:rPr>
        <w:t xml:space="preserve"> </w:t>
      </w:r>
      <w:r w:rsidR="00056762">
        <w:t xml:space="preserve">Even with </w:t>
      </w:r>
      <w:r w:rsidR="001A3FC4">
        <w:t>the added capacity of the Port Kembla import terminal, peak supply capacity is forecast to reduce from 1,5</w:t>
      </w:r>
      <w:r w:rsidR="00263BCA">
        <w:t>85TJ/d to 1,378TJ/d in 2025.</w:t>
      </w:r>
    </w:p>
    <w:p w14:paraId="6D15D45C" w14:textId="32B4D46A" w:rsidR="00E203CF" w:rsidRDefault="00C34EE1" w:rsidP="004B5D56">
      <w:r>
        <w:t>Over the next five years, Victorian gas consumption is expected to slightly decrease from 220PJ in 2020 to 192PJ in 2025</w:t>
      </w:r>
      <w:r w:rsidR="00DB51CE" w:rsidRPr="00BF281D">
        <w:t xml:space="preserve"> (refer Table 1.1 and Table 1.2)</w:t>
      </w:r>
      <w:r>
        <w:t xml:space="preserve">. </w:t>
      </w:r>
      <w:r w:rsidR="00E26475">
        <w:t xml:space="preserve">Consumption forecasts have been downgraded between the 2020 and 2021 VGPR. </w:t>
      </w:r>
    </w:p>
    <w:p w14:paraId="114BA779" w14:textId="77777777" w:rsidR="004B5D56" w:rsidRPr="00BF281D" w:rsidRDefault="004B5D56" w:rsidP="004B5D56">
      <w:pPr>
        <w:pStyle w:val="CaptionTable"/>
      </w:pPr>
      <w:bookmarkStart w:id="80" w:name="_Toc68799766"/>
      <w:bookmarkStart w:id="81" w:name="_Toc68799767"/>
      <w:bookmarkStart w:id="82" w:name="_Toc67663777"/>
      <w:bookmarkEnd w:id="80"/>
      <w:r w:rsidRPr="001528D0">
        <w:rPr>
          <w:color w:val="auto"/>
        </w:rPr>
        <w:t>: Annual gas supply and consumption forecast for 2020-2024, Victoria.</w:t>
      </w:r>
      <w:bookmarkEnd w:id="81"/>
      <w:bookmarkEnd w:id="82"/>
    </w:p>
    <w:tbl>
      <w:tblPr>
        <w:tblStyle w:val="Deloittetable"/>
        <w:tblW w:w="4792" w:type="pct"/>
        <w:tblLook w:val="04A0" w:firstRow="1" w:lastRow="0" w:firstColumn="1" w:lastColumn="0" w:noHBand="0" w:noVBand="1"/>
      </w:tblPr>
      <w:tblGrid>
        <w:gridCol w:w="3506"/>
        <w:gridCol w:w="1301"/>
        <w:gridCol w:w="1301"/>
        <w:gridCol w:w="1302"/>
        <w:gridCol w:w="561"/>
        <w:gridCol w:w="1294"/>
      </w:tblGrid>
      <w:tr w:rsidR="004B5D56" w:rsidRPr="00BF281D" w14:paraId="50EE5D0D" w14:textId="77777777" w:rsidTr="00C73B72">
        <w:trPr>
          <w:cnfStyle w:val="100000000000" w:firstRow="1" w:lastRow="0" w:firstColumn="0" w:lastColumn="0" w:oddVBand="0" w:evenVBand="0" w:oddHBand="0" w:evenHBand="0" w:firstRowFirstColumn="0" w:firstRowLastColumn="0" w:lastRowFirstColumn="0" w:lastRowLastColumn="0"/>
          <w:trHeight w:val="381"/>
          <w:tblHeader/>
        </w:trPr>
        <w:tc>
          <w:tcPr>
            <w:tcW w:w="1695" w:type="pct"/>
          </w:tcPr>
          <w:p w14:paraId="1E6482DF" w14:textId="77777777" w:rsidR="004B5D56" w:rsidRPr="00BF281D" w:rsidRDefault="004B5D56" w:rsidP="00AB61CA">
            <w:pPr>
              <w:spacing w:after="0" w:line="240" w:lineRule="auto"/>
              <w:jc w:val="center"/>
              <w:rPr>
                <w:rFonts w:ascii="Calibri" w:eastAsia="Times New Roman" w:hAnsi="Calibri" w:cs="Calibri"/>
                <w:color w:val="000000"/>
                <w:sz w:val="22"/>
                <w:szCs w:val="22"/>
                <w:lang w:eastAsia="en-AU"/>
              </w:rPr>
            </w:pPr>
          </w:p>
        </w:tc>
        <w:tc>
          <w:tcPr>
            <w:tcW w:w="662" w:type="pct"/>
            <w:noWrap/>
            <w:vAlign w:val="center"/>
          </w:tcPr>
          <w:p w14:paraId="6350C879" w14:textId="1F51857B" w:rsidR="004B5D56" w:rsidRPr="00BF281D" w:rsidRDefault="004B5D56" w:rsidP="00AB61CA">
            <w:pPr>
              <w:spacing w:after="0" w:line="240" w:lineRule="auto"/>
              <w:jc w:val="center"/>
              <w:rPr>
                <w:rFonts w:ascii="Calibri" w:eastAsia="Times New Roman" w:hAnsi="Calibri" w:cs="Calibri"/>
                <w:color w:val="000000"/>
                <w:sz w:val="22"/>
                <w:szCs w:val="22"/>
                <w:lang w:eastAsia="en-AU"/>
              </w:rPr>
            </w:pPr>
            <w:r w:rsidRPr="00BF281D">
              <w:rPr>
                <w:rFonts w:ascii="Calibri" w:eastAsia="Times New Roman" w:hAnsi="Calibri" w:cs="Calibri"/>
                <w:color w:val="000000"/>
                <w:sz w:val="22"/>
                <w:szCs w:val="22"/>
                <w:lang w:eastAsia="en-AU"/>
              </w:rPr>
              <w:t>2021</w:t>
            </w:r>
          </w:p>
        </w:tc>
        <w:tc>
          <w:tcPr>
            <w:tcW w:w="662" w:type="pct"/>
            <w:noWrap/>
            <w:vAlign w:val="center"/>
          </w:tcPr>
          <w:p w14:paraId="2D27A45C" w14:textId="5E45B016" w:rsidR="004B5D56" w:rsidRPr="00BF281D" w:rsidRDefault="004B5D56" w:rsidP="00AB61CA">
            <w:pPr>
              <w:spacing w:after="0" w:line="240" w:lineRule="auto"/>
              <w:jc w:val="center"/>
              <w:rPr>
                <w:rFonts w:ascii="Calibri" w:eastAsia="Times New Roman" w:hAnsi="Calibri" w:cs="Calibri"/>
                <w:color w:val="000000"/>
                <w:sz w:val="22"/>
                <w:szCs w:val="22"/>
                <w:lang w:eastAsia="en-AU"/>
              </w:rPr>
            </w:pPr>
            <w:r w:rsidRPr="00C73B72">
              <w:rPr>
                <w:rFonts w:ascii="Calibri" w:hAnsi="Calibri"/>
                <w:color w:val="000000"/>
                <w:sz w:val="22"/>
              </w:rPr>
              <w:t>2022</w:t>
            </w:r>
          </w:p>
        </w:tc>
        <w:tc>
          <w:tcPr>
            <w:tcW w:w="662" w:type="pct"/>
            <w:noWrap/>
            <w:vAlign w:val="center"/>
          </w:tcPr>
          <w:p w14:paraId="64D929D9" w14:textId="157A8957" w:rsidR="004B5D56" w:rsidRPr="00BF281D" w:rsidRDefault="004B5D56" w:rsidP="00AB61CA">
            <w:pPr>
              <w:spacing w:after="0" w:line="240" w:lineRule="auto"/>
              <w:jc w:val="center"/>
              <w:rPr>
                <w:rFonts w:ascii="Calibri" w:eastAsia="Times New Roman" w:hAnsi="Calibri" w:cs="Calibri"/>
                <w:color w:val="000000"/>
                <w:sz w:val="22"/>
                <w:szCs w:val="22"/>
                <w:lang w:eastAsia="en-AU"/>
              </w:rPr>
            </w:pPr>
            <w:r w:rsidRPr="00C73B72">
              <w:rPr>
                <w:rFonts w:ascii="Calibri" w:hAnsi="Calibri"/>
                <w:color w:val="000000"/>
                <w:sz w:val="22"/>
              </w:rPr>
              <w:t>2023</w:t>
            </w:r>
          </w:p>
        </w:tc>
        <w:tc>
          <w:tcPr>
            <w:tcW w:w="0" w:type="pct"/>
            <w:vAlign w:val="center"/>
          </w:tcPr>
          <w:p w14:paraId="1A44B7BE" w14:textId="18F3974A" w:rsidR="00190FD1" w:rsidRPr="00BF281D" w:rsidRDefault="00190FD1" w:rsidP="00190FD1">
            <w:pPr>
              <w:spacing w:after="0" w:line="240" w:lineRule="auto"/>
              <w:jc w:val="center"/>
              <w:rPr>
                <w:rFonts w:ascii="Calibri" w:eastAsia="Times New Roman" w:hAnsi="Calibri" w:cs="Calibri"/>
                <w:color w:val="000000"/>
                <w:sz w:val="22"/>
                <w:szCs w:val="22"/>
                <w:lang w:eastAsia="en-AU"/>
              </w:rPr>
            </w:pPr>
            <w:r w:rsidRPr="00C73B72">
              <w:rPr>
                <w:rFonts w:ascii="Calibri" w:hAnsi="Calibri"/>
                <w:color w:val="000000"/>
                <w:sz w:val="22"/>
              </w:rPr>
              <w:t>2024</w:t>
            </w:r>
          </w:p>
        </w:tc>
        <w:tc>
          <w:tcPr>
            <w:tcW w:w="659" w:type="pct"/>
            <w:noWrap/>
            <w:vAlign w:val="center"/>
          </w:tcPr>
          <w:p w14:paraId="7A274E28" w14:textId="53FFACB3" w:rsidR="004B5D56" w:rsidRPr="00BF281D" w:rsidRDefault="00190FD1" w:rsidP="00AB61CA">
            <w:pPr>
              <w:spacing w:after="0" w:line="240" w:lineRule="auto"/>
              <w:jc w:val="center"/>
              <w:rPr>
                <w:rFonts w:ascii="Calibri" w:eastAsia="Times New Roman" w:hAnsi="Calibri" w:cs="Calibri"/>
                <w:color w:val="000000"/>
                <w:sz w:val="22"/>
                <w:szCs w:val="22"/>
                <w:lang w:eastAsia="en-AU"/>
              </w:rPr>
            </w:pPr>
            <w:r w:rsidRPr="00BF281D">
              <w:rPr>
                <w:rFonts w:ascii="Calibri" w:eastAsia="Times New Roman" w:hAnsi="Calibri" w:cs="Calibri"/>
                <w:color w:val="000000"/>
                <w:sz w:val="22"/>
                <w:szCs w:val="22"/>
                <w:lang w:eastAsia="en-AU"/>
              </w:rPr>
              <w:t>202</w:t>
            </w:r>
            <w:r>
              <w:rPr>
                <w:rFonts w:ascii="Calibri" w:eastAsia="Times New Roman" w:hAnsi="Calibri" w:cs="Calibri"/>
                <w:color w:val="000000"/>
                <w:sz w:val="22"/>
                <w:szCs w:val="22"/>
                <w:lang w:eastAsia="en-AU"/>
              </w:rPr>
              <w:t>5</w:t>
            </w:r>
          </w:p>
        </w:tc>
      </w:tr>
      <w:tr w:rsidR="004B5D56" w:rsidRPr="00BF281D" w14:paraId="05989F9B" w14:textId="77777777" w:rsidTr="00C73B72">
        <w:trPr>
          <w:trHeight w:val="406"/>
        </w:trPr>
        <w:tc>
          <w:tcPr>
            <w:tcW w:w="1695" w:type="pct"/>
            <w:vAlign w:val="center"/>
          </w:tcPr>
          <w:p w14:paraId="637493C3" w14:textId="77777777" w:rsidR="004B5D56" w:rsidRPr="00BF281D" w:rsidRDefault="004B5D56" w:rsidP="00AB61CA">
            <w:pPr>
              <w:spacing w:after="0" w:line="240" w:lineRule="auto"/>
              <w:rPr>
                <w:rFonts w:ascii="Calibri" w:eastAsia="Times New Roman" w:hAnsi="Calibri" w:cs="Calibri"/>
                <w:color w:val="000000"/>
                <w:sz w:val="22"/>
                <w:szCs w:val="22"/>
                <w:lang w:eastAsia="en-AU"/>
              </w:rPr>
            </w:pPr>
            <w:r w:rsidRPr="00BF281D">
              <w:rPr>
                <w:rFonts w:ascii="Calibri" w:eastAsia="Times New Roman" w:hAnsi="Calibri" w:cs="Calibri"/>
                <w:color w:val="000000"/>
                <w:sz w:val="22"/>
                <w:szCs w:val="22"/>
                <w:lang w:eastAsia="en-AU"/>
              </w:rPr>
              <w:t>Total supply available (PJ)</w:t>
            </w:r>
          </w:p>
        </w:tc>
        <w:tc>
          <w:tcPr>
            <w:tcW w:w="662" w:type="pct"/>
            <w:noWrap/>
            <w:vAlign w:val="center"/>
          </w:tcPr>
          <w:p w14:paraId="0E9F5D90" w14:textId="12913F6C" w:rsidR="004B5D56" w:rsidRPr="00BF281D" w:rsidRDefault="00190FD1" w:rsidP="00AB61CA">
            <w:pPr>
              <w:spacing w:after="0" w:line="240" w:lineRule="auto"/>
              <w:jc w:val="center"/>
              <w:rPr>
                <w:rFonts w:ascii="Calibri" w:eastAsia="Times New Roman" w:hAnsi="Calibri" w:cs="Calibri"/>
                <w:color w:val="000000"/>
                <w:sz w:val="22"/>
                <w:szCs w:val="22"/>
                <w:lang w:eastAsia="en-AU"/>
              </w:rPr>
            </w:pPr>
            <w:r w:rsidRPr="00BF281D">
              <w:rPr>
                <w:rFonts w:ascii="Calibri" w:eastAsia="Times New Roman" w:hAnsi="Calibri" w:cs="Calibri"/>
                <w:color w:val="000000"/>
                <w:sz w:val="22"/>
                <w:szCs w:val="22"/>
                <w:lang w:eastAsia="en-AU"/>
              </w:rPr>
              <w:t>3</w:t>
            </w:r>
            <w:r>
              <w:rPr>
                <w:rFonts w:ascii="Calibri" w:eastAsia="Times New Roman" w:hAnsi="Calibri" w:cs="Calibri"/>
                <w:color w:val="000000"/>
                <w:sz w:val="22"/>
                <w:szCs w:val="22"/>
                <w:lang w:eastAsia="en-AU"/>
              </w:rPr>
              <w:t>60</w:t>
            </w:r>
          </w:p>
        </w:tc>
        <w:tc>
          <w:tcPr>
            <w:tcW w:w="662" w:type="pct"/>
            <w:noWrap/>
            <w:vAlign w:val="center"/>
          </w:tcPr>
          <w:p w14:paraId="12D5228D" w14:textId="693AD764" w:rsidR="004B5D56" w:rsidRPr="00BF281D" w:rsidRDefault="00190FD1" w:rsidP="00AB61CA">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341</w:t>
            </w:r>
          </w:p>
        </w:tc>
        <w:tc>
          <w:tcPr>
            <w:tcW w:w="662" w:type="pct"/>
            <w:noWrap/>
            <w:vAlign w:val="center"/>
          </w:tcPr>
          <w:p w14:paraId="159B2868" w14:textId="11660A45" w:rsidR="004B5D56" w:rsidRPr="00BF281D" w:rsidRDefault="00190FD1" w:rsidP="00AB61CA">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287</w:t>
            </w:r>
          </w:p>
        </w:tc>
        <w:tc>
          <w:tcPr>
            <w:tcW w:w="0" w:type="pct"/>
            <w:vAlign w:val="center"/>
          </w:tcPr>
          <w:p w14:paraId="46F05A51" w14:textId="12A4C4F9" w:rsidR="00190FD1" w:rsidRDefault="00190FD1" w:rsidP="00190FD1">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261</w:t>
            </w:r>
          </w:p>
        </w:tc>
        <w:tc>
          <w:tcPr>
            <w:tcW w:w="659" w:type="pct"/>
            <w:noWrap/>
            <w:vAlign w:val="center"/>
          </w:tcPr>
          <w:p w14:paraId="7C69E58F" w14:textId="56253802" w:rsidR="004B5D56" w:rsidRPr="00BF281D" w:rsidRDefault="00190FD1" w:rsidP="00AB61CA">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205</w:t>
            </w:r>
          </w:p>
        </w:tc>
      </w:tr>
      <w:tr w:rsidR="004B5D56" w:rsidRPr="00BF281D" w14:paraId="7BD16293" w14:textId="77777777" w:rsidTr="00C73B72">
        <w:trPr>
          <w:trHeight w:val="473"/>
        </w:trPr>
        <w:tc>
          <w:tcPr>
            <w:tcW w:w="1695" w:type="pct"/>
            <w:vAlign w:val="center"/>
            <w:hideMark/>
          </w:tcPr>
          <w:p w14:paraId="4B2FAC23" w14:textId="77777777" w:rsidR="004B5D56" w:rsidRPr="00BF281D" w:rsidRDefault="004B5D56" w:rsidP="00AB61CA">
            <w:pPr>
              <w:spacing w:after="0" w:line="240" w:lineRule="auto"/>
              <w:rPr>
                <w:rFonts w:ascii="Calibri" w:eastAsia="Times New Roman" w:hAnsi="Calibri" w:cs="Calibri"/>
                <w:color w:val="000000"/>
                <w:sz w:val="22"/>
                <w:szCs w:val="22"/>
                <w:lang w:eastAsia="en-AU"/>
              </w:rPr>
            </w:pPr>
            <w:r w:rsidRPr="00BF281D">
              <w:rPr>
                <w:rFonts w:ascii="Calibri" w:eastAsia="Times New Roman" w:hAnsi="Calibri" w:cs="Calibri"/>
                <w:color w:val="000000"/>
                <w:sz w:val="22"/>
                <w:szCs w:val="22"/>
                <w:lang w:eastAsia="en-AU"/>
              </w:rPr>
              <w:t>Total Victorian Consumption (PJ)</w:t>
            </w:r>
          </w:p>
        </w:tc>
        <w:tc>
          <w:tcPr>
            <w:tcW w:w="662" w:type="pct"/>
            <w:noWrap/>
            <w:vAlign w:val="center"/>
            <w:hideMark/>
          </w:tcPr>
          <w:p w14:paraId="31B41A78" w14:textId="6CE27D5D" w:rsidR="004B5D56" w:rsidRPr="00BF281D" w:rsidRDefault="00190FD1" w:rsidP="00AB61CA">
            <w:pPr>
              <w:spacing w:after="0" w:line="240" w:lineRule="auto"/>
              <w:jc w:val="center"/>
              <w:rPr>
                <w:rFonts w:ascii="Calibri" w:eastAsia="Times New Roman" w:hAnsi="Calibri" w:cs="Calibri"/>
                <w:color w:val="000000"/>
                <w:sz w:val="22"/>
                <w:szCs w:val="22"/>
                <w:lang w:eastAsia="en-AU"/>
              </w:rPr>
            </w:pPr>
            <w:r w:rsidRPr="00BF281D">
              <w:rPr>
                <w:rFonts w:ascii="Calibri" w:eastAsia="Times New Roman" w:hAnsi="Calibri" w:cs="Calibri"/>
                <w:color w:val="000000"/>
                <w:sz w:val="22"/>
                <w:szCs w:val="22"/>
                <w:lang w:eastAsia="en-AU"/>
              </w:rPr>
              <w:t>20</w:t>
            </w:r>
            <w:r>
              <w:rPr>
                <w:rFonts w:ascii="Calibri" w:eastAsia="Times New Roman" w:hAnsi="Calibri" w:cs="Calibri"/>
                <w:color w:val="000000"/>
                <w:sz w:val="22"/>
                <w:szCs w:val="22"/>
                <w:lang w:eastAsia="en-AU"/>
              </w:rPr>
              <w:t>7</w:t>
            </w:r>
          </w:p>
        </w:tc>
        <w:tc>
          <w:tcPr>
            <w:tcW w:w="662" w:type="pct"/>
            <w:noWrap/>
            <w:vAlign w:val="center"/>
            <w:hideMark/>
          </w:tcPr>
          <w:p w14:paraId="65684B07" w14:textId="47F0546B" w:rsidR="004B5D56" w:rsidRPr="00BF281D" w:rsidRDefault="00190FD1" w:rsidP="00AB61CA">
            <w:pPr>
              <w:spacing w:after="0" w:line="240" w:lineRule="auto"/>
              <w:jc w:val="center"/>
              <w:rPr>
                <w:rFonts w:ascii="Calibri" w:eastAsia="Times New Roman" w:hAnsi="Calibri" w:cs="Calibri"/>
                <w:color w:val="000000"/>
                <w:sz w:val="22"/>
                <w:szCs w:val="22"/>
                <w:lang w:eastAsia="en-AU"/>
              </w:rPr>
            </w:pPr>
            <w:r w:rsidRPr="00BF281D">
              <w:rPr>
                <w:rFonts w:ascii="Calibri" w:eastAsia="Times New Roman" w:hAnsi="Calibri" w:cs="Calibri"/>
                <w:color w:val="000000"/>
                <w:sz w:val="22"/>
                <w:szCs w:val="22"/>
                <w:lang w:eastAsia="en-AU"/>
              </w:rPr>
              <w:t>20</w:t>
            </w:r>
            <w:r>
              <w:rPr>
                <w:rFonts w:ascii="Calibri" w:eastAsia="Times New Roman" w:hAnsi="Calibri" w:cs="Calibri"/>
                <w:color w:val="000000"/>
                <w:sz w:val="22"/>
                <w:szCs w:val="22"/>
                <w:lang w:eastAsia="en-AU"/>
              </w:rPr>
              <w:t>2</w:t>
            </w:r>
          </w:p>
        </w:tc>
        <w:tc>
          <w:tcPr>
            <w:tcW w:w="662" w:type="pct"/>
            <w:noWrap/>
            <w:vAlign w:val="center"/>
            <w:hideMark/>
          </w:tcPr>
          <w:p w14:paraId="6D1338C9" w14:textId="69E35B9E" w:rsidR="004B5D56" w:rsidRPr="00BF281D" w:rsidRDefault="00190FD1" w:rsidP="00AB61CA">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199</w:t>
            </w:r>
          </w:p>
        </w:tc>
        <w:tc>
          <w:tcPr>
            <w:tcW w:w="0" w:type="pct"/>
            <w:vAlign w:val="center"/>
          </w:tcPr>
          <w:p w14:paraId="09E404E5" w14:textId="523EB8EE" w:rsidR="00190FD1" w:rsidRDefault="00190FD1" w:rsidP="00190FD1">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196</w:t>
            </w:r>
          </w:p>
        </w:tc>
        <w:tc>
          <w:tcPr>
            <w:tcW w:w="659" w:type="pct"/>
            <w:noWrap/>
            <w:vAlign w:val="center"/>
            <w:hideMark/>
          </w:tcPr>
          <w:p w14:paraId="157670C8" w14:textId="4B4957F4" w:rsidR="004B5D56" w:rsidRPr="00BF281D" w:rsidRDefault="00190FD1" w:rsidP="00AB61CA">
            <w:pPr>
              <w:spacing w:after="0" w:line="240" w:lineRule="auto"/>
              <w:jc w:val="center"/>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192</w:t>
            </w:r>
          </w:p>
        </w:tc>
      </w:tr>
      <w:tr w:rsidR="004B5D56" w:rsidRPr="00BF281D" w14:paraId="46189B58" w14:textId="77777777" w:rsidTr="00C73B72">
        <w:trPr>
          <w:trHeight w:val="452"/>
        </w:trPr>
        <w:tc>
          <w:tcPr>
            <w:tcW w:w="1695" w:type="pct"/>
            <w:vAlign w:val="center"/>
          </w:tcPr>
          <w:p w14:paraId="2ABF8AE7" w14:textId="77777777" w:rsidR="004B5D56" w:rsidRPr="00BF281D" w:rsidRDefault="004B5D56" w:rsidP="00AB61CA">
            <w:pPr>
              <w:spacing w:after="0" w:line="240" w:lineRule="auto"/>
              <w:rPr>
                <w:rFonts w:ascii="Calibri" w:eastAsia="Times New Roman" w:hAnsi="Calibri" w:cs="Calibri"/>
                <w:b/>
                <w:bCs/>
                <w:color w:val="000000"/>
                <w:sz w:val="22"/>
                <w:szCs w:val="22"/>
                <w:lang w:eastAsia="en-AU"/>
              </w:rPr>
            </w:pPr>
            <w:r w:rsidRPr="00BF281D">
              <w:rPr>
                <w:rFonts w:ascii="Calibri" w:eastAsia="Times New Roman" w:hAnsi="Calibri" w:cs="Calibri"/>
                <w:b/>
                <w:bCs/>
                <w:color w:val="000000"/>
                <w:sz w:val="22"/>
                <w:szCs w:val="22"/>
                <w:lang w:eastAsia="en-AU"/>
              </w:rPr>
              <w:t>Surplus/Shortfall quantity (PJ)</w:t>
            </w:r>
          </w:p>
        </w:tc>
        <w:tc>
          <w:tcPr>
            <w:tcW w:w="662" w:type="pct"/>
            <w:noWrap/>
            <w:vAlign w:val="center"/>
          </w:tcPr>
          <w:p w14:paraId="74E789B3" w14:textId="57C00F25" w:rsidR="004B5D56" w:rsidRPr="00BF281D" w:rsidRDefault="00190FD1" w:rsidP="00AB61CA">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153</w:t>
            </w:r>
          </w:p>
        </w:tc>
        <w:tc>
          <w:tcPr>
            <w:tcW w:w="662" w:type="pct"/>
            <w:noWrap/>
            <w:vAlign w:val="center"/>
          </w:tcPr>
          <w:p w14:paraId="719A8E30" w14:textId="7E11E0AB" w:rsidR="004B5D56" w:rsidRPr="00BF281D" w:rsidRDefault="00190FD1" w:rsidP="00AB61CA">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139</w:t>
            </w:r>
          </w:p>
        </w:tc>
        <w:tc>
          <w:tcPr>
            <w:tcW w:w="662" w:type="pct"/>
            <w:noWrap/>
            <w:vAlign w:val="center"/>
          </w:tcPr>
          <w:p w14:paraId="514DB282" w14:textId="0EE50559" w:rsidR="004B5D56" w:rsidRPr="00BF281D" w:rsidRDefault="00190FD1" w:rsidP="00AB61CA">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88</w:t>
            </w:r>
          </w:p>
        </w:tc>
        <w:tc>
          <w:tcPr>
            <w:tcW w:w="0" w:type="pct"/>
            <w:vAlign w:val="center"/>
          </w:tcPr>
          <w:p w14:paraId="5C0780BA" w14:textId="030AD950" w:rsidR="00EE36DD" w:rsidRPr="00C73B72" w:rsidRDefault="00EE36DD" w:rsidP="00190FD1">
            <w:pPr>
              <w:spacing w:after="0" w:line="240" w:lineRule="auto"/>
              <w:jc w:val="center"/>
              <w:rPr>
                <w:rFonts w:ascii="Calibri" w:hAnsi="Calibri"/>
                <w:b/>
                <w:color w:val="FF0000"/>
                <w:sz w:val="22"/>
              </w:rPr>
            </w:pPr>
            <w:r w:rsidRPr="00E203CF">
              <w:rPr>
                <w:rFonts w:ascii="Calibri" w:eastAsia="Times New Roman" w:hAnsi="Calibri" w:cs="Calibri"/>
                <w:b/>
                <w:bCs/>
                <w:sz w:val="22"/>
                <w:szCs w:val="22"/>
                <w:lang w:eastAsia="en-AU"/>
              </w:rPr>
              <w:t>65</w:t>
            </w:r>
          </w:p>
        </w:tc>
        <w:tc>
          <w:tcPr>
            <w:tcW w:w="659" w:type="pct"/>
            <w:noWrap/>
            <w:vAlign w:val="center"/>
          </w:tcPr>
          <w:p w14:paraId="2CC614CC" w14:textId="523F8B75" w:rsidR="004B5D56" w:rsidRPr="00BF281D" w:rsidRDefault="00E203CF" w:rsidP="00AB61CA">
            <w:pPr>
              <w:spacing w:after="0" w:line="240" w:lineRule="auto"/>
              <w:jc w:val="center"/>
              <w:rPr>
                <w:rFonts w:ascii="Calibri" w:eastAsia="Times New Roman" w:hAnsi="Calibri" w:cs="Calibri"/>
                <w:b/>
                <w:bCs/>
                <w:color w:val="000000"/>
                <w:sz w:val="22"/>
                <w:szCs w:val="22"/>
                <w:lang w:eastAsia="en-AU"/>
              </w:rPr>
            </w:pPr>
            <w:r>
              <w:rPr>
                <w:rFonts w:ascii="Calibri" w:eastAsia="Times New Roman" w:hAnsi="Calibri" w:cs="Calibri"/>
                <w:b/>
                <w:bCs/>
                <w:color w:val="000000"/>
                <w:sz w:val="22"/>
                <w:szCs w:val="22"/>
                <w:lang w:eastAsia="en-AU"/>
              </w:rPr>
              <w:t>13</w:t>
            </w:r>
          </w:p>
        </w:tc>
      </w:tr>
    </w:tbl>
    <w:p w14:paraId="390C5284" w14:textId="77777777" w:rsidR="004B5D56" w:rsidRPr="00BF281D" w:rsidRDefault="004B5D56" w:rsidP="004B5D56">
      <w:pPr>
        <w:pStyle w:val="Source"/>
      </w:pPr>
      <w:r w:rsidRPr="001528D0">
        <w:rPr>
          <w:color w:val="auto"/>
        </w:rPr>
        <w:t>Source: AEMO (2020)</w:t>
      </w:r>
    </w:p>
    <w:p w14:paraId="28C659BC" w14:textId="304A8578" w:rsidR="004B5D56" w:rsidRPr="00BF281D" w:rsidRDefault="004B5D56" w:rsidP="004B5D56">
      <w:r w:rsidRPr="00BF281D">
        <w:t xml:space="preserve">There is increasing uncertainty in the forecasts of supply adequacy as </w:t>
      </w:r>
      <w:r w:rsidR="00DF7EEB" w:rsidRPr="00BF281D">
        <w:t xml:space="preserve">the production </w:t>
      </w:r>
      <w:r w:rsidRPr="00BF281D">
        <w:t>timeframe</w:t>
      </w:r>
      <w:r w:rsidR="00DF7EEB" w:rsidRPr="00BF281D">
        <w:t xml:space="preserve"> for any </w:t>
      </w:r>
      <w:proofErr w:type="gramStart"/>
      <w:r w:rsidR="00DF7EEB" w:rsidRPr="00BF281D">
        <w:t>particular</w:t>
      </w:r>
      <w:r w:rsidRPr="00BF281D">
        <w:t xml:space="preserve"> gas</w:t>
      </w:r>
      <w:proofErr w:type="gramEnd"/>
      <w:r w:rsidRPr="00BF281D">
        <w:t xml:space="preserve"> </w:t>
      </w:r>
      <w:r w:rsidR="00DF7EEB" w:rsidRPr="00BF281D">
        <w:t>field is</w:t>
      </w:r>
      <w:r w:rsidRPr="00BF281D">
        <w:t xml:space="preserve"> difficult to predict. Recent COVID-19 linked reductions in international LNG demand and fluctuating spot prices contribute to this uncertainty. The timing of new investments and supply in Victoria, following the removal of the ban on onshore conventional gas exploration and development (discussed below) also remains unclear. </w:t>
      </w:r>
    </w:p>
    <w:p w14:paraId="5C6D5B96" w14:textId="7AF7DE81" w:rsidR="004B5D56" w:rsidRPr="00BF281D" w:rsidRDefault="004B5D56" w:rsidP="004B5D56">
      <w:pPr>
        <w:pStyle w:val="Heading3"/>
      </w:pPr>
      <w:r w:rsidRPr="00BF281D">
        <w:t xml:space="preserve">Recent developments </w:t>
      </w:r>
    </w:p>
    <w:p w14:paraId="3DC93176" w14:textId="19EA33EA" w:rsidR="00807689" w:rsidRPr="00817682" w:rsidRDefault="004B5D56" w:rsidP="009942E2">
      <w:r w:rsidRPr="00BF281D">
        <w:t>Supply and demand uncertainty caused by COVID-19 are impacting forecasts of supply adequacy due to disruptions to the global LNG market. In the long term, if low international prices result in less expenditure for exploration</w:t>
      </w:r>
      <w:r w:rsidR="00406388" w:rsidRPr="00BF281D">
        <w:t>, supply may be negatively affected</w:t>
      </w:r>
      <w:r w:rsidR="00470EEC" w:rsidRPr="00BF281D">
        <w:t xml:space="preserve"> further</w:t>
      </w:r>
      <w:r w:rsidRPr="00BF281D">
        <w:t>. However, recent spot and forward prices indicate that LNG may recover in 2021. Colder weather in importing nations, production outages and shipping congestion have resulted in Asian spot prices increasing to $15/MMBtu in December 2020. This was the highest that prices have been since 2014.</w:t>
      </w:r>
      <w:r w:rsidRPr="00817682">
        <w:rPr>
          <w:rStyle w:val="EndnoteReference"/>
        </w:rPr>
        <w:endnoteReference w:id="12"/>
      </w:r>
    </w:p>
    <w:p w14:paraId="17C5D5A6" w14:textId="3C3DB2B7" w:rsidR="009F2A6B" w:rsidRPr="00BF281D" w:rsidRDefault="00AC327E" w:rsidP="009942E2">
      <w:r w:rsidRPr="00BF281D">
        <w:t>The</w:t>
      </w:r>
      <w:r w:rsidR="009E636F">
        <w:t xml:space="preserve"> </w:t>
      </w:r>
      <w:r w:rsidRPr="00BF281D">
        <w:t>ACCC Gas Inquiry 2017 – 2015</w:t>
      </w:r>
      <w:r w:rsidR="002F3B3B">
        <w:t xml:space="preserve"> January 2021</w:t>
      </w:r>
      <w:r w:rsidRPr="00BF281D">
        <w:t xml:space="preserve"> </w:t>
      </w:r>
      <w:r w:rsidR="007878CF" w:rsidRPr="00BF281D">
        <w:t xml:space="preserve">interim </w:t>
      </w:r>
      <w:proofErr w:type="gramStart"/>
      <w:r w:rsidR="007878CF" w:rsidRPr="00BF281D">
        <w:t xml:space="preserve">report  </w:t>
      </w:r>
      <w:r w:rsidR="00CE213B" w:rsidRPr="00BF281D">
        <w:t>indicates</w:t>
      </w:r>
      <w:proofErr w:type="gramEnd"/>
      <w:r w:rsidR="00CE213B" w:rsidRPr="00BF281D">
        <w:t xml:space="preserve"> that the ACCC expects sufficient gas supply produced to meet forecast domestic and export demand </w:t>
      </w:r>
      <w:r w:rsidR="007A1B10" w:rsidRPr="00BF281D">
        <w:t xml:space="preserve">on the East coast </w:t>
      </w:r>
      <w:r w:rsidR="00CE213B" w:rsidRPr="00BF281D">
        <w:t>in 2021</w:t>
      </w:r>
      <w:r w:rsidR="007A1B10" w:rsidRPr="00BF281D">
        <w:t>. Ho</w:t>
      </w:r>
      <w:r w:rsidR="00414F6C" w:rsidRPr="00BF281D">
        <w:t>wever</w:t>
      </w:r>
      <w:r w:rsidR="001D5080" w:rsidRPr="00BF281D">
        <w:t>,</w:t>
      </w:r>
      <w:r w:rsidR="00414F6C" w:rsidRPr="00BF281D">
        <w:t xml:space="preserve"> conditions are tighter than anticipated in 2020</w:t>
      </w:r>
      <w:r w:rsidR="007A1B10" w:rsidRPr="00BF281D">
        <w:t>.</w:t>
      </w:r>
      <w:r w:rsidR="006B3BCA" w:rsidRPr="00817682">
        <w:rPr>
          <w:rStyle w:val="FootnoteReference"/>
        </w:rPr>
        <w:footnoteReference w:id="8"/>
      </w:r>
      <w:r w:rsidR="00414F6C" w:rsidRPr="00817682">
        <w:t xml:space="preserve"> </w:t>
      </w:r>
    </w:p>
    <w:p w14:paraId="7CA81F62" w14:textId="03AF142A" w:rsidR="005B5394" w:rsidRPr="00BF281D" w:rsidRDefault="00966879" w:rsidP="009942E2">
      <w:r w:rsidRPr="00BF281D">
        <w:lastRenderedPageBreak/>
        <w:t xml:space="preserve">The ACCC notes that there is a potential for a shortfall of 30 PJ to emerge as early as 2024 in the southern states </w:t>
      </w:r>
      <w:r w:rsidR="00081615" w:rsidRPr="00BF281D">
        <w:t>(including Victoria)</w:t>
      </w:r>
      <w:r w:rsidR="00F33A9B" w:rsidRPr="00BF281D">
        <w:t xml:space="preserve">, unless an LNG regasification terminal or speculative resources are developed. </w:t>
      </w:r>
      <w:r w:rsidR="00807666" w:rsidRPr="00BF281D">
        <w:t>This risk was also reported in the January 2020 ACCC Gas Inquiry report, and the ACCC states that ‘it is concerning that less progress has been made than we would expect</w:t>
      </w:r>
      <w:r w:rsidR="008D0715" w:rsidRPr="00BF281D">
        <w:t>, and that we find ourselves one year closer to a potential shortfall’.</w:t>
      </w:r>
      <w:r w:rsidR="009608F8" w:rsidRPr="00817682">
        <w:rPr>
          <w:rStyle w:val="FootnoteReference"/>
        </w:rPr>
        <w:footnoteReference w:id="9"/>
      </w:r>
      <w:r w:rsidR="008D0715" w:rsidRPr="00817682">
        <w:t xml:space="preserve"> </w:t>
      </w:r>
      <w:r w:rsidR="00727F84" w:rsidRPr="00BF281D">
        <w:t xml:space="preserve">It should be noted that the ACCC report took into account information to </w:t>
      </w:r>
      <w:r w:rsidR="00AE1E0E" w:rsidRPr="00BF281D">
        <w:t>August 2020</w:t>
      </w:r>
      <w:r w:rsidR="004B56A5" w:rsidRPr="00BF281D">
        <w:t xml:space="preserve">, therefore may not have included </w:t>
      </w:r>
      <w:r w:rsidR="00007EE2" w:rsidRPr="00BF281D">
        <w:t>more recent discoveries.</w:t>
      </w:r>
      <w:r w:rsidR="00007EE2" w:rsidRPr="00817682">
        <w:rPr>
          <w:rStyle w:val="FootnoteReference"/>
        </w:rPr>
        <w:footnoteReference w:id="10"/>
      </w:r>
      <w:r w:rsidR="00007EE2" w:rsidRPr="00817682">
        <w:t xml:space="preserve"> </w:t>
      </w:r>
      <w:r w:rsidR="00790019">
        <w:t xml:space="preserve">However, </w:t>
      </w:r>
      <w:r w:rsidR="003529FB">
        <w:t xml:space="preserve">as noted in the March 2021 VGPR, the Port Kembla LNG import terminal is likely to address this shortfall. </w:t>
      </w:r>
    </w:p>
    <w:p w14:paraId="1595B655" w14:textId="343E8521" w:rsidR="00A00D96" w:rsidRPr="00BF281D" w:rsidRDefault="009108EF" w:rsidP="00A00D96">
      <w:pPr>
        <w:pStyle w:val="Heading3"/>
      </w:pPr>
      <w:r w:rsidRPr="00BF281D">
        <w:t>Implications for the</w:t>
      </w:r>
      <w:r w:rsidR="001366AC" w:rsidRPr="00BF281D">
        <w:t xml:space="preserve">se regulatory reforms </w:t>
      </w:r>
      <w:r w:rsidRPr="00BF281D">
        <w:t xml:space="preserve"> </w:t>
      </w:r>
    </w:p>
    <w:p w14:paraId="3CA0E902" w14:textId="25FDE874" w:rsidR="001659CE" w:rsidRPr="00BF281D" w:rsidRDefault="009108EF" w:rsidP="009942E2">
      <w:r w:rsidRPr="00BF281D">
        <w:t xml:space="preserve">The tight </w:t>
      </w:r>
      <w:r w:rsidR="003634E7" w:rsidRPr="00BF281D">
        <w:t xml:space="preserve">gas </w:t>
      </w:r>
      <w:r w:rsidRPr="00BF281D">
        <w:t xml:space="preserve">supply and demand balance in </w:t>
      </w:r>
      <w:r w:rsidR="003634E7" w:rsidRPr="00BF281D">
        <w:t xml:space="preserve">Victoria, and the risk of shortfall in gas supply, means that </w:t>
      </w:r>
      <w:r w:rsidR="0083320A" w:rsidRPr="00BF281D">
        <w:t xml:space="preserve">encouraging petroleum development to bring on </w:t>
      </w:r>
      <w:r w:rsidR="003634E7" w:rsidRPr="00BF281D">
        <w:t>additional gas supply is</w:t>
      </w:r>
      <w:r w:rsidR="00C9299A" w:rsidRPr="00BF281D">
        <w:t xml:space="preserve"> </w:t>
      </w:r>
      <w:r w:rsidR="008421F2" w:rsidRPr="00BF281D">
        <w:t xml:space="preserve">key </w:t>
      </w:r>
      <w:r w:rsidR="00C9299A" w:rsidRPr="00BF281D">
        <w:t>to</w:t>
      </w:r>
      <w:r w:rsidR="008421F2" w:rsidRPr="00BF281D">
        <w:t xml:space="preserve"> meeting the needs of Victorian customers</w:t>
      </w:r>
      <w:r w:rsidR="009D5ACC">
        <w:t xml:space="preserve"> in the long-term</w:t>
      </w:r>
      <w:r w:rsidR="008421F2" w:rsidRPr="00BF281D">
        <w:t xml:space="preserve">. </w:t>
      </w:r>
    </w:p>
    <w:p w14:paraId="7A3289C1" w14:textId="6623F0A6" w:rsidR="00AE6859" w:rsidRPr="00BF281D" w:rsidRDefault="00AE6859" w:rsidP="00AE6859">
      <w:pPr>
        <w:pStyle w:val="Heading2"/>
      </w:pPr>
      <w:bookmarkStart w:id="83" w:name="_Toc69839570"/>
      <w:bookmarkStart w:id="84" w:name="_Toc67663752"/>
      <w:r w:rsidRPr="001528D0">
        <w:rPr>
          <w:color w:val="012169" w:themeColor="accent4"/>
        </w:rPr>
        <w:t>Preparation of th</w:t>
      </w:r>
      <w:r w:rsidR="001659CE" w:rsidRPr="001528D0">
        <w:rPr>
          <w:color w:val="012169" w:themeColor="accent4"/>
        </w:rPr>
        <w:t>is</w:t>
      </w:r>
      <w:r w:rsidRPr="001528D0">
        <w:rPr>
          <w:color w:val="012169" w:themeColor="accent4"/>
        </w:rPr>
        <w:t xml:space="preserve"> RIS</w:t>
      </w:r>
      <w:bookmarkEnd w:id="83"/>
      <w:bookmarkEnd w:id="84"/>
    </w:p>
    <w:p w14:paraId="318E92CC" w14:textId="77777777" w:rsidR="008C6D13" w:rsidRDefault="00AE6859" w:rsidP="00AE6859">
      <w:r w:rsidRPr="00BF281D">
        <w:t xml:space="preserve">The key purpose of this RIS is to assess the impact of different options for replacing the sunsetting </w:t>
      </w:r>
      <w:r w:rsidR="007D0EBE" w:rsidRPr="00BF281D">
        <w:t>Petroleum R</w:t>
      </w:r>
      <w:r w:rsidRPr="00BF281D">
        <w:t xml:space="preserve">egulations. </w:t>
      </w:r>
      <w:r w:rsidR="00B661B5">
        <w:t xml:space="preserve"> </w:t>
      </w:r>
    </w:p>
    <w:p w14:paraId="7FDB9909" w14:textId="3D8EFD0C" w:rsidR="00AE6859" w:rsidRPr="00BF281D" w:rsidRDefault="00AE6859" w:rsidP="00AE6859">
      <w:r w:rsidRPr="00BF281D">
        <w:t xml:space="preserve">The general approach to the assessment </w:t>
      </w:r>
      <w:r w:rsidR="007D0EBE" w:rsidRPr="00BF281D">
        <w:t xml:space="preserve">was </w:t>
      </w:r>
      <w:r w:rsidRPr="00BF281D">
        <w:t>as follows:</w:t>
      </w:r>
    </w:p>
    <w:p w14:paraId="268AEC13" w14:textId="77777777" w:rsidR="00AE6859" w:rsidRPr="00BF281D" w:rsidRDefault="00AE6859" w:rsidP="00AE11D2">
      <w:pPr>
        <w:pStyle w:val="ListParagraph"/>
        <w:numPr>
          <w:ilvl w:val="3"/>
          <w:numId w:val="33"/>
        </w:numPr>
        <w:spacing w:after="120"/>
        <w:ind w:left="360"/>
        <w:textboxTightWrap w:val="allLines"/>
      </w:pPr>
      <w:r w:rsidRPr="00BF281D">
        <w:t xml:space="preserve">Identification of the problem </w:t>
      </w:r>
    </w:p>
    <w:p w14:paraId="3A8F6DD8" w14:textId="3189AA48" w:rsidR="00AE6859" w:rsidRPr="00BF281D" w:rsidRDefault="00AE6859" w:rsidP="00AE6859">
      <w:pPr>
        <w:rPr>
          <w:sz w:val="20"/>
          <w:szCs w:val="20"/>
        </w:rPr>
      </w:pPr>
      <w:r w:rsidRPr="00BF281D">
        <w:t xml:space="preserve">This involved consideration of the nature and extent of the problem that the proposed </w:t>
      </w:r>
      <w:r w:rsidR="006C5DDC">
        <w:t>regulations</w:t>
      </w:r>
      <w:r w:rsidRPr="00BF281D">
        <w:t xml:space="preserve"> aim to address, including the need for government intervention, the risks of non-intervention and the objectives of such intervention. </w:t>
      </w:r>
    </w:p>
    <w:p w14:paraId="2B75C240" w14:textId="095649FA" w:rsidR="00AE6859" w:rsidRPr="00BF281D" w:rsidRDefault="00AE6859" w:rsidP="00AE11D2">
      <w:pPr>
        <w:pStyle w:val="ListParagraph"/>
        <w:numPr>
          <w:ilvl w:val="3"/>
          <w:numId w:val="33"/>
        </w:numPr>
        <w:spacing w:after="120"/>
        <w:ind w:left="360"/>
        <w:textboxTightWrap w:val="allLines"/>
      </w:pPr>
      <w:r w:rsidRPr="00BF281D">
        <w:t xml:space="preserve">Identification of the options to achieve the objectives of the proposed </w:t>
      </w:r>
      <w:r w:rsidR="006C5DDC">
        <w:t>regulations</w:t>
      </w:r>
    </w:p>
    <w:p w14:paraId="5FA9CF5D" w14:textId="4E60A9AD" w:rsidR="00AE6859" w:rsidRPr="00BF281D" w:rsidRDefault="00AE6859" w:rsidP="00AE6859">
      <w:r w:rsidRPr="00BF281D">
        <w:t xml:space="preserve">The proposed </w:t>
      </w:r>
      <w:r w:rsidR="006C5DDC">
        <w:t>regulations</w:t>
      </w:r>
      <w:r w:rsidRPr="00BF281D">
        <w:t xml:space="preserve"> and alternative options were developed by </w:t>
      </w:r>
      <w:r w:rsidR="00992D11" w:rsidRPr="00BF281D">
        <w:t>g</w:t>
      </w:r>
      <w:r w:rsidRPr="00BF281D">
        <w:t>overnment and informed by the RIS consultation</w:t>
      </w:r>
      <w:r w:rsidRPr="00BF281D" w:rsidDel="003F5580">
        <w:t xml:space="preserve"> </w:t>
      </w:r>
      <w:r w:rsidRPr="00BF281D">
        <w:t xml:space="preserve">(see </w:t>
      </w:r>
      <w:r w:rsidR="004D40D5">
        <w:fldChar w:fldCharType="begin"/>
      </w:r>
      <w:r w:rsidR="004D40D5">
        <w:instrText xml:space="preserve"> REF _Ref65604614 \r \h </w:instrText>
      </w:r>
      <w:r w:rsidR="004D40D5">
        <w:fldChar w:fldCharType="separate"/>
      </w:r>
      <w:r w:rsidR="009B3538">
        <w:t>Appendix B</w:t>
      </w:r>
      <w:r w:rsidR="004D40D5">
        <w:fldChar w:fldCharType="end"/>
      </w:r>
      <w:r w:rsidR="004D40D5">
        <w:t xml:space="preserve"> </w:t>
      </w:r>
      <w:r w:rsidRPr="00817682">
        <w:t>for details of con</w:t>
      </w:r>
      <w:r w:rsidRPr="00BF281D">
        <w:t>sultation undertaken). The establishment of options allowed possible costs and benefits to be examined as part of the stakeholder consultation.</w:t>
      </w:r>
    </w:p>
    <w:p w14:paraId="108512E2" w14:textId="77777777" w:rsidR="00AE6859" w:rsidRPr="00BF281D" w:rsidRDefault="00AE6859" w:rsidP="00AE11D2">
      <w:pPr>
        <w:pStyle w:val="ListParagraph"/>
        <w:numPr>
          <w:ilvl w:val="3"/>
          <w:numId w:val="33"/>
        </w:numPr>
        <w:spacing w:after="120"/>
        <w:ind w:left="360"/>
        <w:textboxTightWrap w:val="allLines"/>
      </w:pPr>
      <w:r w:rsidRPr="00BF281D">
        <w:t>Stakeholder consultations</w:t>
      </w:r>
    </w:p>
    <w:p w14:paraId="5C321163" w14:textId="383C45BF" w:rsidR="00AE6859" w:rsidRPr="00BF281D" w:rsidRDefault="00401A4C" w:rsidP="00AE6859">
      <w:r>
        <w:t>Targeted pre-RIS s</w:t>
      </w:r>
      <w:r w:rsidR="00AE6859" w:rsidRPr="00BF281D">
        <w:t xml:space="preserve">takeholder consultation was undertaken by Deloitte </w:t>
      </w:r>
      <w:r w:rsidR="00A1700E">
        <w:t>and DJCS</w:t>
      </w:r>
      <w:r w:rsidR="00AE6859" w:rsidRPr="00BF281D">
        <w:t xml:space="preserve"> to gather relevant information on the impact of the proposed </w:t>
      </w:r>
      <w:r w:rsidR="006C5DDC">
        <w:t>regulations</w:t>
      </w:r>
      <w:r w:rsidR="00AE6859" w:rsidRPr="00BF281D">
        <w:t xml:space="preserve"> and possible </w:t>
      </w:r>
      <w:r w:rsidR="0027044E" w:rsidRPr="00BF281D">
        <w:t xml:space="preserve">options </w:t>
      </w:r>
      <w:r w:rsidR="00775965" w:rsidRPr="00BF281D">
        <w:t>on different groups</w:t>
      </w:r>
      <w:r w:rsidR="00FC7116" w:rsidRPr="00BF281D">
        <w:t xml:space="preserve"> </w:t>
      </w:r>
      <w:r w:rsidR="00AE6859" w:rsidRPr="00BF281D">
        <w:t>for different groups. The consultation process</w:t>
      </w:r>
      <w:r w:rsidR="00E31AAB" w:rsidRPr="00BF281D">
        <w:t xml:space="preserve"> and attendees </w:t>
      </w:r>
      <w:proofErr w:type="gramStart"/>
      <w:r w:rsidR="00E31AAB" w:rsidRPr="00BF281D">
        <w:t>is</w:t>
      </w:r>
      <w:proofErr w:type="gramEnd"/>
      <w:r w:rsidR="00E31AAB" w:rsidRPr="00BF281D">
        <w:t xml:space="preserve"> set out at </w:t>
      </w:r>
      <w:r w:rsidR="00E31AAB" w:rsidRPr="00BF281D">
        <w:fldChar w:fldCharType="begin"/>
      </w:r>
      <w:r w:rsidR="00E31AAB" w:rsidRPr="00BF281D">
        <w:instrText xml:space="preserve"> REF _Ref65604614 \r \h </w:instrText>
      </w:r>
      <w:r w:rsidR="00E31AAB" w:rsidRPr="00BF281D">
        <w:fldChar w:fldCharType="separate"/>
      </w:r>
      <w:r w:rsidR="009B3538">
        <w:t>Appendix B</w:t>
      </w:r>
      <w:r w:rsidR="00E31AAB" w:rsidRPr="00BF281D">
        <w:fldChar w:fldCharType="end"/>
      </w:r>
      <w:r w:rsidR="00E31AAB" w:rsidRPr="00817682">
        <w:t xml:space="preserve"> </w:t>
      </w:r>
      <w:r w:rsidR="00E31AAB" w:rsidRPr="00BF281D">
        <w:t xml:space="preserve">and included </w:t>
      </w:r>
      <w:r w:rsidR="005A2426" w:rsidRPr="00BF281D">
        <w:t xml:space="preserve">all authority holders in Victoria, </w:t>
      </w:r>
      <w:r w:rsidR="00342333" w:rsidRPr="00BF281D">
        <w:t xml:space="preserve">relevant government </w:t>
      </w:r>
      <w:r w:rsidR="005440FD" w:rsidRPr="00BF281D">
        <w:t>agencies, and local councils and community groups.</w:t>
      </w:r>
    </w:p>
    <w:p w14:paraId="43FDE4B1" w14:textId="4231A6D0" w:rsidR="00AE6859" w:rsidRPr="00817682" w:rsidRDefault="000D260B" w:rsidP="006E29A5">
      <w:r w:rsidRPr="00012DD6">
        <w:t xml:space="preserve">The consultations from the VGP were also used to inform the </w:t>
      </w:r>
      <w:r w:rsidR="00895B86" w:rsidRPr="00895B86">
        <w:t>development</w:t>
      </w:r>
      <w:r w:rsidRPr="00012DD6">
        <w:t xml:space="preserve"> and testing of the Options. </w:t>
      </w:r>
      <w:r w:rsidR="006E29A5" w:rsidRPr="00012DD6">
        <w:t xml:space="preserve"> </w:t>
      </w:r>
      <w:r w:rsidRPr="00012DD6">
        <w:t xml:space="preserve">The VGP also contained a community engagement component that focussed on communities in close proximity to petroleum basins, </w:t>
      </w:r>
      <w:proofErr w:type="gramStart"/>
      <w:r w:rsidRPr="00012DD6">
        <w:t>i.e.</w:t>
      </w:r>
      <w:proofErr w:type="gramEnd"/>
      <w:r w:rsidRPr="00012DD6">
        <w:t xml:space="preserve"> Gippsland and Otway. The consultations found that </w:t>
      </w:r>
      <w:proofErr w:type="gramStart"/>
      <w:r w:rsidRPr="00012DD6">
        <w:t>the majority of</w:t>
      </w:r>
      <w:proofErr w:type="gramEnd"/>
      <w:r w:rsidRPr="00012DD6">
        <w:t xml:space="preserve"> affected communities were at least tolerating onshore conventional gas, but improvements could be made through increased transparency and genuine engagement opportunities. Additionally, communities perceive effective governance and strong regulations as important in achieving </w:t>
      </w:r>
      <w:r w:rsidR="0054704E">
        <w:t>social license</w:t>
      </w:r>
      <w:r w:rsidRPr="00012DD6">
        <w:t xml:space="preserve">. </w:t>
      </w:r>
      <w:r w:rsidR="00E735D4" w:rsidRPr="00012DD6">
        <w:t xml:space="preserve">This feedback was considered </w:t>
      </w:r>
      <w:r w:rsidR="00DD0D13" w:rsidRPr="00012DD6">
        <w:t>in</w:t>
      </w:r>
      <w:r w:rsidR="000B73F8" w:rsidRPr="00012DD6">
        <w:t xml:space="preserve"> </w:t>
      </w:r>
      <w:r w:rsidR="006E29A5" w:rsidRPr="00012DD6">
        <w:t xml:space="preserve">developing the Options and framing the criteria and weightings for the MCA. </w:t>
      </w:r>
    </w:p>
    <w:p w14:paraId="7E3B3F00" w14:textId="77777777" w:rsidR="00AE6859" w:rsidRPr="00BF281D" w:rsidRDefault="00AE6859" w:rsidP="00AE11D2">
      <w:pPr>
        <w:pStyle w:val="ListParagraph"/>
        <w:numPr>
          <w:ilvl w:val="3"/>
          <w:numId w:val="33"/>
        </w:numPr>
        <w:spacing w:after="120"/>
        <w:ind w:left="360"/>
        <w:textboxTightWrap w:val="allLines"/>
      </w:pPr>
      <w:r w:rsidRPr="00BF281D">
        <w:t>Assessment of the costs and benefits</w:t>
      </w:r>
    </w:p>
    <w:p w14:paraId="0DED53EA" w14:textId="05D94851" w:rsidR="00BF2F97" w:rsidRPr="00BF281D" w:rsidRDefault="002366DE" w:rsidP="00AE6859">
      <w:r w:rsidRPr="00BF281D">
        <w:t xml:space="preserve">Consistent with the requirements of the </w:t>
      </w:r>
      <w:r w:rsidRPr="00BF281D">
        <w:rPr>
          <w:i/>
        </w:rPr>
        <w:t>Victorian Guide to Regulation</w:t>
      </w:r>
      <w:r w:rsidRPr="00BF281D">
        <w:t>,</w:t>
      </w:r>
      <w:r w:rsidRPr="00BF281D">
        <w:rPr>
          <w:i/>
        </w:rPr>
        <w:t xml:space="preserve"> </w:t>
      </w:r>
      <w:r w:rsidRPr="00BF281D">
        <w:rPr>
          <w:iCs/>
        </w:rPr>
        <w:t>a</w:t>
      </w:r>
      <w:r w:rsidRPr="00BF281D">
        <w:t>n a</w:t>
      </w:r>
      <w:r w:rsidR="00AE6859" w:rsidRPr="00BF281D">
        <w:t xml:space="preserve">ssessment of the costs and benefits under all options, relative to a </w:t>
      </w:r>
      <w:r w:rsidR="001F661E" w:rsidRPr="00BF281D">
        <w:t>reference case</w:t>
      </w:r>
      <w:r w:rsidR="00AE6859" w:rsidRPr="00BF281D">
        <w:t xml:space="preserve"> </w:t>
      </w:r>
      <w:r w:rsidR="001F661E" w:rsidRPr="00BF281D">
        <w:t xml:space="preserve">(the </w:t>
      </w:r>
      <w:r w:rsidR="00AA093C">
        <w:t>Base Case</w:t>
      </w:r>
      <w:r w:rsidR="001F661E" w:rsidRPr="00BF281D">
        <w:t xml:space="preserve">) </w:t>
      </w:r>
      <w:r w:rsidR="00AE6859" w:rsidRPr="00BF281D">
        <w:t>was undertaken</w:t>
      </w:r>
      <w:r w:rsidR="003A0AD3" w:rsidRPr="00BF281D">
        <w:t>.</w:t>
      </w:r>
      <w:r w:rsidR="00AE6859" w:rsidRPr="00BF281D">
        <w:t xml:space="preserve"> The analysis included the quantification, where possible, of benefits to </w:t>
      </w:r>
      <w:r w:rsidR="001919EA">
        <w:t>industry, government</w:t>
      </w:r>
      <w:r w:rsidR="004E3BEB" w:rsidRPr="00BF281D">
        <w:t>,</w:t>
      </w:r>
      <w:r w:rsidR="00AE6859" w:rsidRPr="00BF281D">
        <w:t xml:space="preserve"> and the Victorian community</w:t>
      </w:r>
      <w:r w:rsidR="001919EA">
        <w:t>.</w:t>
      </w:r>
      <w:r w:rsidR="00AE6859" w:rsidRPr="00BF281D">
        <w:t xml:space="preserve"> </w:t>
      </w:r>
    </w:p>
    <w:p w14:paraId="41ECE7FF" w14:textId="2C030864" w:rsidR="00AE6859" w:rsidRPr="00BF281D" w:rsidRDefault="001107DC" w:rsidP="00AE6859">
      <w:r w:rsidRPr="00BF281D">
        <w:t xml:space="preserve">The analysis </w:t>
      </w:r>
      <w:r w:rsidR="00AE6859" w:rsidRPr="00BF281D">
        <w:t xml:space="preserve">also </w:t>
      </w:r>
      <w:r w:rsidRPr="00BF281D">
        <w:t xml:space="preserve">assessed </w:t>
      </w:r>
      <w:r w:rsidR="00AE6859" w:rsidRPr="00BF281D">
        <w:t xml:space="preserve">the costs to businesses and councils of complying with regulations, and </w:t>
      </w:r>
      <w:r w:rsidRPr="00BF281D">
        <w:t xml:space="preserve">the </w:t>
      </w:r>
      <w:r w:rsidR="00AE6859" w:rsidRPr="00BF281D">
        <w:t>cost</w:t>
      </w:r>
      <w:r w:rsidR="00481C0B" w:rsidRPr="00BF281D">
        <w:t>s</w:t>
      </w:r>
      <w:r w:rsidR="00AE6859" w:rsidRPr="00BF281D">
        <w:t xml:space="preserve"> to </w:t>
      </w:r>
      <w:r w:rsidR="00992D11" w:rsidRPr="00BF281D">
        <w:t>g</w:t>
      </w:r>
      <w:r w:rsidR="00AE6859" w:rsidRPr="00BF281D">
        <w:t xml:space="preserve">overnment </w:t>
      </w:r>
      <w:r w:rsidR="00481C0B" w:rsidRPr="00BF281D">
        <w:t xml:space="preserve">of </w:t>
      </w:r>
      <w:r w:rsidR="00AE6859" w:rsidRPr="00BF281D">
        <w:t>implement</w:t>
      </w:r>
      <w:r w:rsidR="00481C0B" w:rsidRPr="00BF281D">
        <w:t>ing</w:t>
      </w:r>
      <w:r w:rsidR="00AE6859" w:rsidRPr="00BF281D">
        <w:t xml:space="preserve"> and administer</w:t>
      </w:r>
      <w:r w:rsidR="00481C0B" w:rsidRPr="00BF281D">
        <w:t>ing</w:t>
      </w:r>
      <w:r w:rsidR="00AE6859" w:rsidRPr="00BF281D">
        <w:t xml:space="preserve"> regulations. The analysis reflected data held by </w:t>
      </w:r>
      <w:r w:rsidR="00AE6859" w:rsidRPr="00BF281D">
        <w:lastRenderedPageBreak/>
        <w:t>DJPR</w:t>
      </w:r>
      <w:r w:rsidR="00435B36" w:rsidRPr="00BF281D">
        <w:t xml:space="preserve">, data held </w:t>
      </w:r>
      <w:r w:rsidR="004E3BEB" w:rsidRPr="00BF281D">
        <w:t>by the</w:t>
      </w:r>
      <w:r w:rsidR="00AE6859" w:rsidRPr="00BF281D">
        <w:t xml:space="preserve"> Earth Resources Regulator, data gathered through independent research and information provided by stakeholders. </w:t>
      </w:r>
    </w:p>
    <w:p w14:paraId="388D0B5C" w14:textId="77777777" w:rsidR="00AE6859" w:rsidRPr="00BF281D" w:rsidRDefault="00AE6859" w:rsidP="00AE11D2">
      <w:pPr>
        <w:pStyle w:val="ListParagraph"/>
        <w:numPr>
          <w:ilvl w:val="3"/>
          <w:numId w:val="33"/>
        </w:numPr>
        <w:spacing w:after="120"/>
        <w:ind w:left="360"/>
        <w:textboxTightWrap w:val="allLines"/>
      </w:pPr>
      <w:r w:rsidRPr="00BF281D">
        <w:t>Assessment of the other impacts</w:t>
      </w:r>
    </w:p>
    <w:p w14:paraId="15F9AD94" w14:textId="5D6C9F1F" w:rsidR="00AE6859" w:rsidRPr="00BF281D" w:rsidRDefault="00AE6859" w:rsidP="00AE6859">
      <w:r w:rsidRPr="00BF281D">
        <w:t>We have considered the likely impacts</w:t>
      </w:r>
      <w:r w:rsidR="00A963D5" w:rsidRPr="00BF281D">
        <w:t xml:space="preserve"> </w:t>
      </w:r>
      <w:r w:rsidRPr="00BF281D">
        <w:t xml:space="preserve">of the preferred option on </w:t>
      </w:r>
      <w:r w:rsidR="008963F0" w:rsidRPr="00BF281D">
        <w:t xml:space="preserve">industry </w:t>
      </w:r>
      <w:r w:rsidR="00A963D5" w:rsidRPr="00BF281D">
        <w:t xml:space="preserve">competition and </w:t>
      </w:r>
      <w:r w:rsidRPr="00BF281D">
        <w:t>small businesses</w:t>
      </w:r>
      <w:r w:rsidR="008963F0" w:rsidRPr="00BF281D">
        <w:t>.</w:t>
      </w:r>
      <w:r w:rsidRPr="00BF281D">
        <w:t xml:space="preserve"> This part of the RIS draws on stakeholder consultations.</w:t>
      </w:r>
    </w:p>
    <w:p w14:paraId="2684C27C" w14:textId="66472BE8" w:rsidR="00AE6859" w:rsidRPr="00BF281D" w:rsidRDefault="00AE6859" w:rsidP="00AE11D2">
      <w:pPr>
        <w:pStyle w:val="ListParagraph"/>
        <w:numPr>
          <w:ilvl w:val="3"/>
          <w:numId w:val="33"/>
        </w:numPr>
        <w:spacing w:after="120"/>
        <w:ind w:left="360"/>
        <w:textboxTightWrap w:val="allLines"/>
      </w:pPr>
      <w:r w:rsidRPr="00BF281D">
        <w:t>Implementation, enforcement</w:t>
      </w:r>
      <w:r w:rsidR="001343B8" w:rsidRPr="00BF281D">
        <w:t>,</w:t>
      </w:r>
      <w:r w:rsidRPr="00BF281D">
        <w:t xml:space="preserve"> and evaluation</w:t>
      </w:r>
    </w:p>
    <w:p w14:paraId="4E25DFF8" w14:textId="522235F3" w:rsidR="00AE6859" w:rsidRPr="00BF281D" w:rsidRDefault="00AE6859" w:rsidP="00AE6859">
      <w:r w:rsidRPr="00BF281D">
        <w:t>These sections describe the arrangements for implementation</w:t>
      </w:r>
      <w:r w:rsidR="00994E9D">
        <w:t xml:space="preserve">, </w:t>
      </w:r>
      <w:proofErr w:type="gramStart"/>
      <w:r w:rsidR="00994E9D">
        <w:t>enforcement</w:t>
      </w:r>
      <w:proofErr w:type="gramEnd"/>
      <w:r w:rsidRPr="00BF281D">
        <w:t xml:space="preserve"> and evaluation of the preferred option. </w:t>
      </w:r>
    </w:p>
    <w:p w14:paraId="1E0E0D87" w14:textId="77777777" w:rsidR="00AE6859" w:rsidRPr="00BF281D" w:rsidRDefault="00AE6859" w:rsidP="00AE6859">
      <w:pPr>
        <w:pStyle w:val="Heading3"/>
        <w:ind w:left="720" w:hanging="720"/>
      </w:pPr>
      <w:r w:rsidRPr="00BF281D">
        <w:t xml:space="preserve">Public comment </w:t>
      </w:r>
    </w:p>
    <w:p w14:paraId="1C29C51E" w14:textId="7BB7FB3A" w:rsidR="00AE6859" w:rsidRPr="00BF281D" w:rsidRDefault="00E52C32" w:rsidP="00AE6859">
      <w:r w:rsidRPr="00BF281D">
        <w:t>This RIS and t</w:t>
      </w:r>
      <w:r w:rsidR="00AE6859" w:rsidRPr="00BF281D">
        <w:t xml:space="preserve">he proposed </w:t>
      </w:r>
      <w:r w:rsidR="006C5DDC">
        <w:t>regulations</w:t>
      </w:r>
      <w:r w:rsidR="00AE6859" w:rsidRPr="00BF281D">
        <w:t xml:space="preserve"> will be </w:t>
      </w:r>
      <w:r w:rsidR="00481C0B" w:rsidRPr="00BF281D">
        <w:t>publicly</w:t>
      </w:r>
      <w:r w:rsidR="00AE6859" w:rsidRPr="00BF281D">
        <w:t xml:space="preserve"> released </w:t>
      </w:r>
      <w:r w:rsidR="00481C0B" w:rsidRPr="00BF281D">
        <w:t xml:space="preserve">for </w:t>
      </w:r>
      <w:r w:rsidR="00481C0B" w:rsidRPr="005B1DC4">
        <w:t xml:space="preserve">a </w:t>
      </w:r>
      <w:r w:rsidR="00481C0B" w:rsidRPr="00B34FE1">
        <w:t>28-day period</w:t>
      </w:r>
      <w:r w:rsidR="00481C0B" w:rsidRPr="005B1DC4">
        <w:t xml:space="preserve"> to</w:t>
      </w:r>
      <w:r w:rsidR="00EE293F" w:rsidRPr="00BF281D">
        <w:t xml:space="preserve"> </w:t>
      </w:r>
      <w:r w:rsidR="00AE6859" w:rsidRPr="00BF281D">
        <w:t>provide</w:t>
      </w:r>
      <w:r w:rsidRPr="00BF281D">
        <w:t xml:space="preserve"> </w:t>
      </w:r>
      <w:r w:rsidR="003D3101" w:rsidRPr="00BF281D">
        <w:t xml:space="preserve">businesses, members of the public and other interested parties </w:t>
      </w:r>
      <w:r w:rsidR="00AE6859" w:rsidRPr="00BF281D">
        <w:t xml:space="preserve">the opportunity to provide feedback </w:t>
      </w:r>
      <w:r w:rsidR="00897FC6" w:rsidRPr="00BF281D">
        <w:t>through a formal submission process</w:t>
      </w:r>
      <w:r w:rsidR="00AE6859" w:rsidRPr="00BF281D">
        <w:t xml:space="preserve">. </w:t>
      </w:r>
    </w:p>
    <w:p w14:paraId="097BD7E8" w14:textId="5C2DDBED" w:rsidR="00AE6859" w:rsidRDefault="00AE6859" w:rsidP="00AE6859">
      <w:r w:rsidRPr="00BF281D">
        <w:t xml:space="preserve">The proposed </w:t>
      </w:r>
      <w:r w:rsidR="006C5DDC">
        <w:t>regulations</w:t>
      </w:r>
      <w:r w:rsidRPr="00BF281D">
        <w:t xml:space="preserve"> and RIS will be made available on </w:t>
      </w:r>
      <w:r w:rsidR="00BF4715" w:rsidRPr="00BF281D">
        <w:t>DJPRs website and</w:t>
      </w:r>
      <w:r w:rsidR="00BF4715" w:rsidRPr="00BF281D">
        <w:rPr>
          <w:i/>
          <w:iCs/>
        </w:rPr>
        <w:t xml:space="preserve"> </w:t>
      </w:r>
      <w:r w:rsidRPr="00BF281D">
        <w:rPr>
          <w:i/>
        </w:rPr>
        <w:t>Engage Victoria</w:t>
      </w:r>
      <w:r w:rsidRPr="00BF281D">
        <w:t>, the Victorian Government's Online Consultation platform</w:t>
      </w:r>
      <w:r w:rsidR="00BF4715" w:rsidRPr="00BF281D">
        <w:t xml:space="preserve">. </w:t>
      </w:r>
    </w:p>
    <w:p w14:paraId="708DCD79" w14:textId="77777777" w:rsidR="00ED0AEB" w:rsidRPr="00BF281D" w:rsidRDefault="00ED0AEB" w:rsidP="00AE6859"/>
    <w:p w14:paraId="6F16A81C" w14:textId="77777777" w:rsidR="00AE6859" w:rsidRPr="00BF281D" w:rsidRDefault="00AE6859" w:rsidP="00AE6859">
      <w:pPr>
        <w:pStyle w:val="Heading3"/>
        <w:ind w:left="720" w:hanging="720"/>
      </w:pPr>
      <w:r w:rsidRPr="00BF281D">
        <w:t>Addressing public comment</w:t>
      </w:r>
    </w:p>
    <w:p w14:paraId="4608E41C" w14:textId="0205E7D2" w:rsidR="00AE6859" w:rsidRPr="00BF281D" w:rsidRDefault="008C21ED" w:rsidP="001659CE">
      <w:r w:rsidRPr="00BF281D">
        <w:t>DJPR</w:t>
      </w:r>
      <w:r w:rsidR="00AE6859" w:rsidRPr="00BF281D">
        <w:t xml:space="preserve"> will consider all submissions received during the period of public review. </w:t>
      </w:r>
      <w:r w:rsidRPr="00BF281D">
        <w:t>DJPR</w:t>
      </w:r>
      <w:r w:rsidR="00AE6859" w:rsidRPr="00BF281D">
        <w:t xml:space="preserve"> will prepare a </w:t>
      </w:r>
      <w:r w:rsidR="00897FC6" w:rsidRPr="00BF281D">
        <w:t xml:space="preserve">Statement of Reasons </w:t>
      </w:r>
      <w:r w:rsidR="00AE6859" w:rsidRPr="00BF281D">
        <w:t xml:space="preserve">summarising the submissions received and </w:t>
      </w:r>
      <w:r w:rsidR="002B166F" w:rsidRPr="00BF281D">
        <w:t xml:space="preserve">their </w:t>
      </w:r>
      <w:r w:rsidR="00AE6859" w:rsidRPr="00BF281D">
        <w:t>response. Submissions to the</w:t>
      </w:r>
      <w:r w:rsidR="00BF78A5" w:rsidRPr="00BF281D">
        <w:t xml:space="preserve"> RIS and draft regulations</w:t>
      </w:r>
      <w:r w:rsidR="00AE6859" w:rsidRPr="00BF281D">
        <w:t>, and the</w:t>
      </w:r>
      <w:r w:rsidR="00DD474E" w:rsidRPr="00BF281D">
        <w:t xml:space="preserve"> Statement of Reasons</w:t>
      </w:r>
      <w:r w:rsidR="00AE6859" w:rsidRPr="00BF281D">
        <w:t xml:space="preserve">, will also be made available </w:t>
      </w:r>
      <w:r w:rsidR="00DD474E" w:rsidRPr="00BF281D">
        <w:t>through the</w:t>
      </w:r>
      <w:r w:rsidR="00AE6859" w:rsidRPr="00BF281D">
        <w:t xml:space="preserve"> Engage Victoria website.</w:t>
      </w:r>
    </w:p>
    <w:p w14:paraId="5E23D30C" w14:textId="1B56A2DD" w:rsidR="00AE6859" w:rsidRPr="00BF281D" w:rsidRDefault="00AE6859" w:rsidP="00AE6859">
      <w:pPr>
        <w:pStyle w:val="Heading2"/>
        <w:spacing w:before="120" w:line="240" w:lineRule="atLeast"/>
        <w:ind w:left="576" w:hanging="576"/>
        <w:rPr>
          <w:szCs w:val="18"/>
        </w:rPr>
      </w:pPr>
      <w:bookmarkStart w:id="85" w:name="_Toc9366984"/>
      <w:bookmarkStart w:id="86" w:name="_Toc10111302"/>
      <w:bookmarkStart w:id="87" w:name="_Toc17892127"/>
      <w:bookmarkStart w:id="88" w:name="_Toc19092405"/>
      <w:bookmarkStart w:id="89" w:name="_Toc69839571"/>
      <w:bookmarkStart w:id="90" w:name="_Toc67663753"/>
      <w:r w:rsidRPr="001528D0">
        <w:rPr>
          <w:color w:val="012169" w:themeColor="accent4"/>
          <w:szCs w:val="18"/>
        </w:rPr>
        <w:t xml:space="preserve">Structure of </w:t>
      </w:r>
      <w:bookmarkEnd w:id="85"/>
      <w:bookmarkEnd w:id="86"/>
      <w:bookmarkEnd w:id="87"/>
      <w:bookmarkEnd w:id="88"/>
      <w:r w:rsidR="005A1F68" w:rsidRPr="001528D0">
        <w:rPr>
          <w:color w:val="012169" w:themeColor="accent4"/>
          <w:szCs w:val="18"/>
        </w:rPr>
        <w:t>this RIS</w:t>
      </w:r>
      <w:bookmarkEnd w:id="89"/>
      <w:bookmarkEnd w:id="90"/>
    </w:p>
    <w:p w14:paraId="3A43D520" w14:textId="45A262FE" w:rsidR="004C5B01" w:rsidRPr="00012DD6" w:rsidRDefault="004C5B01" w:rsidP="004C5B01">
      <w:pPr>
        <w:pStyle w:val="BodyText"/>
      </w:pPr>
      <w:r w:rsidRPr="00BF281D">
        <w:t xml:space="preserve">In Victoria, if a regulatory proposal </w:t>
      </w:r>
      <w:r w:rsidRPr="00BF281D" w:rsidDel="00375339">
        <w:t xml:space="preserve">may </w:t>
      </w:r>
      <w:r w:rsidRPr="00BF281D">
        <w:t xml:space="preserve">change regulation and is likely </w:t>
      </w:r>
      <w:r w:rsidRPr="00012DD6">
        <w:t>to result in a significant economic or social burden on the community, a Regulatory Impact Statement (RIS) must be prepared. The RIS must comply</w:t>
      </w:r>
      <w:r w:rsidRPr="00817682" w:rsidDel="00B0187F">
        <w:t xml:space="preserve"> </w:t>
      </w:r>
      <w:r w:rsidRPr="00BF281D">
        <w:t>with the Department of Treasury and Finance</w:t>
      </w:r>
      <w:r w:rsidRPr="00BF281D">
        <w:rPr>
          <w:i/>
        </w:rPr>
        <w:t xml:space="preserve"> Guide to Regulation</w:t>
      </w:r>
      <w:r w:rsidRPr="00BF281D">
        <w:t xml:space="preserve"> and the </w:t>
      </w:r>
      <w:r w:rsidRPr="00BF281D">
        <w:rPr>
          <w:i/>
          <w:iCs/>
        </w:rPr>
        <w:t>Subordinate Legislation Act 1994</w:t>
      </w:r>
      <w:r w:rsidR="008C6D13">
        <w:rPr>
          <w:i/>
          <w:iCs/>
        </w:rPr>
        <w:t>.</w:t>
      </w:r>
    </w:p>
    <w:p w14:paraId="1F645B23" w14:textId="3472B3CC" w:rsidR="00AE6859" w:rsidRPr="00BF281D" w:rsidRDefault="004C5B01" w:rsidP="00012DD6">
      <w:pPr>
        <w:pStyle w:val="BodyText"/>
      </w:pPr>
      <w:r w:rsidRPr="00012DD6">
        <w:t xml:space="preserve">The Victorian Guide to Regulation has a clear and structured framework for drafting an impacts assessment which includes a RIS. In this case, the RIS must contain seven key elements, and this accords with the structure of </w:t>
      </w:r>
      <w:r w:rsidR="00AE6859" w:rsidRPr="00BF281D">
        <w:t>this report</w:t>
      </w:r>
      <w:r w:rsidRPr="00BF281D">
        <w:t xml:space="preserve"> which</w:t>
      </w:r>
      <w:r w:rsidR="00AE6859" w:rsidRPr="00BF281D">
        <w:t xml:space="preserve"> is structured as follows:</w:t>
      </w:r>
    </w:p>
    <w:p w14:paraId="68091724" w14:textId="0752D7BD" w:rsidR="00AE6859" w:rsidRPr="00BF281D" w:rsidRDefault="00AE6859" w:rsidP="00AE6859">
      <w:pPr>
        <w:spacing w:after="0"/>
      </w:pPr>
      <w:r w:rsidRPr="00BF281D">
        <w:t xml:space="preserve">Chapter 2 – Problem </w:t>
      </w:r>
      <w:r w:rsidR="008C21ED" w:rsidRPr="00BF281D">
        <w:t>statement</w:t>
      </w:r>
    </w:p>
    <w:p w14:paraId="3FC9C095" w14:textId="4BBEBC5D" w:rsidR="00AE6859" w:rsidRPr="00BF281D" w:rsidRDefault="00CE6A5F" w:rsidP="00AE6859">
      <w:pPr>
        <w:spacing w:after="0"/>
      </w:pPr>
      <w:r w:rsidRPr="00BF281D">
        <w:t xml:space="preserve">Chapter </w:t>
      </w:r>
      <w:r w:rsidR="000E14E7" w:rsidRPr="00BF281D">
        <w:t xml:space="preserve">3 </w:t>
      </w:r>
      <w:r w:rsidRPr="00BF281D">
        <w:t>– Options development</w:t>
      </w:r>
    </w:p>
    <w:p w14:paraId="39EDDB50" w14:textId="7946A3AF" w:rsidR="00AE6859" w:rsidRPr="00BF281D" w:rsidRDefault="00AE6859" w:rsidP="00AE6859">
      <w:pPr>
        <w:spacing w:after="0"/>
      </w:pPr>
      <w:r w:rsidRPr="00BF281D">
        <w:t xml:space="preserve">Chapter </w:t>
      </w:r>
      <w:r w:rsidR="000E14E7" w:rsidRPr="00BF281D">
        <w:t xml:space="preserve">4 </w:t>
      </w:r>
      <w:r w:rsidRPr="00BF281D">
        <w:t>– Options analysis and preferred option</w:t>
      </w:r>
    </w:p>
    <w:p w14:paraId="2F5A13DA" w14:textId="260270EE" w:rsidR="007A60CB" w:rsidRPr="00BF281D" w:rsidRDefault="007A60CB" w:rsidP="00AE6859">
      <w:pPr>
        <w:spacing w:after="0"/>
      </w:pPr>
      <w:r w:rsidRPr="00BF281D">
        <w:t xml:space="preserve">Chapter </w:t>
      </w:r>
      <w:r w:rsidR="000E14E7" w:rsidRPr="00BF281D">
        <w:t>5</w:t>
      </w:r>
      <w:r w:rsidRPr="00BF281D">
        <w:t xml:space="preserve"> – Impact on competition and small business</w:t>
      </w:r>
    </w:p>
    <w:p w14:paraId="750354F7" w14:textId="5F0AB7C5" w:rsidR="00AE6859" w:rsidRPr="00BF281D" w:rsidRDefault="00AE6859" w:rsidP="00AE6859">
      <w:pPr>
        <w:spacing w:after="0"/>
      </w:pPr>
      <w:r w:rsidRPr="00BF281D">
        <w:t xml:space="preserve">Chapter </w:t>
      </w:r>
      <w:r w:rsidR="000E14E7" w:rsidRPr="00BF281D">
        <w:t xml:space="preserve">6 </w:t>
      </w:r>
      <w:r w:rsidRPr="00BF281D">
        <w:t xml:space="preserve">– </w:t>
      </w:r>
      <w:r w:rsidR="00D52B72" w:rsidRPr="00BF281D">
        <w:t>Implementation and evaluation</w:t>
      </w:r>
      <w:r w:rsidRPr="00BF281D">
        <w:t xml:space="preserve"> </w:t>
      </w:r>
    </w:p>
    <w:p w14:paraId="64994856" w14:textId="58A0711A" w:rsidR="000E14E7" w:rsidRPr="00BF281D" w:rsidRDefault="000E14E7" w:rsidP="000E14E7">
      <w:pPr>
        <w:spacing w:after="0"/>
      </w:pPr>
      <w:r w:rsidRPr="00BF281D">
        <w:t>Appendix A – Detailed options analysis</w:t>
      </w:r>
    </w:p>
    <w:p w14:paraId="00154685" w14:textId="5C5D6F12" w:rsidR="000E14E7" w:rsidRPr="00BF281D" w:rsidRDefault="000E14E7" w:rsidP="000E14E7">
      <w:pPr>
        <w:spacing w:after="0"/>
      </w:pPr>
      <w:r w:rsidRPr="00BF281D">
        <w:t>Appendix B – Stakeholder engagement</w:t>
      </w:r>
    </w:p>
    <w:p w14:paraId="159F10DC" w14:textId="59895E72" w:rsidR="000E14E7" w:rsidRPr="00BF281D" w:rsidRDefault="000E14E7" w:rsidP="000E14E7">
      <w:pPr>
        <w:spacing w:after="0"/>
      </w:pPr>
      <w:r w:rsidRPr="00BF281D">
        <w:t>Appendix C - Cross jurisdiction</w:t>
      </w:r>
      <w:r w:rsidR="00E14BDE" w:rsidRPr="00BF281D">
        <w:t>al</w:t>
      </w:r>
      <w:r w:rsidRPr="00BF281D">
        <w:t xml:space="preserve"> analysis</w:t>
      </w:r>
      <w:r w:rsidR="004C5B01" w:rsidRPr="00BF281D">
        <w:br/>
      </w:r>
    </w:p>
    <w:p w14:paraId="4ADCFCAA" w14:textId="77777777" w:rsidR="004C5B01" w:rsidRPr="00817682" w:rsidRDefault="004C5B01" w:rsidP="004C5B01">
      <w:pPr>
        <w:rPr>
          <w:rFonts w:cs="Calibri"/>
          <w:szCs w:val="22"/>
          <w:lang w:eastAsia="en-AU"/>
        </w:rPr>
      </w:pPr>
      <w:r w:rsidRPr="00BF281D">
        <w:rPr>
          <w:rFonts w:cs="Calibri"/>
          <w:szCs w:val="22"/>
          <w:lang w:eastAsia="en-AU"/>
        </w:rPr>
        <w:t xml:space="preserve">In addition, relevant to all seven components is an overriding requirement that the degree of detail and depth of analysis must be commensurate with the magnitude of the problem and with the size of the potential impact of the proposal. </w:t>
      </w:r>
    </w:p>
    <w:p w14:paraId="1A170A6A" w14:textId="77777777" w:rsidR="009F65BC" w:rsidRPr="00BF281D" w:rsidRDefault="009F65BC" w:rsidP="009F65BC">
      <w:pPr>
        <w:rPr>
          <w:b/>
        </w:rPr>
      </w:pPr>
      <w:r w:rsidRPr="00BF281D">
        <w:rPr>
          <w:b/>
        </w:rPr>
        <w:t>Limitations</w:t>
      </w:r>
    </w:p>
    <w:p w14:paraId="5A9FA654" w14:textId="3991AC9B" w:rsidR="00AE6859" w:rsidRPr="00BF281D" w:rsidRDefault="009F65BC" w:rsidP="009942E2">
      <w:r w:rsidRPr="00BF281D">
        <w:t>This report is prepared solely for the Department of Jobs, Precincts and Regions</w:t>
      </w:r>
      <w:r w:rsidR="00DA19AF">
        <w:t xml:space="preserve">. </w:t>
      </w:r>
      <w:r w:rsidRPr="00BF281D">
        <w:t xml:space="preserve">This report is not intended to and should not be used or relied upon by anyone else and we accept no duty of care to any other person or entity. The report has been prepared for the purpose </w:t>
      </w:r>
      <w:r w:rsidR="005F1BAC">
        <w:t xml:space="preserve">of preparing a Regulatory Impact Statement for assessing options for the remaking of the </w:t>
      </w:r>
      <w:r w:rsidR="005F1BAC" w:rsidRPr="00B34FE1">
        <w:t>Petroleum Regulations 2011</w:t>
      </w:r>
      <w:r w:rsidRPr="00BF281D">
        <w:t xml:space="preserve">. </w:t>
      </w:r>
      <w:r w:rsidR="002D3208">
        <w:t>T</w:t>
      </w:r>
      <w:r w:rsidRPr="00BF281D">
        <w:t>his report should not be used or referred to for any other purpose.</w:t>
      </w:r>
    </w:p>
    <w:p w14:paraId="5B22D4DF" w14:textId="3AC24E19" w:rsidR="00AD2B0F" w:rsidRPr="00BF281D" w:rsidRDefault="00E21C22" w:rsidP="00452F12">
      <w:pPr>
        <w:pStyle w:val="Heading1"/>
      </w:pPr>
      <w:bookmarkStart w:id="91" w:name="_Ref64634007"/>
      <w:bookmarkStart w:id="92" w:name="_Toc69839572"/>
      <w:bookmarkStart w:id="93" w:name="_Toc67663754"/>
      <w:bookmarkStart w:id="94" w:name="_Toc447626781"/>
      <w:r w:rsidRPr="00BF281D">
        <w:lastRenderedPageBreak/>
        <w:t xml:space="preserve">Problem </w:t>
      </w:r>
      <w:r w:rsidR="00322539" w:rsidRPr="00BF281D">
        <w:t>statement</w:t>
      </w:r>
      <w:r w:rsidR="00AE1257" w:rsidRPr="00BF281D">
        <w:t>s</w:t>
      </w:r>
      <w:bookmarkEnd w:id="91"/>
      <w:bookmarkEnd w:id="92"/>
      <w:bookmarkEnd w:id="93"/>
    </w:p>
    <w:p w14:paraId="624D4866" w14:textId="2F686982" w:rsidR="00AD2B0F" w:rsidRPr="00BF281D" w:rsidRDefault="00BA7C83" w:rsidP="00AD2B0F">
      <w:pPr>
        <w:pStyle w:val="Sectionintro"/>
      </w:pPr>
      <w:proofErr w:type="gramStart"/>
      <w:r w:rsidRPr="00BF281D">
        <w:t>In order to</w:t>
      </w:r>
      <w:proofErr w:type="gramEnd"/>
      <w:r w:rsidRPr="00BF281D">
        <w:t xml:space="preserve"> </w:t>
      </w:r>
      <w:r w:rsidR="00CA65A6" w:rsidRPr="00BF281D">
        <w:t>justify</w:t>
      </w:r>
      <w:r w:rsidRPr="00BF281D">
        <w:t xml:space="preserve"> the need for </w:t>
      </w:r>
      <w:r w:rsidR="00CA65A6" w:rsidRPr="00BF281D">
        <w:t xml:space="preserve">government intervention, </w:t>
      </w:r>
      <w:r w:rsidR="009F0227" w:rsidRPr="00BF281D">
        <w:t>a</w:t>
      </w:r>
      <w:r w:rsidR="00CA65A6" w:rsidRPr="00BF281D">
        <w:t xml:space="preserve"> RIS must establish the problem</w:t>
      </w:r>
      <w:r w:rsidR="0086195A" w:rsidRPr="00BF281D">
        <w:t xml:space="preserve"> that the proposed regulations are seeking to address. </w:t>
      </w:r>
      <w:r w:rsidR="006C3600" w:rsidRPr="00BF281D">
        <w:t xml:space="preserve">This Chapter outlines the potential issues that </w:t>
      </w:r>
      <w:r w:rsidR="00BB380F" w:rsidRPr="00BF281D">
        <w:t xml:space="preserve">exist in </w:t>
      </w:r>
      <w:r w:rsidR="006C3600" w:rsidRPr="00BF281D">
        <w:t xml:space="preserve">the </w:t>
      </w:r>
      <w:r w:rsidR="00BB380F" w:rsidRPr="00BF281D">
        <w:t xml:space="preserve">absence of </w:t>
      </w:r>
      <w:r w:rsidR="00511D5B">
        <w:t>the Petroleum R</w:t>
      </w:r>
      <w:r w:rsidR="00BB380F" w:rsidRPr="00BF281D">
        <w:t>egulations</w:t>
      </w:r>
      <w:r w:rsidR="006C3600" w:rsidRPr="00BF281D">
        <w:t>.</w:t>
      </w:r>
      <w:r w:rsidR="00CA65A6" w:rsidRPr="00BF281D">
        <w:t xml:space="preserve"> </w:t>
      </w:r>
    </w:p>
    <w:p w14:paraId="6462F12E" w14:textId="24978908" w:rsidR="00390BB0" w:rsidRDefault="00270385" w:rsidP="00ED14F0">
      <w:r w:rsidRPr="00BF281D">
        <w:t xml:space="preserve">The key objective </w:t>
      </w:r>
      <w:r w:rsidR="00E1480A" w:rsidRPr="00BF281D">
        <w:t>for re-making</w:t>
      </w:r>
      <w:r w:rsidR="00046AF1" w:rsidRPr="00BF281D">
        <w:t xml:space="preserve"> and updating</w:t>
      </w:r>
      <w:r w:rsidRPr="00BF281D">
        <w:t xml:space="preserve"> the Petroleum Regulations is to support</w:t>
      </w:r>
      <w:r w:rsidR="00B475AD" w:rsidRPr="00BF281D">
        <w:t xml:space="preserve"> and encourage</w:t>
      </w:r>
      <w:r w:rsidRPr="00BF281D">
        <w:t xml:space="preserve"> the orderly restart of the onshore conventional gas industry in Victoria and to fully implement reforms arising from the </w:t>
      </w:r>
      <w:r w:rsidR="00501462">
        <w:t>Amendment Act</w:t>
      </w:r>
      <w:r w:rsidRPr="00BF281D">
        <w:rPr>
          <w:i/>
          <w:iCs/>
        </w:rPr>
        <w:t xml:space="preserve"> </w:t>
      </w:r>
      <w:r w:rsidRPr="00BF281D">
        <w:t xml:space="preserve">and the findings of the </w:t>
      </w:r>
      <w:r w:rsidR="0081130E" w:rsidRPr="00BF281D">
        <w:t>VGP</w:t>
      </w:r>
      <w:r w:rsidRPr="00BF281D">
        <w:t>.</w:t>
      </w:r>
      <w:r w:rsidR="00034AC1" w:rsidRPr="00BF281D">
        <w:t xml:space="preserve"> Without sufficient and appropriate </w:t>
      </w:r>
      <w:r w:rsidR="008A3EF6" w:rsidRPr="00BF281D">
        <w:t>regulation,</w:t>
      </w:r>
      <w:r w:rsidR="00AE1257" w:rsidRPr="00BF281D">
        <w:t xml:space="preserve"> </w:t>
      </w:r>
      <w:r w:rsidR="00034AC1" w:rsidRPr="00BF281D">
        <w:t xml:space="preserve">it </w:t>
      </w:r>
      <w:r w:rsidR="00CF5789" w:rsidRPr="00BF281D">
        <w:t xml:space="preserve">will be difficult for the industry to re-start </w:t>
      </w:r>
      <w:r w:rsidR="00F814C9" w:rsidRPr="00BF281D">
        <w:t>effectively and</w:t>
      </w:r>
      <w:r w:rsidR="00B475AD" w:rsidRPr="00BF281D">
        <w:t xml:space="preserve"> respond to the finding</w:t>
      </w:r>
      <w:r w:rsidR="00E86F3F" w:rsidRPr="00BF281D">
        <w:t>s of the VGP.</w:t>
      </w:r>
      <w:r w:rsidR="003C7EB8">
        <w:t xml:space="preserve"> </w:t>
      </w:r>
    </w:p>
    <w:p w14:paraId="4494856D" w14:textId="4C6831D7" w:rsidR="00246EAC" w:rsidRDefault="00246EAC" w:rsidP="00ED14F0">
      <w:r>
        <w:t xml:space="preserve">As required by the Victorian Guide to Regulation, the problems outlined below were developed with reference to the Base Case. That is, these problems are likely to be realised if the </w:t>
      </w:r>
      <w:r w:rsidRPr="00720614">
        <w:t>Petroleum Regulations 2011</w:t>
      </w:r>
      <w:r>
        <w:t xml:space="preserve"> sunsetted and the Petroleum Act was operating in isolation without supporting regulations.  </w:t>
      </w:r>
    </w:p>
    <w:p w14:paraId="19888940" w14:textId="0C84E620" w:rsidR="00307994" w:rsidRPr="00BF281D" w:rsidRDefault="00DC7D13" w:rsidP="00307994">
      <w:pPr>
        <w:pStyle w:val="Heading2"/>
        <w:numPr>
          <w:ilvl w:val="1"/>
          <w:numId w:val="1"/>
        </w:numPr>
      </w:pPr>
      <w:bookmarkStart w:id="95" w:name="_Toc69839573"/>
      <w:bookmarkStart w:id="96" w:name="_Toc67663755"/>
      <w:bookmarkEnd w:id="94"/>
      <w:r w:rsidRPr="001528D0">
        <w:rPr>
          <w:color w:val="012169" w:themeColor="accent4"/>
        </w:rPr>
        <w:t>Problem 1</w:t>
      </w:r>
      <w:r w:rsidR="00271388" w:rsidRPr="00BF281D">
        <w:t xml:space="preserve"> </w:t>
      </w:r>
      <w:r w:rsidR="00F34ACA" w:rsidRPr="001528D0">
        <w:rPr>
          <w:color w:val="012169" w:themeColor="accent4"/>
        </w:rPr>
        <w:t>–</w:t>
      </w:r>
      <w:r w:rsidR="00271388" w:rsidRPr="00BF281D">
        <w:t xml:space="preserve"> </w:t>
      </w:r>
      <w:r w:rsidR="00576786" w:rsidRPr="001528D0">
        <w:rPr>
          <w:color w:val="012169" w:themeColor="accent4"/>
        </w:rPr>
        <w:t>Onshore conventional p</w:t>
      </w:r>
      <w:r w:rsidR="00E22363" w:rsidRPr="001528D0">
        <w:rPr>
          <w:color w:val="012169" w:themeColor="accent4"/>
        </w:rPr>
        <w:t xml:space="preserve">etroleum </w:t>
      </w:r>
      <w:r w:rsidR="00576786" w:rsidRPr="001528D0">
        <w:rPr>
          <w:color w:val="012169" w:themeColor="accent4"/>
        </w:rPr>
        <w:t xml:space="preserve">resource </w:t>
      </w:r>
      <w:r w:rsidR="00E22363" w:rsidRPr="001528D0">
        <w:rPr>
          <w:color w:val="012169" w:themeColor="accent4"/>
        </w:rPr>
        <w:t>development is insufficiently encouraged</w:t>
      </w:r>
      <w:r w:rsidR="00576786" w:rsidRPr="001528D0">
        <w:rPr>
          <w:color w:val="012169" w:themeColor="accent4"/>
        </w:rPr>
        <w:t xml:space="preserve"> in Victoria</w:t>
      </w:r>
      <w:bookmarkEnd w:id="95"/>
      <w:bookmarkEnd w:id="96"/>
    </w:p>
    <w:p w14:paraId="2CDD8EDC" w14:textId="77777777" w:rsidR="00EE70A9" w:rsidRPr="00BF281D" w:rsidRDefault="007F7137" w:rsidP="007F7137">
      <w:r w:rsidRPr="00BF281D">
        <w:t xml:space="preserve">The objectives of the Petroleum Act are to </w:t>
      </w:r>
      <w:r w:rsidR="008170BA" w:rsidRPr="00BF281D">
        <w:t xml:space="preserve">encourage the </w:t>
      </w:r>
      <w:r w:rsidR="00EE70A9" w:rsidRPr="00BF281D">
        <w:t>exploration</w:t>
      </w:r>
      <w:r w:rsidR="008170BA" w:rsidRPr="00BF281D">
        <w:t xml:space="preserve"> for petroleum in Victoria and to promote </w:t>
      </w:r>
      <w:r w:rsidR="00EE70A9" w:rsidRPr="00BF281D">
        <w:t>petroleum production for the benefit of all Victorians by providing:</w:t>
      </w:r>
    </w:p>
    <w:p w14:paraId="2AF5F18D" w14:textId="64FE90B9" w:rsidR="00B86236" w:rsidRPr="00BF281D" w:rsidRDefault="007F7137" w:rsidP="00AE11D2">
      <w:pPr>
        <w:pStyle w:val="ListParagraph"/>
        <w:numPr>
          <w:ilvl w:val="0"/>
          <w:numId w:val="36"/>
        </w:numPr>
      </w:pPr>
      <w:r w:rsidRPr="00BF281D">
        <w:t>an orderly, fair</w:t>
      </w:r>
      <w:r w:rsidR="009A17D8" w:rsidRPr="00BF281D">
        <w:t>,</w:t>
      </w:r>
      <w:r w:rsidRPr="00BF281D">
        <w:t xml:space="preserve"> and competitive system for </w:t>
      </w:r>
      <w:r w:rsidR="00B86236" w:rsidRPr="00BF281D">
        <w:t xml:space="preserve">authorities enabling </w:t>
      </w:r>
      <w:r w:rsidRPr="00BF281D">
        <w:t>petroleum exploration and production</w:t>
      </w:r>
    </w:p>
    <w:p w14:paraId="3352043F" w14:textId="413856EC" w:rsidR="00B86236" w:rsidRPr="00BF281D" w:rsidRDefault="007F7137" w:rsidP="00AE11D2">
      <w:pPr>
        <w:pStyle w:val="ListParagraph"/>
        <w:numPr>
          <w:ilvl w:val="0"/>
          <w:numId w:val="36"/>
        </w:numPr>
      </w:pPr>
      <w:r w:rsidRPr="00BF281D">
        <w:t>a clear and effective administrative framework for organising petroleum development activities</w:t>
      </w:r>
    </w:p>
    <w:p w14:paraId="70654C9B" w14:textId="1A427D4F" w:rsidR="007E6C9C" w:rsidRPr="00BF281D" w:rsidRDefault="007F7137" w:rsidP="00AE11D2">
      <w:pPr>
        <w:pStyle w:val="ListParagraph"/>
        <w:numPr>
          <w:ilvl w:val="0"/>
          <w:numId w:val="36"/>
        </w:numPr>
      </w:pPr>
      <w:r w:rsidRPr="00BF281D">
        <w:t>a fiscal regime that offers petroleum explorers a fair return while benefiting all Victorians</w:t>
      </w:r>
    </w:p>
    <w:p w14:paraId="0E964DB2" w14:textId="03CE0D07" w:rsidR="007F7137" w:rsidRPr="00BF281D" w:rsidRDefault="007F7137" w:rsidP="00AE11D2">
      <w:pPr>
        <w:pStyle w:val="ListParagraph"/>
        <w:numPr>
          <w:ilvl w:val="0"/>
          <w:numId w:val="36"/>
        </w:numPr>
      </w:pPr>
      <w:r w:rsidRPr="00BF281D">
        <w:t xml:space="preserve">easy and effective access to information on Victoria's petroleum geology. </w:t>
      </w:r>
    </w:p>
    <w:p w14:paraId="372F6E6C" w14:textId="2A20A8A6" w:rsidR="007F7137" w:rsidRPr="00BF281D" w:rsidRDefault="007F7137" w:rsidP="007F7137">
      <w:r w:rsidRPr="00BF281D">
        <w:t>Petroleum exploration and development is dependent on perceptions of prospectivity and the likelihood of discovering and developing commercially viable resources</w:t>
      </w:r>
      <w:r w:rsidR="00E725EF" w:rsidRPr="00BF281D">
        <w:t>. It is also dependent</w:t>
      </w:r>
      <w:r w:rsidRPr="00BF281D">
        <w:t xml:space="preserve"> </w:t>
      </w:r>
      <w:r w:rsidR="00E725EF" w:rsidRPr="00BF281D">
        <w:t>on</w:t>
      </w:r>
      <w:r w:rsidRPr="00BF281D">
        <w:t xml:space="preserve"> effective regulatory frameworks that minimise barriers to investment. </w:t>
      </w:r>
      <w:r w:rsidR="0081130E" w:rsidRPr="00BF281D">
        <w:t>T</w:t>
      </w:r>
      <w:r w:rsidR="003F14DE" w:rsidRPr="00BF281D">
        <w:t>he Petroleum Act</w:t>
      </w:r>
      <w:r w:rsidR="000B7DB6">
        <w:t xml:space="preserve"> only provides a</w:t>
      </w:r>
      <w:r w:rsidR="0011187F" w:rsidRPr="00BF281D">
        <w:t xml:space="preserve"> high-level </w:t>
      </w:r>
      <w:r w:rsidR="002A184F">
        <w:t>framework and</w:t>
      </w:r>
      <w:r w:rsidR="002D1CFF">
        <w:t xml:space="preserve"> requires supporting </w:t>
      </w:r>
      <w:r w:rsidR="00C811C6" w:rsidRPr="00BF281D">
        <w:t xml:space="preserve">regulations to expand on the provisions of the Act </w:t>
      </w:r>
      <w:r w:rsidR="00113DB5">
        <w:t>and</w:t>
      </w:r>
      <w:r w:rsidR="00113DB5" w:rsidRPr="00BF281D">
        <w:t xml:space="preserve"> </w:t>
      </w:r>
      <w:r w:rsidR="00C811C6" w:rsidRPr="00BF281D">
        <w:t xml:space="preserve">provide the </w:t>
      </w:r>
      <w:r w:rsidR="00113DB5">
        <w:t xml:space="preserve">regulatory detail </w:t>
      </w:r>
      <w:r w:rsidR="007B0EE4" w:rsidRPr="00BF281D">
        <w:t xml:space="preserve">needed </w:t>
      </w:r>
      <w:r w:rsidR="00113DB5">
        <w:t>to enable</w:t>
      </w:r>
      <w:r w:rsidR="00113DB5" w:rsidRPr="00BF281D">
        <w:t xml:space="preserve"> </w:t>
      </w:r>
      <w:r w:rsidR="008F12BD" w:rsidRPr="00BF281D">
        <w:t>effective petroleum</w:t>
      </w:r>
      <w:r w:rsidRPr="00BF281D">
        <w:t xml:space="preserve"> resource development in </w:t>
      </w:r>
      <w:r w:rsidR="007B0EE4" w:rsidRPr="00BF281D">
        <w:t xml:space="preserve">the </w:t>
      </w:r>
      <w:r w:rsidR="001C101A" w:rsidRPr="00BF281D">
        <w:t>state. Without</w:t>
      </w:r>
      <w:r w:rsidR="008F12BD" w:rsidRPr="00BF281D">
        <w:t xml:space="preserve"> this framework, there is a great deal of uncertainty </w:t>
      </w:r>
      <w:proofErr w:type="gramStart"/>
      <w:r w:rsidR="008F12BD" w:rsidRPr="00BF281D">
        <w:t>with regar</w:t>
      </w:r>
      <w:r w:rsidR="001C101A" w:rsidRPr="00BF281D">
        <w:t>d</w:t>
      </w:r>
      <w:r w:rsidR="008F12BD" w:rsidRPr="00BF281D">
        <w:t xml:space="preserve"> to</w:t>
      </w:r>
      <w:proofErr w:type="gramEnd"/>
      <w:r w:rsidR="008F12BD" w:rsidRPr="00BF281D">
        <w:t xml:space="preserve"> implementing the Petroleum Act, both for industry and government.</w:t>
      </w:r>
    </w:p>
    <w:p w14:paraId="4A193B06" w14:textId="038E3F0B" w:rsidR="00BB3FFF" w:rsidRPr="00BF281D" w:rsidRDefault="00BB3FFF" w:rsidP="00307994">
      <w:r w:rsidRPr="00BF281D">
        <w:t>When process</w:t>
      </w:r>
      <w:r w:rsidR="00B9210C" w:rsidRPr="00BF281D">
        <w:t>es are not</w:t>
      </w:r>
      <w:r w:rsidRPr="00BF281D">
        <w:t xml:space="preserve"> </w:t>
      </w:r>
      <w:r w:rsidR="00B9210C" w:rsidRPr="00BF281D">
        <w:t xml:space="preserve">formally established </w:t>
      </w:r>
      <w:r w:rsidRPr="00BF281D">
        <w:t xml:space="preserve">for </w:t>
      </w:r>
      <w:r w:rsidR="00BB375C" w:rsidRPr="00BF281D">
        <w:t>the</w:t>
      </w:r>
      <w:r w:rsidRPr="00BF281D">
        <w:t xml:space="preserve"> development of documents such as operation </w:t>
      </w:r>
      <w:r w:rsidR="008056F1" w:rsidRPr="00BF281D">
        <w:t>plans</w:t>
      </w:r>
      <w:r w:rsidR="008056F1">
        <w:t xml:space="preserve">, </w:t>
      </w:r>
      <w:r w:rsidR="008056F1" w:rsidRPr="00BF281D">
        <w:t>development</w:t>
      </w:r>
      <w:r w:rsidRPr="00BF281D">
        <w:t xml:space="preserve"> </w:t>
      </w:r>
      <w:r w:rsidR="00B84B1B" w:rsidRPr="00BF281D">
        <w:t>plans,</w:t>
      </w:r>
      <w:r w:rsidRPr="00BF281D">
        <w:t xml:space="preserve"> </w:t>
      </w:r>
      <w:r w:rsidR="00A0705C">
        <w:t xml:space="preserve">and storage development plans, </w:t>
      </w:r>
      <w:r w:rsidRPr="00BF281D">
        <w:t xml:space="preserve">there can be </w:t>
      </w:r>
      <w:r w:rsidR="00A0705C">
        <w:t>unnecessary and avoidable</w:t>
      </w:r>
      <w:r w:rsidRPr="00BF281D">
        <w:t xml:space="preserve"> costs</w:t>
      </w:r>
      <w:r w:rsidR="00AE1257" w:rsidRPr="00BF281D">
        <w:t xml:space="preserve"> for both industry and government</w:t>
      </w:r>
      <w:r w:rsidRPr="00BF281D">
        <w:t>, such as:</w:t>
      </w:r>
    </w:p>
    <w:p w14:paraId="6DC2D940" w14:textId="03152F10" w:rsidR="00BB3FFF" w:rsidRPr="00BF281D" w:rsidRDefault="00BB3FFF" w:rsidP="00AE11D2">
      <w:pPr>
        <w:pStyle w:val="ListParagraph"/>
        <w:numPr>
          <w:ilvl w:val="0"/>
          <w:numId w:val="31"/>
        </w:numPr>
      </w:pPr>
      <w:r w:rsidRPr="00BF281D">
        <w:t xml:space="preserve">increased </w:t>
      </w:r>
      <w:r w:rsidR="00A0705C">
        <w:t>effort</w:t>
      </w:r>
      <w:r w:rsidRPr="00BF281D">
        <w:t xml:space="preserve"> from industry to determine what needs to be included</w:t>
      </w:r>
    </w:p>
    <w:p w14:paraId="45130B00" w14:textId="4F315273" w:rsidR="00BB3FFF" w:rsidRPr="00BF281D" w:rsidRDefault="00BB3FFF" w:rsidP="00AE11D2">
      <w:pPr>
        <w:pStyle w:val="ListParagraph"/>
        <w:numPr>
          <w:ilvl w:val="0"/>
          <w:numId w:val="31"/>
        </w:numPr>
      </w:pPr>
      <w:r w:rsidRPr="00BF281D">
        <w:t xml:space="preserve">risk of arbitrary or inconsistent decision-making by </w:t>
      </w:r>
      <w:r w:rsidR="00AE1257" w:rsidRPr="00BF281D">
        <w:t>g</w:t>
      </w:r>
      <w:r w:rsidRPr="00BF281D">
        <w:t>overnment</w:t>
      </w:r>
      <w:r w:rsidR="00CA2EA8">
        <w:t xml:space="preserve"> (including</w:t>
      </w:r>
      <w:r w:rsidR="00826618" w:rsidRPr="00BF281D">
        <w:t xml:space="preserve"> ERR</w:t>
      </w:r>
      <w:r w:rsidR="00CA2EA8">
        <w:t>)</w:t>
      </w:r>
      <w:r w:rsidR="00826618" w:rsidRPr="00BF281D">
        <w:t xml:space="preserve"> </w:t>
      </w:r>
    </w:p>
    <w:p w14:paraId="1507D010" w14:textId="349B3DBB" w:rsidR="00BB3FFF" w:rsidRPr="00BF281D" w:rsidRDefault="00AE5ECC" w:rsidP="00AE11D2">
      <w:pPr>
        <w:pStyle w:val="ListParagraph"/>
        <w:numPr>
          <w:ilvl w:val="0"/>
          <w:numId w:val="31"/>
        </w:numPr>
      </w:pPr>
      <w:r>
        <w:t>generation and provision of</w:t>
      </w:r>
      <w:r w:rsidR="00BB3FFF" w:rsidRPr="00BF281D">
        <w:t xml:space="preserve"> excessive information</w:t>
      </w:r>
      <w:r>
        <w:t xml:space="preserve"> by industry as regulatory requirements are not understood</w:t>
      </w:r>
      <w:r w:rsidR="00BB3FFF" w:rsidRPr="00BF281D">
        <w:t xml:space="preserve"> </w:t>
      </w:r>
    </w:p>
    <w:p w14:paraId="0195471A" w14:textId="429C0134" w:rsidR="00BB3FFF" w:rsidRPr="00BF281D" w:rsidRDefault="00BB3FFF" w:rsidP="00AE11D2">
      <w:pPr>
        <w:pStyle w:val="ListParagraph"/>
        <w:numPr>
          <w:ilvl w:val="0"/>
          <w:numId w:val="31"/>
        </w:numPr>
      </w:pPr>
      <w:r w:rsidRPr="00BF281D">
        <w:t xml:space="preserve">uncertainty </w:t>
      </w:r>
      <w:r w:rsidR="00AE5ECC">
        <w:t xml:space="preserve">and inconsistency in government decision making </w:t>
      </w:r>
      <w:r w:rsidRPr="00BF281D">
        <w:t>and time delays in processing plans.</w:t>
      </w:r>
    </w:p>
    <w:p w14:paraId="0A07AFAB" w14:textId="75E712A9" w:rsidR="00BB3FFF" w:rsidRPr="00BF281D" w:rsidRDefault="00302CD4" w:rsidP="00BB3FFF">
      <w:r w:rsidRPr="00BF281D">
        <w:t>In the absence of a formally established process, i</w:t>
      </w:r>
      <w:r w:rsidR="00BB3FFF" w:rsidRPr="00BF281D">
        <w:t xml:space="preserve">t is likely to be more difficult and costly for </w:t>
      </w:r>
      <w:r w:rsidR="00826618" w:rsidRPr="00BF281D">
        <w:t xml:space="preserve">ERR </w:t>
      </w:r>
      <w:r w:rsidR="00BB3FFF" w:rsidRPr="00BF281D">
        <w:t xml:space="preserve">to monitor and assess compliance with relevant legislation and performance against certain objectives. The role of monitoring and assessing compliance can be quite extensive for the Minister, particularly if there is no clear framework </w:t>
      </w:r>
      <w:r w:rsidR="00AB2B82" w:rsidRPr="00BF281D">
        <w:t>causing</w:t>
      </w:r>
      <w:r w:rsidR="00BB3FFF" w:rsidRPr="00BF281D">
        <w:t xml:space="preserve"> additional assessment and discretion </w:t>
      </w:r>
      <w:r w:rsidR="00AB2B82" w:rsidRPr="00BF281D">
        <w:t>to be exercised</w:t>
      </w:r>
      <w:r w:rsidR="00BB3FFF" w:rsidRPr="00BF281D">
        <w:t xml:space="preserve">. </w:t>
      </w:r>
    </w:p>
    <w:p w14:paraId="53AB500A" w14:textId="40547B93" w:rsidR="001659CE" w:rsidRPr="00BF281D" w:rsidRDefault="003F0874" w:rsidP="00BB3FFF">
      <w:r w:rsidRPr="00BF281D">
        <w:t xml:space="preserve">In relation to </w:t>
      </w:r>
      <w:r w:rsidR="001A3F82" w:rsidRPr="00BF281D">
        <w:t>data collection, a</w:t>
      </w:r>
      <w:r w:rsidR="00BB3FFF" w:rsidRPr="00BF281D">
        <w:t xml:space="preserve"> lack of detailed requirements also means that information on Victoria’s geology is difficult to obtain for industry and </w:t>
      </w:r>
      <w:r w:rsidR="00272CD5" w:rsidRPr="00BF281D">
        <w:t>g</w:t>
      </w:r>
      <w:r w:rsidR="00BB3FFF" w:rsidRPr="00BF281D">
        <w:t>overnment, further inhibiting petroleum development.</w:t>
      </w:r>
    </w:p>
    <w:p w14:paraId="0600ECD3" w14:textId="3CC3D761" w:rsidR="00E047E3" w:rsidRPr="00BF281D" w:rsidRDefault="00271388" w:rsidP="00307994">
      <w:pPr>
        <w:pStyle w:val="Heading2"/>
        <w:numPr>
          <w:ilvl w:val="1"/>
          <w:numId w:val="1"/>
        </w:numPr>
      </w:pPr>
      <w:bookmarkStart w:id="97" w:name="_Toc69839574"/>
      <w:bookmarkStart w:id="98" w:name="_Toc67663756"/>
      <w:r w:rsidRPr="001528D0">
        <w:rPr>
          <w:color w:val="012169" w:themeColor="accent4"/>
        </w:rPr>
        <w:lastRenderedPageBreak/>
        <w:t>Problem 2</w:t>
      </w:r>
      <w:r w:rsidR="00F34ACA" w:rsidRPr="00BF281D">
        <w:t xml:space="preserve"> </w:t>
      </w:r>
      <w:r w:rsidR="00ED51D6" w:rsidRPr="001528D0">
        <w:rPr>
          <w:color w:val="012169" w:themeColor="accent4"/>
        </w:rPr>
        <w:t>–</w:t>
      </w:r>
      <w:r w:rsidR="00F34ACA" w:rsidRPr="001528D0">
        <w:rPr>
          <w:color w:val="012169" w:themeColor="accent4"/>
        </w:rPr>
        <w:t xml:space="preserve"> </w:t>
      </w:r>
      <w:r w:rsidR="00854616" w:rsidRPr="001528D0">
        <w:rPr>
          <w:color w:val="012169" w:themeColor="accent4"/>
        </w:rPr>
        <w:t>The</w:t>
      </w:r>
      <w:r w:rsidR="00E047E3" w:rsidRPr="001528D0">
        <w:rPr>
          <w:color w:val="012169" w:themeColor="accent4"/>
        </w:rPr>
        <w:t xml:space="preserve"> petroleum industry </w:t>
      </w:r>
      <w:r w:rsidR="00854616" w:rsidRPr="001528D0">
        <w:rPr>
          <w:color w:val="012169" w:themeColor="accent4"/>
        </w:rPr>
        <w:t xml:space="preserve">lacks </w:t>
      </w:r>
      <w:r w:rsidR="0054704E" w:rsidRPr="001528D0">
        <w:rPr>
          <w:color w:val="012169" w:themeColor="accent4"/>
        </w:rPr>
        <w:t>social license</w:t>
      </w:r>
      <w:r w:rsidR="00854616" w:rsidRPr="001528D0">
        <w:rPr>
          <w:color w:val="012169" w:themeColor="accent4"/>
        </w:rPr>
        <w:t xml:space="preserve"> to operate</w:t>
      </w:r>
      <w:bookmarkEnd w:id="97"/>
      <w:bookmarkEnd w:id="98"/>
    </w:p>
    <w:p w14:paraId="074BC765" w14:textId="66DCE194" w:rsidR="00B327C9" w:rsidRPr="00BF281D" w:rsidRDefault="00333AEB" w:rsidP="00B327C9">
      <w:r>
        <w:t>The term</w:t>
      </w:r>
      <w:r w:rsidR="00B920F2">
        <w:t xml:space="preserve"> </w:t>
      </w:r>
      <w:r>
        <w:t>’</w:t>
      </w:r>
      <w:r w:rsidR="0054704E">
        <w:t>social license</w:t>
      </w:r>
      <w:r w:rsidR="00B920F2">
        <w:t xml:space="preserve"> to operate</w:t>
      </w:r>
      <w:r>
        <w:t>’</w:t>
      </w:r>
      <w:r w:rsidR="00B920F2">
        <w:t xml:space="preserve"> refers to the perceptions of local</w:t>
      </w:r>
      <w:r w:rsidR="00290F07">
        <w:t xml:space="preserve"> community and</w:t>
      </w:r>
      <w:r w:rsidR="00B920F2">
        <w:t xml:space="preserve"> stakeholders that a project, a company, or an industry that operates </w:t>
      </w:r>
      <w:proofErr w:type="gramStart"/>
      <w:r w:rsidR="00B920F2">
        <w:t>in a given</w:t>
      </w:r>
      <w:proofErr w:type="gramEnd"/>
      <w:r w:rsidR="00B920F2">
        <w:t xml:space="preserve"> area</w:t>
      </w:r>
      <w:r w:rsidR="00094433">
        <w:t xml:space="preserve"> or region is socially acceptable</w:t>
      </w:r>
      <w:r w:rsidR="00290F07">
        <w:t xml:space="preserve">, </w:t>
      </w:r>
      <w:r w:rsidR="00094433">
        <w:t>legitimate</w:t>
      </w:r>
      <w:r w:rsidR="00290F07">
        <w:t xml:space="preserve"> and has ongoing approval</w:t>
      </w:r>
      <w:r w:rsidR="00094433">
        <w:t xml:space="preserve">. </w:t>
      </w:r>
      <w:r w:rsidR="00F476B0">
        <w:t xml:space="preserve">The extent and nature of </w:t>
      </w:r>
      <w:r w:rsidR="001A02E3">
        <w:t>s</w:t>
      </w:r>
      <w:r w:rsidR="0054704E">
        <w:t>ocial license</w:t>
      </w:r>
      <w:r w:rsidR="00B327C9" w:rsidRPr="00BF281D">
        <w:t xml:space="preserve"> and community engagement benefits are </w:t>
      </w:r>
      <w:r w:rsidR="001A02E3">
        <w:t xml:space="preserve">difficult to measure and </w:t>
      </w:r>
      <w:r w:rsidR="00B327C9" w:rsidRPr="00BF281D">
        <w:t xml:space="preserve">largely intangible. </w:t>
      </w:r>
      <w:r w:rsidR="001A02E3">
        <w:t>However, i</w:t>
      </w:r>
      <w:r w:rsidR="0054536E" w:rsidRPr="00BF281D">
        <w:t xml:space="preserve">nformation relating to </w:t>
      </w:r>
      <w:r w:rsidR="00543767" w:rsidRPr="00BF281D">
        <w:t xml:space="preserve">a project’s </w:t>
      </w:r>
      <w:r w:rsidR="0054536E" w:rsidRPr="00BF281D">
        <w:t>community impacts</w:t>
      </w:r>
      <w:r w:rsidR="00543767" w:rsidRPr="00BF281D">
        <w:t xml:space="preserve"> and </w:t>
      </w:r>
      <w:r w:rsidR="00566D9C" w:rsidRPr="00BF281D">
        <w:t xml:space="preserve">the </w:t>
      </w:r>
      <w:r w:rsidR="00543767" w:rsidRPr="00BF281D">
        <w:t>associated costs and benefits</w:t>
      </w:r>
      <w:r w:rsidR="0054536E" w:rsidRPr="00BF281D">
        <w:t xml:space="preserve"> </w:t>
      </w:r>
      <w:r w:rsidR="00566D9C" w:rsidRPr="00BF281D">
        <w:t xml:space="preserve">are </w:t>
      </w:r>
      <w:r w:rsidR="0054536E" w:rsidRPr="00BF281D">
        <w:t xml:space="preserve">crucial as it </w:t>
      </w:r>
      <w:r w:rsidR="00116150" w:rsidRPr="00BF281D">
        <w:t xml:space="preserve">informs decisions </w:t>
      </w:r>
      <w:r w:rsidR="00566D9C" w:rsidRPr="00BF281D">
        <w:t xml:space="preserve">that are </w:t>
      </w:r>
      <w:r w:rsidR="005567D9" w:rsidRPr="00BF281D">
        <w:t xml:space="preserve">made </w:t>
      </w:r>
      <w:r w:rsidR="00566D9C" w:rsidRPr="00BF281D">
        <w:t xml:space="preserve">relating to </w:t>
      </w:r>
      <w:r w:rsidR="00543767" w:rsidRPr="00BF281D">
        <w:t>the</w:t>
      </w:r>
      <w:r w:rsidR="000E2E7E" w:rsidRPr="00BF281D">
        <w:t xml:space="preserve"> project.</w:t>
      </w:r>
      <w:r w:rsidR="00DA15C4" w:rsidRPr="00BF281D">
        <w:t xml:space="preserve"> </w:t>
      </w:r>
      <w:r w:rsidR="00B327C9" w:rsidRPr="00BF281D">
        <w:t xml:space="preserve">Without </w:t>
      </w:r>
      <w:r w:rsidR="00DC4355" w:rsidRPr="00BF281D">
        <w:t>specificity</w:t>
      </w:r>
      <w:r w:rsidR="00A45BEE" w:rsidRPr="00BF281D">
        <w:t xml:space="preserve"> in the regulations</w:t>
      </w:r>
      <w:r w:rsidR="00DC4355" w:rsidRPr="00BF281D">
        <w:t xml:space="preserve"> on </w:t>
      </w:r>
      <w:r w:rsidR="000D5500" w:rsidRPr="00BF281D">
        <w:t>what constitutes</w:t>
      </w:r>
      <w:r w:rsidR="00B327C9" w:rsidRPr="00BF281D">
        <w:t xml:space="preserve"> adequate </w:t>
      </w:r>
      <w:r w:rsidR="005567D9" w:rsidRPr="00BF281D">
        <w:t xml:space="preserve">community </w:t>
      </w:r>
      <w:r w:rsidR="00B327C9" w:rsidRPr="00BF281D">
        <w:t xml:space="preserve">consultation, </w:t>
      </w:r>
      <w:r w:rsidR="00566D9C" w:rsidRPr="00BF281D">
        <w:t xml:space="preserve">the </w:t>
      </w:r>
      <w:r w:rsidR="00B327C9" w:rsidRPr="00BF281D">
        <w:t xml:space="preserve">government </w:t>
      </w:r>
      <w:r w:rsidR="00826618" w:rsidRPr="00BF281D">
        <w:t xml:space="preserve">or ERR </w:t>
      </w:r>
      <w:r w:rsidR="00B327C9" w:rsidRPr="00BF281D">
        <w:t xml:space="preserve">may not </w:t>
      </w:r>
      <w:r w:rsidR="005567D9" w:rsidRPr="00BF281D">
        <w:t>rece</w:t>
      </w:r>
      <w:r w:rsidR="00430793" w:rsidRPr="00BF281D">
        <w:t>ive</w:t>
      </w:r>
      <w:r w:rsidR="005567D9" w:rsidRPr="00BF281D">
        <w:t xml:space="preserve"> </w:t>
      </w:r>
      <w:r w:rsidR="00B327C9" w:rsidRPr="00BF281D">
        <w:t xml:space="preserve">full and accurate information to </w:t>
      </w:r>
      <w:r w:rsidR="00353399" w:rsidRPr="00BF281D">
        <w:t xml:space="preserve">inform </w:t>
      </w:r>
      <w:r w:rsidR="00B327C9" w:rsidRPr="00BF281D">
        <w:t>decision</w:t>
      </w:r>
      <w:r w:rsidR="00353399" w:rsidRPr="00BF281D">
        <w:t>-making</w:t>
      </w:r>
      <w:r w:rsidR="0099157C" w:rsidRPr="00BF281D">
        <w:t xml:space="preserve">, and community </w:t>
      </w:r>
      <w:r w:rsidR="00B3064B" w:rsidRPr="00BF281D">
        <w:t>would not be confident that</w:t>
      </w:r>
      <w:r w:rsidR="00CC6585" w:rsidRPr="00BF281D">
        <w:t xml:space="preserve"> their </w:t>
      </w:r>
      <w:r w:rsidR="00143BE0" w:rsidRPr="00BF281D">
        <w:t xml:space="preserve">concerns </w:t>
      </w:r>
      <w:r w:rsidR="00CC6585" w:rsidRPr="00BF281D">
        <w:t>will</w:t>
      </w:r>
      <w:r w:rsidR="00143BE0" w:rsidRPr="00BF281D">
        <w:t xml:space="preserve"> be addressed</w:t>
      </w:r>
      <w:r w:rsidR="002C345B" w:rsidRPr="00BF281D">
        <w:t>.</w:t>
      </w:r>
    </w:p>
    <w:p w14:paraId="012D12DC" w14:textId="42C6EA72" w:rsidR="00B327C9" w:rsidRPr="00BF281D" w:rsidRDefault="00B327C9" w:rsidP="00B327C9">
      <w:r w:rsidRPr="00BF281D">
        <w:t xml:space="preserve">One way that public interest is expressed is through community engagement; inadequate community consultation and poor transparency regarding regulatory decisions can limit the </w:t>
      </w:r>
      <w:r w:rsidR="0054704E">
        <w:t>social license</w:t>
      </w:r>
      <w:r w:rsidRPr="00BF281D">
        <w:t xml:space="preserve"> of petroleum industry activities, leading to a lack of trust and acceptance of the industry. Without specifying regulatory requirements for consultation, the industry will have limited clarity </w:t>
      </w:r>
      <w:r w:rsidR="00566B78" w:rsidRPr="00BF281D">
        <w:t xml:space="preserve">regarding </w:t>
      </w:r>
      <w:r w:rsidRPr="00BF281D">
        <w:t xml:space="preserve">the required standards </w:t>
      </w:r>
      <w:r w:rsidR="004841CE" w:rsidRPr="00BF281D">
        <w:t xml:space="preserve">for adequate stakeholder engagement </w:t>
      </w:r>
      <w:r w:rsidRPr="00BF281D">
        <w:t xml:space="preserve">to meet </w:t>
      </w:r>
      <w:r w:rsidR="004841CE" w:rsidRPr="00BF281D">
        <w:t xml:space="preserve">both </w:t>
      </w:r>
      <w:r w:rsidRPr="00BF281D">
        <w:t>community and government expectations.</w:t>
      </w:r>
    </w:p>
    <w:p w14:paraId="64851BEB" w14:textId="194D1182" w:rsidR="00307994" w:rsidRPr="00BF281D" w:rsidRDefault="00B327C9" w:rsidP="00787ADE">
      <w:r w:rsidRPr="00BF281D">
        <w:t>When community consultation</w:t>
      </w:r>
      <w:r w:rsidR="00FD73DB">
        <w:t xml:space="preserve"> and engagement</w:t>
      </w:r>
      <w:r w:rsidRPr="00BF281D">
        <w:t xml:space="preserve"> is insufficient,</w:t>
      </w:r>
      <w:r w:rsidR="007802EE">
        <w:t xml:space="preserve"> it can lead to limited industry and government understanding </w:t>
      </w:r>
      <w:r w:rsidR="00CC45D0">
        <w:t xml:space="preserve">of how petroleum exploration and production activities can impact the community. </w:t>
      </w:r>
      <w:r w:rsidR="006A1591">
        <w:t xml:space="preserve">On the other side, insufficient engagement </w:t>
      </w:r>
      <w:r w:rsidR="00D349B6">
        <w:t xml:space="preserve">means that the community has </w:t>
      </w:r>
      <w:r w:rsidR="004A373F">
        <w:t xml:space="preserve">limited understanding </w:t>
      </w:r>
      <w:r w:rsidR="002E763D">
        <w:t>on h</w:t>
      </w:r>
      <w:r w:rsidR="00787ADE">
        <w:t xml:space="preserve">ow the </w:t>
      </w:r>
      <w:r w:rsidR="006E345E">
        <w:t>industry</w:t>
      </w:r>
      <w:r w:rsidR="00787ADE">
        <w:t xml:space="preserve"> and government are mitigating these risks</w:t>
      </w:r>
      <w:r w:rsidR="006E345E">
        <w:t xml:space="preserve">. This </w:t>
      </w:r>
      <w:r w:rsidR="00787ADE">
        <w:t>often lead</w:t>
      </w:r>
      <w:r w:rsidR="006E345E">
        <w:t xml:space="preserve">s </w:t>
      </w:r>
      <w:r w:rsidR="00787ADE">
        <w:t>to a lack of assurance</w:t>
      </w:r>
      <w:r w:rsidR="006A3148">
        <w:t xml:space="preserve"> in the community that the project, </w:t>
      </w:r>
      <w:proofErr w:type="gramStart"/>
      <w:r w:rsidR="006A3148">
        <w:t>company</w:t>
      </w:r>
      <w:proofErr w:type="gramEnd"/>
      <w:r w:rsidR="006A3148">
        <w:t xml:space="preserve"> or industry </w:t>
      </w:r>
      <w:r w:rsidR="00BA0499">
        <w:t>is socially acceptable</w:t>
      </w:r>
      <w:r w:rsidR="00631C78">
        <w:t xml:space="preserve"> and legitimate</w:t>
      </w:r>
      <w:r w:rsidR="00787ADE">
        <w:t xml:space="preserve">. </w:t>
      </w:r>
      <w:r w:rsidR="00335C46" w:rsidRPr="00BF281D">
        <w:t xml:space="preserve"> and transparent decision-making by government agencies</w:t>
      </w:r>
      <w:r w:rsidR="00B30325" w:rsidRPr="00BF281D">
        <w:t xml:space="preserve"> including ERR</w:t>
      </w:r>
      <w:r w:rsidR="00335C46" w:rsidRPr="00BF281D">
        <w:t xml:space="preserve"> is important for public and industry acceptance of regulatory decisions. Without regulations, there is a lack of clarity on the information that must be obtained and considered by the regulator or guidance on agreed outcomes. This could lead to resource development that is inconsistent with the Act or unnecessary regulatory costs and delays.</w:t>
      </w:r>
    </w:p>
    <w:p w14:paraId="399CC104" w14:textId="74149DC0" w:rsidR="00E047E3" w:rsidRPr="001528D0" w:rsidRDefault="00271388" w:rsidP="00307994">
      <w:pPr>
        <w:pStyle w:val="Heading2"/>
        <w:rPr>
          <w:color w:val="012169" w:themeColor="accent4"/>
        </w:rPr>
      </w:pPr>
      <w:bookmarkStart w:id="99" w:name="_Toc69839575"/>
      <w:bookmarkStart w:id="100" w:name="_Toc67663757"/>
      <w:r w:rsidRPr="001528D0">
        <w:rPr>
          <w:color w:val="012169" w:themeColor="accent4"/>
        </w:rPr>
        <w:t>Problem 3</w:t>
      </w:r>
      <w:r w:rsidR="00BB3841" w:rsidRPr="001528D0">
        <w:rPr>
          <w:color w:val="012169" w:themeColor="accent4"/>
        </w:rPr>
        <w:t xml:space="preserve"> </w:t>
      </w:r>
      <w:r w:rsidR="004B521C" w:rsidRPr="001528D0">
        <w:rPr>
          <w:color w:val="012169" w:themeColor="accent4"/>
        </w:rPr>
        <w:t>–</w:t>
      </w:r>
      <w:r w:rsidR="00BB3841" w:rsidRPr="001528D0">
        <w:rPr>
          <w:color w:val="012169" w:themeColor="accent4"/>
        </w:rPr>
        <w:t xml:space="preserve"> </w:t>
      </w:r>
      <w:r w:rsidR="00B327C9" w:rsidRPr="001528D0">
        <w:rPr>
          <w:color w:val="012169" w:themeColor="accent4"/>
        </w:rPr>
        <w:t>Victoria’s social and environmental interests are insufficiently protected</w:t>
      </w:r>
      <w:bookmarkEnd w:id="99"/>
      <w:bookmarkEnd w:id="100"/>
    </w:p>
    <w:p w14:paraId="549671BB" w14:textId="3CA5642B" w:rsidR="00866858" w:rsidRPr="00BF281D" w:rsidRDefault="00866858" w:rsidP="00866858">
      <w:r w:rsidRPr="00BF281D">
        <w:t xml:space="preserve">The Crown owns all naturally occurring petroleum in Victoria and is obliged to encourage petroleum exploration and production in line with the state’s interests. </w:t>
      </w:r>
    </w:p>
    <w:p w14:paraId="1BAB791B" w14:textId="3000AB73" w:rsidR="00B13C91" w:rsidRPr="00BF281D" w:rsidRDefault="00131035" w:rsidP="00B13C91">
      <w:r>
        <w:t>At the same time, p</w:t>
      </w:r>
      <w:r w:rsidR="00B13C91" w:rsidRPr="00BF281D">
        <w:t>etroleum exploration and production activities are inherently risky and have the potential to cause harm to the environment, public safety, and amenity. Without</w:t>
      </w:r>
      <w:r w:rsidR="00B13C91" w:rsidRPr="00BF281D" w:rsidDel="00346E81">
        <w:t xml:space="preserve"> </w:t>
      </w:r>
      <w:r w:rsidR="00B13C91" w:rsidRPr="00BF281D">
        <w:t xml:space="preserve">regulations, </w:t>
      </w:r>
      <w:r w:rsidR="00B13C91" w:rsidRPr="00BF281D">
        <w:rPr>
          <w:rFonts w:cstheme="minorHAnsi"/>
        </w:rPr>
        <w:t>risks to the environment and public safety are unable to be</w:t>
      </w:r>
      <w:r w:rsidR="00B13C91" w:rsidRPr="00BF281D" w:rsidDel="005A6037">
        <w:rPr>
          <w:rFonts w:cstheme="minorHAnsi"/>
        </w:rPr>
        <w:t xml:space="preserve"> </w:t>
      </w:r>
      <w:r w:rsidR="00B13C91" w:rsidRPr="00BF281D">
        <w:rPr>
          <w:rFonts w:cstheme="minorHAnsi"/>
        </w:rPr>
        <w:t>effectively managed by ERR and regulated parties. This is</w:t>
      </w:r>
      <w:r w:rsidR="00B13C91" w:rsidRPr="00BF281D">
        <w:t xml:space="preserve"> because there is insufficient specificity regarding the Petroleum Act’s objectives to:</w:t>
      </w:r>
    </w:p>
    <w:p w14:paraId="1C51B4E3" w14:textId="77777777" w:rsidR="00B13C91" w:rsidRPr="00BF281D" w:rsidRDefault="00B13C91" w:rsidP="00B13C91">
      <w:pPr>
        <w:pStyle w:val="ListParagraph"/>
        <w:numPr>
          <w:ilvl w:val="0"/>
          <w:numId w:val="37"/>
        </w:numPr>
        <w:spacing w:before="160" w:after="100" w:line="276" w:lineRule="auto"/>
        <w:rPr>
          <w:rFonts w:cstheme="minorHAnsi"/>
        </w:rPr>
      </w:pPr>
      <w:r w:rsidRPr="00BF281D">
        <w:rPr>
          <w:rFonts w:cstheme="minorHAnsi"/>
        </w:rPr>
        <w:t>ensure safe and efficient exploration for and production of petroleum</w:t>
      </w:r>
    </w:p>
    <w:p w14:paraId="05952529" w14:textId="77777777" w:rsidR="00B13C91" w:rsidRPr="00BF281D" w:rsidRDefault="00B13C91" w:rsidP="00B13C91">
      <w:pPr>
        <w:pStyle w:val="ListParagraph"/>
        <w:numPr>
          <w:ilvl w:val="0"/>
          <w:numId w:val="37"/>
        </w:numPr>
        <w:spacing w:before="160" w:after="100" w:line="276" w:lineRule="auto"/>
        <w:rPr>
          <w:rFonts w:cstheme="minorHAnsi"/>
        </w:rPr>
      </w:pPr>
      <w:r w:rsidRPr="00BF281D">
        <w:rPr>
          <w:rFonts w:cstheme="minorHAnsi"/>
        </w:rPr>
        <w:t xml:space="preserve">minimise </w:t>
      </w:r>
      <w:r w:rsidRPr="00BF281D">
        <w:rPr>
          <w:rFonts w:cstheme="minorHAnsi"/>
          <w:color w:val="000000"/>
        </w:rPr>
        <w:t xml:space="preserve">the impacts on individuals, public amenity and the environment as far as is practicable </w:t>
      </w:r>
    </w:p>
    <w:p w14:paraId="45BF4E51" w14:textId="77777777" w:rsidR="00B13C91" w:rsidRPr="00BF281D" w:rsidRDefault="00B13C91" w:rsidP="00B13C91">
      <w:pPr>
        <w:pStyle w:val="ListParagraph"/>
        <w:numPr>
          <w:ilvl w:val="0"/>
          <w:numId w:val="37"/>
        </w:numPr>
        <w:spacing w:before="160" w:after="100" w:line="276" w:lineRule="auto"/>
        <w:rPr>
          <w:rFonts w:cstheme="minorHAnsi"/>
        </w:rPr>
      </w:pPr>
      <w:r w:rsidRPr="00BF281D">
        <w:rPr>
          <w:rFonts w:cstheme="minorHAnsi"/>
          <w:color w:val="000000"/>
        </w:rPr>
        <w:t>to ensure that the land affected by petroleum activities is rehabilitated.</w:t>
      </w:r>
    </w:p>
    <w:p w14:paraId="2FBFA282" w14:textId="23CF4054" w:rsidR="00FF35B5" w:rsidRPr="00BF281D" w:rsidRDefault="00131035" w:rsidP="00866858">
      <w:r>
        <w:t>Further, t</w:t>
      </w:r>
      <w:r w:rsidR="003C1CD6" w:rsidRPr="00BF281D">
        <w:t xml:space="preserve">he Petroleum Act </w:t>
      </w:r>
      <w:r w:rsidR="00C04819">
        <w:t>alone</w:t>
      </w:r>
      <w:r w:rsidR="003C1CD6" w:rsidRPr="00BF281D">
        <w:t xml:space="preserve"> does not provide the</w:t>
      </w:r>
      <w:r w:rsidR="00866858" w:rsidRPr="00BF281D">
        <w:t xml:space="preserve"> </w:t>
      </w:r>
      <w:r w:rsidR="009751B4" w:rsidRPr="00BF281D">
        <w:t>s</w:t>
      </w:r>
      <w:r w:rsidR="00866858" w:rsidRPr="00BF281D">
        <w:t>tate wi</w:t>
      </w:r>
      <w:r w:rsidR="003C1CD6" w:rsidRPr="00BF281D">
        <w:t xml:space="preserve">th </w:t>
      </w:r>
      <w:r w:rsidR="00866858" w:rsidRPr="00BF281D">
        <w:t>sufficient information to</w:t>
      </w:r>
      <w:r w:rsidR="00FF35B5" w:rsidRPr="00BF281D">
        <w:t>:</w:t>
      </w:r>
    </w:p>
    <w:p w14:paraId="01A64AC9" w14:textId="03D24561" w:rsidR="00FF35B5" w:rsidRPr="00BF281D" w:rsidRDefault="00866858" w:rsidP="00AE11D2">
      <w:pPr>
        <w:pStyle w:val="ListParagraph"/>
        <w:numPr>
          <w:ilvl w:val="0"/>
          <w:numId w:val="38"/>
        </w:numPr>
      </w:pPr>
      <w:r w:rsidRPr="00BF281D">
        <w:t xml:space="preserve">understand the social and environmental impacts of resource development </w:t>
      </w:r>
    </w:p>
    <w:p w14:paraId="2A9603C7" w14:textId="670E3FE3" w:rsidR="00866858" w:rsidRPr="00BF281D" w:rsidRDefault="00866858" w:rsidP="00AE11D2">
      <w:pPr>
        <w:pStyle w:val="ListParagraph"/>
        <w:numPr>
          <w:ilvl w:val="0"/>
          <w:numId w:val="38"/>
        </w:numPr>
      </w:pPr>
      <w:r w:rsidRPr="00BF281D">
        <w:t xml:space="preserve">ensure the effective management of petroleum resources </w:t>
      </w:r>
      <w:r w:rsidR="00EE23A8" w:rsidRPr="00BF281D">
        <w:t xml:space="preserve">is </w:t>
      </w:r>
      <w:r w:rsidRPr="00BF281D">
        <w:t>consistent with the public interest for the benefit of all Victorians.</w:t>
      </w:r>
    </w:p>
    <w:p w14:paraId="4918CD11" w14:textId="4CC69E63" w:rsidR="002C345B" w:rsidRPr="00BF281D" w:rsidRDefault="00DE26E0" w:rsidP="002C345B">
      <w:r w:rsidRPr="00BF281D">
        <w:t xml:space="preserve">Under </w:t>
      </w:r>
      <w:r w:rsidR="00712830">
        <w:t>Part</w:t>
      </w:r>
      <w:r w:rsidR="001B116A">
        <w:t xml:space="preserve"> </w:t>
      </w:r>
      <w:r w:rsidR="00200632" w:rsidRPr="00BF281D">
        <w:t xml:space="preserve">1(a) of the </w:t>
      </w:r>
      <w:r w:rsidR="00501462">
        <w:t>Amendment Act</w:t>
      </w:r>
      <w:r w:rsidR="00200632" w:rsidRPr="00BF281D">
        <w:t xml:space="preserve">, </w:t>
      </w:r>
      <w:r w:rsidR="006D5C4F" w:rsidRPr="00BF281D">
        <w:t>the Petroleum Act will be amended so that</w:t>
      </w:r>
      <w:r w:rsidR="0068188A">
        <w:t xml:space="preserve"> </w:t>
      </w:r>
      <w:r w:rsidR="00342D95" w:rsidRPr="00BF281D">
        <w:t xml:space="preserve">prescribed social, </w:t>
      </w:r>
      <w:proofErr w:type="gramStart"/>
      <w:r w:rsidR="00342D95" w:rsidRPr="00BF281D">
        <w:t>environmental</w:t>
      </w:r>
      <w:proofErr w:type="gramEnd"/>
      <w:r w:rsidR="00342D95" w:rsidRPr="00BF281D">
        <w:t xml:space="preserve"> and economic factors</w:t>
      </w:r>
      <w:r w:rsidR="0068188A">
        <w:t xml:space="preserve"> </w:t>
      </w:r>
      <w:r w:rsidR="004367D3" w:rsidRPr="00BF281D">
        <w:t xml:space="preserve">must be taken into account in the making of certain decisions under the Act. </w:t>
      </w:r>
      <w:r w:rsidR="009C49A5" w:rsidRPr="00BF281D">
        <w:t xml:space="preserve">Regulations are required to </w:t>
      </w:r>
      <w:r w:rsidR="00053250" w:rsidRPr="00BF281D">
        <w:t xml:space="preserve">provide the prescription of these requirements. </w:t>
      </w:r>
      <w:r w:rsidR="0001462C" w:rsidRPr="00BF281D">
        <w:t>In addition, the Act</w:t>
      </w:r>
      <w:r w:rsidR="00290DBB" w:rsidRPr="00BF281D">
        <w:t xml:space="preserve"> </w:t>
      </w:r>
      <w:r w:rsidR="00617016" w:rsidRPr="00BF281D">
        <w:t>alone</w:t>
      </w:r>
      <w:r w:rsidR="00290DBB" w:rsidRPr="00BF281D">
        <w:t xml:space="preserve"> does not </w:t>
      </w:r>
      <w:r w:rsidR="00CC5C3E" w:rsidRPr="00BF281D">
        <w:t>contain any</w:t>
      </w:r>
      <w:r w:rsidR="0006231F">
        <w:t xml:space="preserve"> detailed</w:t>
      </w:r>
      <w:r w:rsidR="00CC5C3E" w:rsidRPr="00BF281D">
        <w:t xml:space="preserve"> </w:t>
      </w:r>
      <w:r w:rsidR="00C45B4E" w:rsidRPr="00BF281D">
        <w:t xml:space="preserve">provisions for risk mitigation such as </w:t>
      </w:r>
      <w:r w:rsidR="004C7722">
        <w:t>EMP</w:t>
      </w:r>
      <w:r w:rsidR="00C45B4E" w:rsidRPr="00BF281D">
        <w:t xml:space="preserve">s or incident reporting. </w:t>
      </w:r>
      <w:r w:rsidR="006B264F" w:rsidRPr="00BF281D">
        <w:t xml:space="preserve">Without these provisions, </w:t>
      </w:r>
      <w:r w:rsidR="00B829E6" w:rsidRPr="00BF281D">
        <w:t>environmental</w:t>
      </w:r>
      <w:r w:rsidR="00CF4C48">
        <w:t xml:space="preserve"> and social</w:t>
      </w:r>
      <w:r w:rsidR="00B829E6" w:rsidRPr="00BF281D">
        <w:t xml:space="preserve"> risks </w:t>
      </w:r>
      <w:r w:rsidR="00074A4F" w:rsidRPr="00BF281D">
        <w:t>may not be appropriately managed</w:t>
      </w:r>
      <w:r w:rsidR="00CF4C48">
        <w:t>.</w:t>
      </w:r>
      <w:r w:rsidR="007F30BC" w:rsidRPr="00BF281D">
        <w:t xml:space="preserve"> </w:t>
      </w:r>
      <w:r w:rsidR="003C5170" w:rsidRPr="00BF281D">
        <w:t>For example, regulations can be made with respect to:</w:t>
      </w:r>
    </w:p>
    <w:p w14:paraId="0AD1B7DC" w14:textId="75763F50" w:rsidR="00CF4C48" w:rsidRDefault="00CF4C48" w:rsidP="001B757C">
      <w:pPr>
        <w:pStyle w:val="ListParagraph"/>
        <w:numPr>
          <w:ilvl w:val="0"/>
          <w:numId w:val="66"/>
        </w:numPr>
      </w:pPr>
      <w:r>
        <w:t>the information to be contained in work programs, development plans, unit developments, operation plans, and other plans, manuals and reports required of authority holders</w:t>
      </w:r>
    </w:p>
    <w:p w14:paraId="4554EB0B" w14:textId="1DE23ECD" w:rsidR="00C60F7E" w:rsidRPr="00BF281D" w:rsidRDefault="001562DC" w:rsidP="001B757C">
      <w:pPr>
        <w:pStyle w:val="ListParagraph"/>
        <w:numPr>
          <w:ilvl w:val="0"/>
          <w:numId w:val="66"/>
        </w:numPr>
      </w:pPr>
      <w:r w:rsidRPr="00BF281D">
        <w:t>ensuring that precautions will be taken against flooding, and prescribing methods to be adopted if wells are abandoned</w:t>
      </w:r>
    </w:p>
    <w:p w14:paraId="499F77BF" w14:textId="60C79349" w:rsidR="00E77B13" w:rsidRPr="00BF281D" w:rsidRDefault="00130D97" w:rsidP="001B757C">
      <w:pPr>
        <w:pStyle w:val="ListParagraph"/>
        <w:numPr>
          <w:ilvl w:val="0"/>
          <w:numId w:val="66"/>
        </w:numPr>
      </w:pPr>
      <w:r w:rsidRPr="00BF281D">
        <w:t xml:space="preserve">the production testing of wells, including flaring. </w:t>
      </w:r>
    </w:p>
    <w:p w14:paraId="58A83769" w14:textId="5A76BFF7" w:rsidR="00E21C22" w:rsidRPr="00BF281D" w:rsidRDefault="00101F6E" w:rsidP="00E21C22">
      <w:pPr>
        <w:pStyle w:val="Heading1"/>
      </w:pPr>
      <w:bookmarkStart w:id="101" w:name="_Toc69839576"/>
      <w:bookmarkStart w:id="102" w:name="_Toc67663758"/>
      <w:r w:rsidRPr="00BF281D">
        <w:lastRenderedPageBreak/>
        <w:t>Development of Options</w:t>
      </w:r>
      <w:bookmarkEnd w:id="101"/>
      <w:bookmarkEnd w:id="102"/>
      <w:r w:rsidRPr="00BF281D">
        <w:t xml:space="preserve"> </w:t>
      </w:r>
    </w:p>
    <w:p w14:paraId="029555DB" w14:textId="77777777" w:rsidR="00100381" w:rsidRPr="00BF281D" w:rsidRDefault="00E21C22" w:rsidP="00E21C22">
      <w:pPr>
        <w:pStyle w:val="Heading2"/>
      </w:pPr>
      <w:bookmarkStart w:id="103" w:name="_Toc69839577"/>
      <w:bookmarkStart w:id="104" w:name="_Toc67663759"/>
      <w:r w:rsidRPr="001528D0">
        <w:rPr>
          <w:color w:val="012169" w:themeColor="accent4"/>
        </w:rPr>
        <w:t>O</w:t>
      </w:r>
      <w:r w:rsidR="00FF294A" w:rsidRPr="001528D0">
        <w:rPr>
          <w:color w:val="012169" w:themeColor="accent4"/>
        </w:rPr>
        <w:t>bjectives</w:t>
      </w:r>
      <w:bookmarkEnd w:id="103"/>
      <w:bookmarkEnd w:id="104"/>
    </w:p>
    <w:p w14:paraId="32E47D42" w14:textId="21BB7A00" w:rsidR="00E21C22" w:rsidRPr="00BF281D" w:rsidRDefault="00100381" w:rsidP="00134317">
      <w:pPr>
        <w:pStyle w:val="Heading3"/>
      </w:pPr>
      <w:r w:rsidRPr="00BF281D">
        <w:t xml:space="preserve">Objectives of the Petroleum Act </w:t>
      </w:r>
    </w:p>
    <w:p w14:paraId="2871A903" w14:textId="77777777" w:rsidR="00F5133F" w:rsidRPr="00BF281D" w:rsidRDefault="00F5133F" w:rsidP="00F5133F">
      <w:r w:rsidRPr="00BF281D">
        <w:t>The objectives of the Petroleum Act are to encourage the exploration for petroleum in Victoria and to promote petroleum production for the benefit of all Victorians by providing:</w:t>
      </w:r>
    </w:p>
    <w:p w14:paraId="2B6D9C93" w14:textId="77777777" w:rsidR="00F5133F" w:rsidRPr="00BF281D" w:rsidRDefault="00F5133F" w:rsidP="00AE11D2">
      <w:pPr>
        <w:pStyle w:val="ListParagraph"/>
        <w:numPr>
          <w:ilvl w:val="0"/>
          <w:numId w:val="36"/>
        </w:numPr>
      </w:pPr>
      <w:r w:rsidRPr="00BF281D">
        <w:t>an orderly, fair, and competitive system for authorities enabling petroleum exploration and production</w:t>
      </w:r>
    </w:p>
    <w:p w14:paraId="271C8DFE" w14:textId="77777777" w:rsidR="00F5133F" w:rsidRPr="00BF281D" w:rsidRDefault="00F5133F" w:rsidP="00AE11D2">
      <w:pPr>
        <w:pStyle w:val="ListParagraph"/>
        <w:numPr>
          <w:ilvl w:val="0"/>
          <w:numId w:val="36"/>
        </w:numPr>
      </w:pPr>
      <w:r w:rsidRPr="00BF281D">
        <w:t>a clear and effective administrative framework for organising petroleum development activities</w:t>
      </w:r>
    </w:p>
    <w:p w14:paraId="0D8013E8" w14:textId="77777777" w:rsidR="00F5133F" w:rsidRPr="00BF281D" w:rsidRDefault="00F5133F" w:rsidP="00AE11D2">
      <w:pPr>
        <w:pStyle w:val="ListParagraph"/>
        <w:numPr>
          <w:ilvl w:val="0"/>
          <w:numId w:val="36"/>
        </w:numPr>
      </w:pPr>
      <w:r w:rsidRPr="00BF281D">
        <w:t>a fiscal regime that offers petroleum explorers a fair return while benefiting all Victorians</w:t>
      </w:r>
    </w:p>
    <w:p w14:paraId="05885B77" w14:textId="77777777" w:rsidR="00F5133F" w:rsidRPr="00BF281D" w:rsidRDefault="00F5133F" w:rsidP="00AE11D2">
      <w:pPr>
        <w:pStyle w:val="ListParagraph"/>
        <w:numPr>
          <w:ilvl w:val="0"/>
          <w:numId w:val="36"/>
        </w:numPr>
      </w:pPr>
      <w:r w:rsidRPr="00BF281D">
        <w:t xml:space="preserve">easy and effective access to information on Victoria's petroleum geology. </w:t>
      </w:r>
    </w:p>
    <w:p w14:paraId="559B76C1" w14:textId="77777777" w:rsidR="004E72D7" w:rsidRPr="00BF281D" w:rsidRDefault="00346114" w:rsidP="004E72D7">
      <w:pPr>
        <w:pStyle w:val="Heading3"/>
      </w:pPr>
      <w:r w:rsidRPr="00BF281D">
        <w:t xml:space="preserve">Objectives of the </w:t>
      </w:r>
      <w:r w:rsidR="004E72D7" w:rsidRPr="00BF281D">
        <w:t xml:space="preserve">regulatory remake </w:t>
      </w:r>
    </w:p>
    <w:p w14:paraId="299583F2" w14:textId="408F3074" w:rsidR="004E72D7" w:rsidRPr="00BF281D" w:rsidRDefault="004E72D7" w:rsidP="004E72D7">
      <w:r w:rsidRPr="00BF281D">
        <w:t>The objectives we are assessing the regulations against</w:t>
      </w:r>
      <w:r w:rsidR="005E6C17" w:rsidRPr="00BF281D">
        <w:t xml:space="preserve"> for the purposes of this RIS </w:t>
      </w:r>
      <w:r w:rsidR="008F12BD" w:rsidRPr="00BF281D">
        <w:t>are</w:t>
      </w:r>
      <w:r w:rsidRPr="00BF281D">
        <w:t xml:space="preserve">: </w:t>
      </w:r>
    </w:p>
    <w:p w14:paraId="039618AB" w14:textId="511CC5A2" w:rsidR="004E72D7" w:rsidRPr="00BF281D" w:rsidRDefault="00693BF9" w:rsidP="001B757C">
      <w:pPr>
        <w:pStyle w:val="ListParagraph"/>
        <w:numPr>
          <w:ilvl w:val="0"/>
          <w:numId w:val="53"/>
        </w:numPr>
      </w:pPr>
      <w:r w:rsidRPr="00BF281D">
        <w:t>e</w:t>
      </w:r>
      <w:r w:rsidR="004E72D7" w:rsidRPr="00BF281D">
        <w:t xml:space="preserve">ncourage onshore conventional petroleum resource exploration and development in </w:t>
      </w:r>
      <w:proofErr w:type="gramStart"/>
      <w:r w:rsidR="004E72D7" w:rsidRPr="00BF281D">
        <w:t>Victoria;</w:t>
      </w:r>
      <w:proofErr w:type="gramEnd"/>
      <w:r w:rsidR="004E72D7" w:rsidRPr="00BF281D">
        <w:t xml:space="preserve"> </w:t>
      </w:r>
    </w:p>
    <w:p w14:paraId="616202B4" w14:textId="62CD115F" w:rsidR="004E72D7" w:rsidRPr="00BF281D" w:rsidRDefault="00693BF9" w:rsidP="001B757C">
      <w:pPr>
        <w:pStyle w:val="ListParagraph"/>
        <w:numPr>
          <w:ilvl w:val="0"/>
          <w:numId w:val="53"/>
        </w:numPr>
      </w:pPr>
      <w:r w:rsidRPr="00BF281D">
        <w:t>b</w:t>
      </w:r>
      <w:r w:rsidR="004E72D7" w:rsidRPr="00BF281D">
        <w:t xml:space="preserve">uild community </w:t>
      </w:r>
      <w:r w:rsidR="0054704E">
        <w:t>social license</w:t>
      </w:r>
      <w:r w:rsidR="004E72D7" w:rsidRPr="00BF281D">
        <w:t xml:space="preserve"> in the onshore conventional petroleum resource sector; and </w:t>
      </w:r>
    </w:p>
    <w:p w14:paraId="786180F2" w14:textId="649F0B9F" w:rsidR="00693BF9" w:rsidRPr="00BF281D" w:rsidRDefault="00693BF9" w:rsidP="001B757C">
      <w:pPr>
        <w:pStyle w:val="ListParagraph"/>
        <w:numPr>
          <w:ilvl w:val="0"/>
          <w:numId w:val="53"/>
        </w:numPr>
      </w:pPr>
      <w:r w:rsidRPr="00BF281D">
        <w:t>m</w:t>
      </w:r>
      <w:r w:rsidR="004E72D7" w:rsidRPr="00BF281D">
        <w:t xml:space="preserve">inimise risk </w:t>
      </w:r>
      <w:r w:rsidR="004E72D7" w:rsidRPr="00BF281D" w:rsidDel="00546B92">
        <w:t>to</w:t>
      </w:r>
      <w:r w:rsidR="004E72D7" w:rsidRPr="00BF281D">
        <w:t xml:space="preserve"> improve outcomes for the environment, public </w:t>
      </w:r>
      <w:proofErr w:type="gramStart"/>
      <w:r w:rsidR="004E72D7" w:rsidRPr="00BF281D">
        <w:t>safety</w:t>
      </w:r>
      <w:proofErr w:type="gramEnd"/>
      <w:r w:rsidR="004E72D7" w:rsidRPr="00BF281D">
        <w:t xml:space="preserve"> and amenity as they relate to petroleum development in Victoria.</w:t>
      </w:r>
      <w:r w:rsidR="00346114" w:rsidRPr="00BF281D">
        <w:t xml:space="preserve"> </w:t>
      </w:r>
    </w:p>
    <w:p w14:paraId="3499CC35" w14:textId="2A38D8B4" w:rsidR="00693BF9" w:rsidRPr="00BF281D" w:rsidRDefault="00693BF9" w:rsidP="00EE32CD">
      <w:r w:rsidRPr="00BF281D">
        <w:t xml:space="preserve">These overarching objectives address the problems identified in Chapter </w:t>
      </w:r>
      <w:r w:rsidRPr="00BF281D">
        <w:fldChar w:fldCharType="begin"/>
      </w:r>
      <w:r w:rsidRPr="00BF281D">
        <w:instrText xml:space="preserve"> REF _Ref64634007 \w \h </w:instrText>
      </w:r>
      <w:r w:rsidRPr="00BF281D">
        <w:fldChar w:fldCharType="separate"/>
      </w:r>
      <w:r w:rsidR="009B3538">
        <w:t>2</w:t>
      </w:r>
      <w:r w:rsidRPr="00BF281D">
        <w:fldChar w:fldCharType="end"/>
      </w:r>
      <w:r w:rsidRPr="00817682">
        <w:t>.</w:t>
      </w:r>
    </w:p>
    <w:p w14:paraId="46052B1A" w14:textId="7BDB493B" w:rsidR="00072082" w:rsidRPr="00BF281D" w:rsidRDefault="00072082" w:rsidP="00D5518E">
      <w:pPr>
        <w:pStyle w:val="Heading2"/>
      </w:pPr>
      <w:bookmarkStart w:id="105" w:name="_Toc69839578"/>
      <w:bookmarkStart w:id="106" w:name="_Toc67663760"/>
      <w:r w:rsidRPr="001528D0">
        <w:rPr>
          <w:color w:val="012169" w:themeColor="accent4"/>
        </w:rPr>
        <w:t>Options development</w:t>
      </w:r>
      <w:bookmarkEnd w:id="105"/>
      <w:bookmarkEnd w:id="106"/>
      <w:r w:rsidRPr="001528D0">
        <w:rPr>
          <w:color w:val="012169" w:themeColor="accent4"/>
        </w:rPr>
        <w:t xml:space="preserve"> </w:t>
      </w:r>
    </w:p>
    <w:p w14:paraId="581E5A90" w14:textId="3F5EF5EF" w:rsidR="001E6D52" w:rsidRDefault="00E6168E" w:rsidP="001E6D52">
      <w:pPr>
        <w:spacing w:after="120"/>
        <w:rPr>
          <w:rFonts w:eastAsia="Verdana" w:cs="Times New Roman"/>
          <w:szCs w:val="17"/>
        </w:rPr>
      </w:pPr>
      <w:r w:rsidRPr="00BF281D">
        <w:rPr>
          <w:rFonts w:asciiTheme="minorHAnsi" w:hAnsiTheme="minorHAnsi" w:cs="Segoe UI Light"/>
        </w:rPr>
        <w:t>As part of the RIS process, it is necessary to consider different options that could achieve the Victorian Government’s objectives.</w:t>
      </w:r>
      <w:r w:rsidR="00936277" w:rsidRPr="00BF281D">
        <w:rPr>
          <w:rFonts w:asciiTheme="minorHAnsi" w:hAnsiTheme="minorHAnsi" w:cs="Segoe UI Light"/>
        </w:rPr>
        <w:t xml:space="preserve"> </w:t>
      </w:r>
      <w:r w:rsidR="001E6D52" w:rsidRPr="00C73B72">
        <w:t xml:space="preserve">The </w:t>
      </w:r>
      <w:r w:rsidR="001E6D52" w:rsidRPr="00C73B72">
        <w:rPr>
          <w:i/>
        </w:rPr>
        <w:t>Subordinate Legislation Act 1994</w:t>
      </w:r>
      <w:r w:rsidR="001E6D52" w:rsidRPr="00C73B72">
        <w:t xml:space="preserve"> </w:t>
      </w:r>
      <w:r w:rsidR="001E6D52" w:rsidRPr="00D769D0">
        <w:rPr>
          <w:rFonts w:eastAsia="Verdana" w:cs="Times New Roman"/>
          <w:szCs w:val="17"/>
        </w:rPr>
        <w:t>requires a RIS</w:t>
      </w:r>
      <w:r w:rsidR="001E6D52" w:rsidRPr="00C73B72">
        <w:t xml:space="preserve"> to </w:t>
      </w:r>
      <w:r w:rsidR="001E6D52" w:rsidRPr="00D769D0">
        <w:rPr>
          <w:rFonts w:eastAsia="Verdana" w:cs="Times New Roman"/>
          <w:szCs w:val="17"/>
        </w:rPr>
        <w:t>consider “other practicable means</w:t>
      </w:r>
      <w:r w:rsidR="001E6D52" w:rsidRPr="00C73B72">
        <w:t xml:space="preserve"> of </w:t>
      </w:r>
      <w:r w:rsidR="001E6D52" w:rsidRPr="00D769D0">
        <w:rPr>
          <w:rFonts w:eastAsia="Verdana" w:cs="Times New Roman"/>
          <w:szCs w:val="17"/>
        </w:rPr>
        <w:t>achieving those objectives</w:t>
      </w:r>
      <w:r w:rsidR="001E6D52" w:rsidRPr="00C73B72">
        <w:t xml:space="preserve">, including </w:t>
      </w:r>
      <w:r w:rsidR="001E6D52" w:rsidRPr="00D769D0">
        <w:rPr>
          <w:rFonts w:eastAsia="Verdana" w:cs="Times New Roman"/>
          <w:szCs w:val="17"/>
        </w:rPr>
        <w:t xml:space="preserve">other regulatory as well as </w:t>
      </w:r>
      <w:r w:rsidR="001E6D52" w:rsidRPr="00C73B72">
        <w:t xml:space="preserve">non-regulatory </w:t>
      </w:r>
      <w:r w:rsidR="001E6D52" w:rsidRPr="00D769D0">
        <w:rPr>
          <w:rFonts w:eastAsia="Verdana" w:cs="Times New Roman"/>
          <w:szCs w:val="17"/>
        </w:rPr>
        <w:t xml:space="preserve">options”. </w:t>
      </w:r>
    </w:p>
    <w:p w14:paraId="02E0F970" w14:textId="057059AB" w:rsidR="001F7C68" w:rsidRPr="00BF281D" w:rsidRDefault="001E6D52" w:rsidP="001F7C68">
      <w:pPr>
        <w:spacing w:after="120"/>
        <w:rPr>
          <w:rFonts w:asciiTheme="minorHAnsi" w:hAnsiTheme="minorHAnsi" w:cs="Segoe UI Light"/>
        </w:rPr>
      </w:pPr>
      <w:r w:rsidRPr="00D769D0">
        <w:rPr>
          <w:rFonts w:eastAsia="Verdana" w:cs="Times New Roman"/>
          <w:szCs w:val="17"/>
        </w:rPr>
        <w:t>In this instance, the Petroleum Act and amendments introduced through the Amendment Act are designed to be enabling. Without supporting regulations</w:t>
      </w:r>
      <w:r>
        <w:rPr>
          <w:rFonts w:eastAsia="Verdana" w:cs="Times New Roman"/>
          <w:szCs w:val="17"/>
        </w:rPr>
        <w:t xml:space="preserve"> </w:t>
      </w:r>
      <w:r w:rsidRPr="00D769D0">
        <w:rPr>
          <w:rFonts w:eastAsia="Verdana" w:cs="Times New Roman"/>
          <w:szCs w:val="17"/>
        </w:rPr>
        <w:t>there would not be sufficient detail in</w:t>
      </w:r>
      <w:r w:rsidRPr="00C73B72">
        <w:t xml:space="preserve"> the </w:t>
      </w:r>
      <w:r>
        <w:rPr>
          <w:rFonts w:eastAsia="Verdana" w:cs="Times New Roman"/>
          <w:szCs w:val="17"/>
        </w:rPr>
        <w:t>Petroleum</w:t>
      </w:r>
      <w:r w:rsidRPr="00D769D0">
        <w:rPr>
          <w:rFonts w:eastAsia="Verdana" w:cs="Times New Roman"/>
          <w:szCs w:val="17"/>
        </w:rPr>
        <w:t xml:space="preserve"> Act to give authority holders </w:t>
      </w:r>
      <w:r w:rsidRPr="00C73B72">
        <w:t xml:space="preserve">or </w:t>
      </w:r>
      <w:r w:rsidRPr="00D769D0">
        <w:rPr>
          <w:rFonts w:eastAsia="Verdana" w:cs="Times New Roman"/>
          <w:szCs w:val="17"/>
        </w:rPr>
        <w:t xml:space="preserve">government necessary clarity to make decisions. It would also not be </w:t>
      </w:r>
      <w:r>
        <w:rPr>
          <w:rFonts w:eastAsia="Verdana" w:cs="Times New Roman"/>
          <w:szCs w:val="17"/>
        </w:rPr>
        <w:t>effective</w:t>
      </w:r>
      <w:r w:rsidRPr="00D769D0">
        <w:rPr>
          <w:rFonts w:eastAsia="Verdana" w:cs="Times New Roman"/>
          <w:szCs w:val="17"/>
        </w:rPr>
        <w:t xml:space="preserve"> to replace regulations with guidelines for example, due to </w:t>
      </w:r>
      <w:r w:rsidRPr="00C73B72">
        <w:t xml:space="preserve">the </w:t>
      </w:r>
      <w:r w:rsidRPr="00D769D0">
        <w:rPr>
          <w:rFonts w:eastAsia="Verdana" w:cs="Times New Roman"/>
          <w:szCs w:val="17"/>
        </w:rPr>
        <w:t xml:space="preserve">highly technical and complex nature of petroleum exploration and development. On this basis, non-regulatory options </w:t>
      </w:r>
      <w:proofErr w:type="gramStart"/>
      <w:r w:rsidRPr="00D769D0">
        <w:rPr>
          <w:rFonts w:eastAsia="Verdana" w:cs="Times New Roman"/>
          <w:szCs w:val="17"/>
        </w:rPr>
        <w:t>are considered to be</w:t>
      </w:r>
      <w:proofErr w:type="gramEnd"/>
      <w:r w:rsidRPr="00D769D0">
        <w:rPr>
          <w:rFonts w:eastAsia="Verdana" w:cs="Times New Roman"/>
          <w:szCs w:val="17"/>
        </w:rPr>
        <w:t xml:space="preserve"> infeasible and </w:t>
      </w:r>
      <w:r w:rsidR="001A7A93">
        <w:rPr>
          <w:rFonts w:eastAsia="Verdana" w:cs="Times New Roman"/>
          <w:szCs w:val="17"/>
        </w:rPr>
        <w:t xml:space="preserve">outside the </w:t>
      </w:r>
      <w:r w:rsidRPr="00D769D0">
        <w:rPr>
          <w:rFonts w:eastAsia="Verdana" w:cs="Times New Roman"/>
          <w:szCs w:val="17"/>
        </w:rPr>
        <w:t xml:space="preserve">scope for assessment in this RIS. This is in line with the frameworks of the Commonwealth and all States and Territories, which operate using legislation (regulations) to establish and regulate the petroleum industry in their jurisdictions. </w:t>
      </w:r>
      <w:r w:rsidR="001F7C68" w:rsidRPr="00BF281D">
        <w:rPr>
          <w:rFonts w:asciiTheme="minorHAnsi" w:hAnsiTheme="minorHAnsi" w:cs="Segoe UI Light"/>
        </w:rPr>
        <w:t>The range of feasible options for addressing the problem is considered within this context.</w:t>
      </w:r>
    </w:p>
    <w:p w14:paraId="38AB5DDE" w14:textId="25E52008" w:rsidR="00453AE2" w:rsidRPr="00BF281D" w:rsidRDefault="00453AE2" w:rsidP="00E6168E">
      <w:pPr>
        <w:ind w:right="29"/>
        <w:rPr>
          <w:rFonts w:asciiTheme="minorHAnsi" w:hAnsiTheme="minorHAnsi" w:cs="Segoe UI Light"/>
        </w:rPr>
      </w:pPr>
      <w:r w:rsidRPr="00BF281D">
        <w:rPr>
          <w:rFonts w:asciiTheme="minorHAnsi" w:hAnsiTheme="minorHAnsi" w:cs="Segoe UI Light"/>
        </w:rPr>
        <w:t xml:space="preserve">We have considered the </w:t>
      </w:r>
      <w:r w:rsidR="00A511A2" w:rsidRPr="00BF281D">
        <w:rPr>
          <w:rFonts w:asciiTheme="minorHAnsi" w:hAnsiTheme="minorHAnsi" w:cs="Segoe UI Light"/>
        </w:rPr>
        <w:t xml:space="preserve">approaches in other jurisdictions </w:t>
      </w:r>
      <w:r w:rsidR="00A154D4" w:rsidRPr="00BF281D">
        <w:rPr>
          <w:rFonts w:asciiTheme="minorHAnsi" w:hAnsiTheme="minorHAnsi" w:cs="Segoe UI Light"/>
        </w:rPr>
        <w:t>and these are outlined at</w:t>
      </w:r>
      <w:r w:rsidR="00256057">
        <w:rPr>
          <w:rFonts w:asciiTheme="minorHAnsi" w:hAnsiTheme="minorHAnsi" w:cs="Segoe UI Light"/>
        </w:rPr>
        <w:t xml:space="preserve"> </w:t>
      </w:r>
      <w:r w:rsidR="00256057">
        <w:rPr>
          <w:rFonts w:asciiTheme="minorHAnsi" w:hAnsiTheme="minorHAnsi" w:cs="Segoe UI Light"/>
        </w:rPr>
        <w:fldChar w:fldCharType="begin"/>
      </w:r>
      <w:r w:rsidR="00256057">
        <w:rPr>
          <w:rFonts w:asciiTheme="minorHAnsi" w:hAnsiTheme="minorHAnsi" w:cs="Segoe UI Light"/>
        </w:rPr>
        <w:instrText xml:space="preserve"> REF _Ref65054690 \r \h </w:instrText>
      </w:r>
      <w:r w:rsidR="00256057">
        <w:rPr>
          <w:rFonts w:asciiTheme="minorHAnsi" w:hAnsiTheme="minorHAnsi" w:cs="Segoe UI Light"/>
        </w:rPr>
      </w:r>
      <w:r w:rsidR="00256057">
        <w:rPr>
          <w:rFonts w:asciiTheme="minorHAnsi" w:hAnsiTheme="minorHAnsi" w:cs="Segoe UI Light"/>
        </w:rPr>
        <w:fldChar w:fldCharType="separate"/>
      </w:r>
      <w:r w:rsidR="009B3538">
        <w:rPr>
          <w:rFonts w:asciiTheme="minorHAnsi" w:hAnsiTheme="minorHAnsi" w:cs="Segoe UI Light"/>
        </w:rPr>
        <w:t>Appendix C</w:t>
      </w:r>
      <w:r w:rsidR="00256057">
        <w:rPr>
          <w:rFonts w:asciiTheme="minorHAnsi" w:hAnsiTheme="minorHAnsi" w:cs="Segoe UI Light"/>
        </w:rPr>
        <w:fldChar w:fldCharType="end"/>
      </w:r>
      <w:r w:rsidR="00A154D4" w:rsidRPr="00BF281D">
        <w:rPr>
          <w:rFonts w:asciiTheme="minorHAnsi" w:hAnsiTheme="minorHAnsi" w:cs="Segoe UI Light"/>
        </w:rPr>
        <w:t xml:space="preserve"> </w:t>
      </w:r>
      <w:r w:rsidR="00A154D4" w:rsidRPr="00817682">
        <w:rPr>
          <w:rFonts w:asciiTheme="minorHAnsi" w:hAnsiTheme="minorHAnsi" w:cs="Segoe UI Light"/>
        </w:rPr>
        <w:t>Commonweal</w:t>
      </w:r>
      <w:r w:rsidR="00A154D4" w:rsidRPr="00BF281D">
        <w:rPr>
          <w:rFonts w:asciiTheme="minorHAnsi" w:hAnsiTheme="minorHAnsi" w:cs="Segoe UI Light"/>
        </w:rPr>
        <w:t>th and State regulatory approaches.</w:t>
      </w:r>
      <w:r w:rsidR="00936277" w:rsidRPr="00BF281D">
        <w:rPr>
          <w:rFonts w:asciiTheme="minorHAnsi" w:hAnsiTheme="minorHAnsi" w:cs="Segoe UI Light"/>
        </w:rPr>
        <w:t xml:space="preserve"> </w:t>
      </w:r>
    </w:p>
    <w:p w14:paraId="632ABF7D" w14:textId="3866326E" w:rsidR="00E6168E" w:rsidRPr="00BF281D" w:rsidRDefault="00D54E55" w:rsidP="007D2BED">
      <w:pPr>
        <w:spacing w:after="120"/>
        <w:rPr>
          <w:rFonts w:asciiTheme="minorHAnsi" w:hAnsiTheme="minorHAnsi" w:cs="Segoe UI Light"/>
        </w:rPr>
      </w:pPr>
      <w:r w:rsidRPr="00BF281D">
        <w:rPr>
          <w:rFonts w:asciiTheme="minorHAnsi" w:hAnsiTheme="minorHAnsi" w:cs="Segoe UI Light"/>
        </w:rPr>
        <w:t xml:space="preserve">Authority holders </w:t>
      </w:r>
      <w:r w:rsidR="00CA2B82" w:rsidRPr="00BF281D">
        <w:rPr>
          <w:rFonts w:asciiTheme="minorHAnsi" w:hAnsiTheme="minorHAnsi" w:cs="Segoe UI Light"/>
        </w:rPr>
        <w:t>ha</w:t>
      </w:r>
      <w:r w:rsidR="0063373C" w:rsidRPr="00BF281D">
        <w:rPr>
          <w:rFonts w:asciiTheme="minorHAnsi" w:hAnsiTheme="minorHAnsi" w:cs="Segoe UI Light"/>
        </w:rPr>
        <w:t>ve</w:t>
      </w:r>
      <w:r w:rsidR="00CA2B82" w:rsidRPr="00BF281D">
        <w:rPr>
          <w:rFonts w:asciiTheme="minorHAnsi" w:hAnsiTheme="minorHAnsi" w:cs="Segoe UI Light"/>
        </w:rPr>
        <w:t xml:space="preserve"> mixed views </w:t>
      </w:r>
      <w:r w:rsidR="00DA7ED3" w:rsidRPr="00BF281D">
        <w:rPr>
          <w:rFonts w:asciiTheme="minorHAnsi" w:hAnsiTheme="minorHAnsi" w:cs="Segoe UI Light"/>
        </w:rPr>
        <w:t xml:space="preserve">as to whether </w:t>
      </w:r>
      <w:r w:rsidR="00B54744" w:rsidRPr="00BF281D">
        <w:rPr>
          <w:rFonts w:asciiTheme="minorHAnsi" w:hAnsiTheme="minorHAnsi" w:cs="Segoe UI Light"/>
        </w:rPr>
        <w:t xml:space="preserve">a more </w:t>
      </w:r>
      <w:r w:rsidR="00A262D3">
        <w:rPr>
          <w:rFonts w:asciiTheme="minorHAnsi" w:hAnsiTheme="minorHAnsi" w:cs="Segoe UI Light"/>
        </w:rPr>
        <w:t>objectives</w:t>
      </w:r>
      <w:r w:rsidR="00A262D3" w:rsidRPr="00BF281D">
        <w:rPr>
          <w:rFonts w:asciiTheme="minorHAnsi" w:hAnsiTheme="minorHAnsi" w:cs="Segoe UI Light"/>
        </w:rPr>
        <w:t xml:space="preserve"> </w:t>
      </w:r>
      <w:r w:rsidR="00B54744" w:rsidRPr="00BF281D">
        <w:rPr>
          <w:rFonts w:asciiTheme="minorHAnsi" w:hAnsiTheme="minorHAnsi" w:cs="Segoe UI Light"/>
        </w:rPr>
        <w:t>based or prescrip</w:t>
      </w:r>
      <w:r w:rsidR="002A5B0F" w:rsidRPr="00BF281D">
        <w:rPr>
          <w:rFonts w:asciiTheme="minorHAnsi" w:hAnsiTheme="minorHAnsi" w:cs="Segoe UI Light"/>
        </w:rPr>
        <w:t xml:space="preserve">tive </w:t>
      </w:r>
      <w:r w:rsidR="009F5057" w:rsidRPr="00BF281D">
        <w:rPr>
          <w:rFonts w:asciiTheme="minorHAnsi" w:hAnsiTheme="minorHAnsi" w:cs="Segoe UI Light"/>
        </w:rPr>
        <w:t>approach to regulation</w:t>
      </w:r>
      <w:r w:rsidR="002A5B0F" w:rsidRPr="00BF281D">
        <w:rPr>
          <w:rFonts w:asciiTheme="minorHAnsi" w:hAnsiTheme="minorHAnsi" w:cs="Segoe UI Light"/>
        </w:rPr>
        <w:t xml:space="preserve"> is </w:t>
      </w:r>
      <w:r w:rsidR="00A262D3">
        <w:rPr>
          <w:rFonts w:asciiTheme="minorHAnsi" w:hAnsiTheme="minorHAnsi" w:cs="Segoe UI Light"/>
        </w:rPr>
        <w:t>preferable</w:t>
      </w:r>
      <w:r w:rsidR="002A5B0F" w:rsidRPr="00BF281D">
        <w:rPr>
          <w:rFonts w:asciiTheme="minorHAnsi" w:hAnsiTheme="minorHAnsi" w:cs="Segoe UI Light"/>
        </w:rPr>
        <w:t xml:space="preserve">. </w:t>
      </w:r>
      <w:r w:rsidR="009F5057" w:rsidRPr="00BF281D">
        <w:rPr>
          <w:rFonts w:asciiTheme="minorHAnsi" w:hAnsiTheme="minorHAnsi" w:cs="Segoe UI Light"/>
        </w:rPr>
        <w:t xml:space="preserve">They mentioned that each approach </w:t>
      </w:r>
      <w:r w:rsidR="0067581C" w:rsidRPr="00BF281D">
        <w:rPr>
          <w:rFonts w:asciiTheme="minorHAnsi" w:hAnsiTheme="minorHAnsi" w:cs="Segoe UI Light"/>
        </w:rPr>
        <w:t xml:space="preserve">has desirable components, and </w:t>
      </w:r>
      <w:r w:rsidR="00863C69" w:rsidRPr="00BF281D">
        <w:rPr>
          <w:rFonts w:asciiTheme="minorHAnsi" w:hAnsiTheme="minorHAnsi" w:cs="Segoe UI Light"/>
        </w:rPr>
        <w:t>distinct</w:t>
      </w:r>
      <w:r w:rsidR="001876AA" w:rsidRPr="00BF281D">
        <w:rPr>
          <w:rFonts w:asciiTheme="minorHAnsi" w:hAnsiTheme="minorHAnsi" w:cs="Segoe UI Light"/>
        </w:rPr>
        <w:t xml:space="preserve"> costs and benefits. </w:t>
      </w:r>
      <w:r w:rsidR="00975C25" w:rsidRPr="00BF281D">
        <w:rPr>
          <w:rFonts w:asciiTheme="minorHAnsi" w:hAnsiTheme="minorHAnsi" w:cs="Segoe UI Light"/>
        </w:rPr>
        <w:t>As such, the</w:t>
      </w:r>
      <w:r w:rsidR="00733BB1" w:rsidRPr="00BF281D">
        <w:rPr>
          <w:rFonts w:asciiTheme="minorHAnsi" w:hAnsiTheme="minorHAnsi" w:cs="Segoe UI Light"/>
        </w:rPr>
        <w:t xml:space="preserve"> preferred option for industry will depend </w:t>
      </w:r>
      <w:r w:rsidR="00D86D9A" w:rsidRPr="00BF281D">
        <w:rPr>
          <w:rFonts w:asciiTheme="minorHAnsi" w:hAnsiTheme="minorHAnsi" w:cs="Segoe UI Light"/>
        </w:rPr>
        <w:t xml:space="preserve">on the circumstances in the </w:t>
      </w:r>
      <w:proofErr w:type="gramStart"/>
      <w:r w:rsidR="00D86D9A" w:rsidRPr="00BF281D">
        <w:rPr>
          <w:rFonts w:asciiTheme="minorHAnsi" w:hAnsiTheme="minorHAnsi" w:cs="Segoe UI Light"/>
        </w:rPr>
        <w:t>particular market</w:t>
      </w:r>
      <w:proofErr w:type="gramEnd"/>
      <w:r w:rsidR="00D86D9A" w:rsidRPr="00BF281D">
        <w:rPr>
          <w:rFonts w:asciiTheme="minorHAnsi" w:hAnsiTheme="minorHAnsi" w:cs="Segoe UI Light"/>
        </w:rPr>
        <w:t xml:space="preserve">, and the </w:t>
      </w:r>
      <w:r w:rsidR="00A205CC" w:rsidRPr="00BF281D">
        <w:rPr>
          <w:rFonts w:asciiTheme="minorHAnsi" w:hAnsiTheme="minorHAnsi" w:cs="Segoe UI Light"/>
        </w:rPr>
        <w:t xml:space="preserve">exact </w:t>
      </w:r>
      <w:r w:rsidR="00AE5E5C" w:rsidRPr="00BF281D">
        <w:rPr>
          <w:rFonts w:asciiTheme="minorHAnsi" w:hAnsiTheme="minorHAnsi" w:cs="Segoe UI Light"/>
        </w:rPr>
        <w:t xml:space="preserve">requirements of the prescriptive option. </w:t>
      </w:r>
    </w:p>
    <w:p w14:paraId="498BA73E" w14:textId="4E5A8C68" w:rsidR="00633670" w:rsidRPr="00BF281D" w:rsidRDefault="004740EE" w:rsidP="00633670">
      <w:r w:rsidRPr="00BF281D">
        <w:t>Th</w:t>
      </w:r>
      <w:r w:rsidR="00E2534D" w:rsidRPr="00BF281D">
        <w:t>is RIS considers</w:t>
      </w:r>
      <w:r w:rsidRPr="00BF281D">
        <w:t xml:space="preserve"> four options to achieve the above objectives, namely</w:t>
      </w:r>
      <w:r w:rsidR="00363C41" w:rsidRPr="00BF281D">
        <w:t>:</w:t>
      </w:r>
    </w:p>
    <w:p w14:paraId="33F564BB" w14:textId="6D7EDEDD" w:rsidR="005A679B" w:rsidRPr="00BF281D" w:rsidRDefault="005A679B" w:rsidP="004B5037">
      <w:pPr>
        <w:pStyle w:val="ListParagraph"/>
        <w:numPr>
          <w:ilvl w:val="0"/>
          <w:numId w:val="20"/>
        </w:numPr>
      </w:pPr>
      <w:r w:rsidRPr="00BF281D">
        <w:t xml:space="preserve">Base </w:t>
      </w:r>
      <w:r w:rsidR="006F3770" w:rsidRPr="00BF281D">
        <w:t>Case</w:t>
      </w:r>
      <w:r w:rsidRPr="00BF281D">
        <w:t xml:space="preserve"> (</w:t>
      </w:r>
      <w:r w:rsidR="004740EE" w:rsidRPr="00BF281D">
        <w:t>do nothing,</w:t>
      </w:r>
      <w:r w:rsidRPr="00BF281D">
        <w:t xml:space="preserve"> regulations</w:t>
      </w:r>
      <w:r w:rsidR="004740EE" w:rsidRPr="00BF281D">
        <w:t xml:space="preserve"> lapse</w:t>
      </w:r>
      <w:r w:rsidRPr="00BF281D">
        <w:t>)</w:t>
      </w:r>
    </w:p>
    <w:p w14:paraId="6B8A9483" w14:textId="1441AC27" w:rsidR="00124531" w:rsidRPr="00BF281D" w:rsidRDefault="00D31B07" w:rsidP="004B5037">
      <w:pPr>
        <w:pStyle w:val="ListParagraph"/>
        <w:numPr>
          <w:ilvl w:val="0"/>
          <w:numId w:val="20"/>
        </w:numPr>
      </w:pPr>
      <w:r w:rsidRPr="00BF281D">
        <w:t>Status Quo</w:t>
      </w:r>
      <w:r w:rsidR="002E1E83" w:rsidRPr="00BF281D">
        <w:t xml:space="preserve">: </w:t>
      </w:r>
      <w:r w:rsidR="00933301" w:rsidRPr="00BF281D">
        <w:t>r</w:t>
      </w:r>
      <w:r w:rsidR="00BD0C71" w:rsidRPr="00BF281D">
        <w:t>emake</w:t>
      </w:r>
      <w:r w:rsidR="00A262D3">
        <w:t xml:space="preserve"> the 2011 Petroleum R</w:t>
      </w:r>
      <w:r w:rsidR="00BD0C71" w:rsidRPr="00BF281D">
        <w:t>egulations as they</w:t>
      </w:r>
      <w:r w:rsidR="006E1CE1" w:rsidRPr="00BF281D">
        <w:t xml:space="preserve"> are </w:t>
      </w:r>
    </w:p>
    <w:p w14:paraId="6A14E951" w14:textId="603971FD" w:rsidR="00BD0C71" w:rsidRPr="00BF281D" w:rsidRDefault="002E1E83" w:rsidP="004B5037">
      <w:pPr>
        <w:pStyle w:val="ListParagraph"/>
        <w:numPr>
          <w:ilvl w:val="0"/>
          <w:numId w:val="20"/>
        </w:numPr>
      </w:pPr>
      <w:r w:rsidRPr="00BF281D">
        <w:t xml:space="preserve">Option </w:t>
      </w:r>
      <w:r w:rsidR="00D31B07" w:rsidRPr="00BF281D">
        <w:t>1</w:t>
      </w:r>
      <w:r w:rsidRPr="00BF281D">
        <w:t xml:space="preserve">: </w:t>
      </w:r>
      <w:r w:rsidR="00451B7B" w:rsidRPr="00BF281D">
        <w:t>Outcomes focussed</w:t>
      </w:r>
      <w:r w:rsidR="004740EE" w:rsidRPr="00BF281D">
        <w:t xml:space="preserve"> regulations</w:t>
      </w:r>
    </w:p>
    <w:p w14:paraId="25A264E1" w14:textId="01B8DD2D" w:rsidR="00E21C22" w:rsidRPr="00BF281D" w:rsidRDefault="002E1E83" w:rsidP="004B5037">
      <w:pPr>
        <w:pStyle w:val="ListParagraph"/>
        <w:numPr>
          <w:ilvl w:val="0"/>
          <w:numId w:val="20"/>
        </w:numPr>
      </w:pPr>
      <w:r w:rsidRPr="00BF281D">
        <w:t xml:space="preserve">Option </w:t>
      </w:r>
      <w:r w:rsidR="00D31B07" w:rsidRPr="00BF281D">
        <w:t>2</w:t>
      </w:r>
      <w:r w:rsidRPr="00BF281D">
        <w:t xml:space="preserve">: </w:t>
      </w:r>
      <w:r w:rsidR="009D346C" w:rsidRPr="00BF281D">
        <w:t>Standards based</w:t>
      </w:r>
      <w:r w:rsidR="00BD0C71" w:rsidRPr="00BF281D">
        <w:t xml:space="preserve"> regulations</w:t>
      </w:r>
      <w:r w:rsidR="00363C41" w:rsidRPr="00BF281D">
        <w:t>.</w:t>
      </w:r>
    </w:p>
    <w:p w14:paraId="1A24A70D" w14:textId="05E9FEA0" w:rsidR="00B60636" w:rsidRPr="00BF281D" w:rsidRDefault="00187C87" w:rsidP="00E21C22">
      <w:r w:rsidRPr="00BF281D">
        <w:t>A description of e</w:t>
      </w:r>
      <w:r w:rsidR="00D13414" w:rsidRPr="00BF281D">
        <w:t xml:space="preserve">ach of the </w:t>
      </w:r>
      <w:r w:rsidR="004A626C" w:rsidRPr="00BF281D">
        <w:t xml:space="preserve">options </w:t>
      </w:r>
      <w:r w:rsidRPr="00BF281D">
        <w:t xml:space="preserve">and how they relate to the problem statements </w:t>
      </w:r>
      <w:r w:rsidR="00FA7379" w:rsidRPr="00BF281D">
        <w:t xml:space="preserve">is outlined below. </w:t>
      </w:r>
      <w:r w:rsidR="00DC520C" w:rsidRPr="00BF281D">
        <w:t>High-level</w:t>
      </w:r>
      <w:r w:rsidR="00FA7379" w:rsidRPr="00BF281D">
        <w:t xml:space="preserve"> information</w:t>
      </w:r>
      <w:r w:rsidR="008166C4" w:rsidRPr="00BF281D">
        <w:t xml:space="preserve"> relating to </w:t>
      </w:r>
      <w:r w:rsidR="00DF71E0" w:rsidRPr="00BF281D">
        <w:t xml:space="preserve">what </w:t>
      </w:r>
      <w:r w:rsidR="00F20F7D" w:rsidRPr="00BF281D">
        <w:t xml:space="preserve">each of the </w:t>
      </w:r>
      <w:r w:rsidR="00826734" w:rsidRPr="00BF281D">
        <w:t xml:space="preserve">options </w:t>
      </w:r>
      <w:r w:rsidR="00DF71E0" w:rsidRPr="00BF281D">
        <w:t xml:space="preserve">would include under the </w:t>
      </w:r>
      <w:r w:rsidR="00155488" w:rsidRPr="00BF281D">
        <w:t xml:space="preserve">various areas of the </w:t>
      </w:r>
      <w:r w:rsidR="003D410F" w:rsidRPr="00BF281D">
        <w:t xml:space="preserve">Petroleum </w:t>
      </w:r>
      <w:r w:rsidR="00155488" w:rsidRPr="00BF281D">
        <w:t xml:space="preserve">Act </w:t>
      </w:r>
      <w:r w:rsidR="009E6C5E" w:rsidRPr="00BF281D">
        <w:t>is</w:t>
      </w:r>
      <w:r w:rsidR="002203C6" w:rsidRPr="00BF281D">
        <w:t xml:space="preserve"> provided </w:t>
      </w:r>
      <w:r w:rsidR="004F154B" w:rsidRPr="00BF281D">
        <w:t>overleaf</w:t>
      </w:r>
      <w:r w:rsidR="002203C6" w:rsidRPr="00BF281D">
        <w:t>.</w:t>
      </w:r>
      <w:r w:rsidR="00D13E64" w:rsidRPr="00BF281D">
        <w:t xml:space="preserve"> See </w:t>
      </w:r>
      <w:r w:rsidR="002370E0">
        <w:t>Appendix A</w:t>
      </w:r>
      <w:r w:rsidR="0059754A" w:rsidRPr="00817682">
        <w:t xml:space="preserve"> for a more detailed options table. </w:t>
      </w:r>
    </w:p>
    <w:p w14:paraId="5E2F30B4" w14:textId="77777777" w:rsidR="00276B3E" w:rsidRPr="00BF281D" w:rsidRDefault="00276B3E" w:rsidP="00276B3E">
      <w:pPr>
        <w:pStyle w:val="Heading2"/>
        <w:spacing w:line="240" w:lineRule="atLeast"/>
        <w:ind w:left="576" w:hanging="576"/>
      </w:pPr>
      <w:bookmarkStart w:id="107" w:name="_Toc69839579"/>
      <w:r w:rsidRPr="001528D0">
        <w:rPr>
          <w:color w:val="012169" w:themeColor="accent4"/>
        </w:rPr>
        <w:lastRenderedPageBreak/>
        <w:t>Feasible Options</w:t>
      </w:r>
      <w:bookmarkEnd w:id="107"/>
      <w:r w:rsidRPr="001528D0">
        <w:rPr>
          <w:color w:val="012169" w:themeColor="accent4"/>
        </w:rPr>
        <w:t xml:space="preserve"> </w:t>
      </w:r>
    </w:p>
    <w:p w14:paraId="536C604D" w14:textId="77777777" w:rsidR="00276B3E" w:rsidRPr="00BF281D" w:rsidRDefault="00276B3E" w:rsidP="00276B3E">
      <w:r w:rsidRPr="00BF281D">
        <w:t xml:space="preserve">Detailed analysis is limited to options that are determined to be feasible. </w:t>
      </w:r>
    </w:p>
    <w:p w14:paraId="7FB74DEC" w14:textId="5DE056E5" w:rsidR="00276B3E" w:rsidRPr="00BF281D" w:rsidRDefault="00276B3E" w:rsidP="00276B3E">
      <w:r>
        <w:t>In this RIS, t</w:t>
      </w:r>
      <w:r w:rsidRPr="00BF281D">
        <w:t xml:space="preserve">he Base Case </w:t>
      </w:r>
      <w:proofErr w:type="gramStart"/>
      <w:r>
        <w:t>is considered to be</w:t>
      </w:r>
      <w:proofErr w:type="gramEnd"/>
      <w:r w:rsidRPr="00BF281D">
        <w:t xml:space="preserve"> infeasible </w:t>
      </w:r>
      <w:r>
        <w:t>as</w:t>
      </w:r>
      <w:r w:rsidRPr="00BF281D">
        <w:t xml:space="preserve"> the Petroleum Act alone does not provide enough specificity to operate without supporting regulations. The restart of the industry requires regulations to provide certainty around how the industry will operate and how risks and consultation </w:t>
      </w:r>
      <w:r w:rsidR="00D668F2">
        <w:t>are best</w:t>
      </w:r>
      <w:r w:rsidRPr="00BF281D">
        <w:t xml:space="preserve"> managed. </w:t>
      </w:r>
      <w:r w:rsidR="0085231C" w:rsidRPr="005C212A">
        <w:t>Des</w:t>
      </w:r>
      <w:r w:rsidR="0085231C">
        <w:t>p</w:t>
      </w:r>
      <w:r w:rsidR="0085231C" w:rsidRPr="005C212A">
        <w:t>i</w:t>
      </w:r>
      <w:r w:rsidR="0085231C">
        <w:t>t</w:t>
      </w:r>
      <w:r w:rsidR="0085231C" w:rsidRPr="005C212A">
        <w:t>e its infeasibility</w:t>
      </w:r>
      <w:r w:rsidRPr="00BF281D">
        <w:t xml:space="preserve">, in line with best practice, the Base Case should be presented as the reference point from which the MCA scores are derived. </w:t>
      </w:r>
    </w:p>
    <w:p w14:paraId="363562C7" w14:textId="0B052B01" w:rsidR="00276B3E" w:rsidRPr="00BF281D" w:rsidRDefault="00276B3E" w:rsidP="00276B3E">
      <w:r w:rsidRPr="00BF281D">
        <w:t xml:space="preserve">The Status Quo </w:t>
      </w:r>
      <w:r w:rsidR="005032D8">
        <w:t xml:space="preserve">also </w:t>
      </w:r>
      <w:r w:rsidRPr="00BF281D">
        <w:t xml:space="preserve">presents difficulties </w:t>
      </w:r>
      <w:r w:rsidR="00073303">
        <w:t>because although</w:t>
      </w:r>
      <w:r w:rsidR="005032D8">
        <w:t xml:space="preserve"> </w:t>
      </w:r>
      <w:r w:rsidRPr="00BF281D">
        <w:t xml:space="preserve">the regulations go some of the way to achieving the goals of the </w:t>
      </w:r>
      <w:proofErr w:type="gramStart"/>
      <w:r w:rsidRPr="00BF281D">
        <w:t>Act</w:t>
      </w:r>
      <w:proofErr w:type="gramEnd"/>
      <w:r w:rsidRPr="00BF281D">
        <w:t xml:space="preserve"> </w:t>
      </w:r>
      <w:r w:rsidR="00073303">
        <w:t>they</w:t>
      </w:r>
      <w:r w:rsidR="00073303" w:rsidRPr="00BF281D">
        <w:t xml:space="preserve"> </w:t>
      </w:r>
      <w:r w:rsidRPr="00BF281D">
        <w:t>have the following deficiencies:</w:t>
      </w:r>
    </w:p>
    <w:p w14:paraId="391B3280" w14:textId="661EB72E" w:rsidR="00276B3E" w:rsidRPr="00BF281D" w:rsidRDefault="00276B3E" w:rsidP="00276B3E">
      <w:pPr>
        <w:pStyle w:val="ListParagraph"/>
        <w:numPr>
          <w:ilvl w:val="0"/>
          <w:numId w:val="54"/>
        </w:numPr>
      </w:pPr>
      <w:r w:rsidRPr="00BF281D">
        <w:t>they do not fully align or support the Petroleum Act (as amended)</w:t>
      </w:r>
    </w:p>
    <w:p w14:paraId="636D39E8" w14:textId="77777777" w:rsidR="00276B3E" w:rsidRPr="00BF281D" w:rsidRDefault="00276B3E" w:rsidP="00276B3E">
      <w:pPr>
        <w:pStyle w:val="ListParagraph"/>
        <w:numPr>
          <w:ilvl w:val="0"/>
          <w:numId w:val="54"/>
        </w:numPr>
      </w:pPr>
      <w:r w:rsidRPr="00BF281D">
        <w:t>they do not provide sufficient support and assurance to industry</w:t>
      </w:r>
    </w:p>
    <w:p w14:paraId="70535836" w14:textId="05ED42F0" w:rsidR="00276B3E" w:rsidRPr="00BF281D" w:rsidRDefault="00276B3E" w:rsidP="00276B3E">
      <w:pPr>
        <w:pStyle w:val="ListParagraph"/>
        <w:numPr>
          <w:ilvl w:val="0"/>
          <w:numId w:val="54"/>
        </w:numPr>
      </w:pPr>
      <w:r w:rsidRPr="00BF281D">
        <w:t xml:space="preserve">they do not include all the </w:t>
      </w:r>
      <w:r w:rsidR="003F09B9">
        <w:t xml:space="preserve">detail </w:t>
      </w:r>
      <w:r w:rsidRPr="00BF281D">
        <w:t>that the Petroleum Act (as amended) requires</w:t>
      </w:r>
    </w:p>
    <w:p w14:paraId="486C1524" w14:textId="77777777" w:rsidR="00276B3E" w:rsidRPr="00BF281D" w:rsidRDefault="00276B3E" w:rsidP="00276B3E">
      <w:pPr>
        <w:pStyle w:val="ListParagraph"/>
        <w:numPr>
          <w:ilvl w:val="0"/>
          <w:numId w:val="54"/>
        </w:numPr>
      </w:pPr>
      <w:r w:rsidRPr="00BF281D">
        <w:t>they do not contain appropriate requirements for community consultation, based on the feedback from the VGP.</w:t>
      </w:r>
    </w:p>
    <w:p w14:paraId="7573D3ED" w14:textId="144EB726" w:rsidR="00276B3E" w:rsidRPr="00BF281D" w:rsidRDefault="00276B3E" w:rsidP="00276B3E">
      <w:r w:rsidRPr="00BF281D">
        <w:t>While</w:t>
      </w:r>
      <w:r w:rsidRPr="00817682">
        <w:t xml:space="preserve"> the Status Quo option does </w:t>
      </w:r>
      <w:r w:rsidRPr="00BF281D">
        <w:t xml:space="preserve">address some </w:t>
      </w:r>
      <w:proofErr w:type="gramStart"/>
      <w:r w:rsidRPr="00BF281D">
        <w:t>issues</w:t>
      </w:r>
      <w:proofErr w:type="gramEnd"/>
      <w:r w:rsidR="005B17C7">
        <w:t xml:space="preserve"> </w:t>
      </w:r>
      <w:r w:rsidR="00466D5F">
        <w:t xml:space="preserve">it is </w:t>
      </w:r>
      <w:r w:rsidRPr="00BF281D">
        <w:t xml:space="preserve">unviable. Infeasible means that the option is not possible, impractical and would severely hinder the operation of the industry, whereas an unviable option is feasible but clearly undesirable or overly burdensome from the perspective of all stakeholders. There is a possibility </w:t>
      </w:r>
      <w:r w:rsidR="003F09B9">
        <w:t xml:space="preserve">that the re-made regulations could be </w:t>
      </w:r>
      <w:r w:rsidR="00700EC0">
        <w:t>supplemented by guidelines or other guidance material which could go some way to clarifying the requirements and increasing the consistency with the Petroleum Act (</w:t>
      </w:r>
      <w:r w:rsidR="00466D5F">
        <w:t xml:space="preserve">as </w:t>
      </w:r>
      <w:r w:rsidR="00700EC0">
        <w:t>amended)</w:t>
      </w:r>
      <w:r w:rsidR="00917AAF">
        <w:t xml:space="preserve">. However, </w:t>
      </w:r>
      <w:r w:rsidRPr="00BF281D">
        <w:t xml:space="preserve">there would still be </w:t>
      </w:r>
      <w:r w:rsidR="00536214">
        <w:t xml:space="preserve">significant </w:t>
      </w:r>
      <w:r w:rsidRPr="00BF281D">
        <w:t>deficiencies</w:t>
      </w:r>
      <w:r w:rsidR="000874D8">
        <w:t xml:space="preserve"> </w:t>
      </w:r>
      <w:r w:rsidR="002A184F">
        <w:t>and it</w:t>
      </w:r>
      <w:r>
        <w:t xml:space="preserve"> would not be appropriate to replace the legislative framework with a non-legislative option, as the </w:t>
      </w:r>
      <w:r w:rsidR="00536214">
        <w:t xml:space="preserve">petroleum exploration and production </w:t>
      </w:r>
      <w:r>
        <w:t>activit</w:t>
      </w:r>
      <w:r w:rsidR="00536214">
        <w:t>ies are</w:t>
      </w:r>
      <w:r>
        <w:t xml:space="preserve"> high-risk and complex</w:t>
      </w:r>
      <w:r w:rsidRPr="00BF281D">
        <w:t xml:space="preserve">. </w:t>
      </w:r>
    </w:p>
    <w:p w14:paraId="14A528DD" w14:textId="7FA2119F" w:rsidR="00276B3E" w:rsidRDefault="00276B3E" w:rsidP="00E21C22">
      <w:r>
        <w:t>The assessment below demonstrates that</w:t>
      </w:r>
      <w:r w:rsidRPr="00BF281D">
        <w:t xml:space="preserve"> the t</w:t>
      </w:r>
      <w:r>
        <w:t>hree</w:t>
      </w:r>
      <w:r w:rsidRPr="00BF281D">
        <w:t xml:space="preserve"> </w:t>
      </w:r>
      <w:r>
        <w:t>feasible</w:t>
      </w:r>
      <w:r w:rsidRPr="00BF281D">
        <w:t xml:space="preserve"> options are</w:t>
      </w:r>
      <w:r>
        <w:t xml:space="preserve"> the Status Quo, </w:t>
      </w:r>
      <w:r w:rsidRPr="00BF281D">
        <w:t xml:space="preserve">Option </w:t>
      </w:r>
      <w:proofErr w:type="gramStart"/>
      <w:r w:rsidRPr="00BF281D">
        <w:t>1</w:t>
      </w:r>
      <w:proofErr w:type="gramEnd"/>
      <w:r w:rsidRPr="00BF281D">
        <w:t xml:space="preserve"> and Option 2</w:t>
      </w:r>
      <w:r w:rsidRPr="00817682">
        <w:t xml:space="preserve">. </w:t>
      </w:r>
      <w:r w:rsidRPr="00BF281D">
        <w:t>The</w:t>
      </w:r>
      <w:r>
        <w:t xml:space="preserve"> Status Quo and the O</w:t>
      </w:r>
      <w:r w:rsidRPr="00BF281D">
        <w:t xml:space="preserve">ptions are subject to further detailed discussion of their relative costs and benefits, as compared to the Base Case. The preferred option will be one of the two </w:t>
      </w:r>
      <w:r>
        <w:t>viable</w:t>
      </w:r>
      <w:r w:rsidRPr="00BF281D">
        <w:t xml:space="preserve"> options</w:t>
      </w:r>
      <w:r>
        <w:t xml:space="preserve">, Options 1 and 2, therefore more </w:t>
      </w:r>
      <w:r w:rsidR="007522F9">
        <w:t>focus is placed on these options</w:t>
      </w:r>
      <w:r>
        <w:t>.</w:t>
      </w:r>
    </w:p>
    <w:p w14:paraId="77B5D4AB" w14:textId="77777777" w:rsidR="007026FF" w:rsidRDefault="007026FF">
      <w:pPr>
        <w:spacing w:after="0"/>
        <w:rPr>
          <w:rFonts w:eastAsiaTheme="majorEastAsia" w:cstheme="majorBidi"/>
          <w:b/>
          <w:bCs/>
          <w:color w:val="62B5E5" w:themeColor="accent3"/>
          <w:sz w:val="22"/>
          <w:szCs w:val="26"/>
        </w:rPr>
      </w:pPr>
      <w:bookmarkStart w:id="108" w:name="_Toc69839580"/>
      <w:r>
        <w:br w:type="page"/>
      </w:r>
    </w:p>
    <w:p w14:paraId="09D7FCF8" w14:textId="6C7FA3A5" w:rsidR="007A4495" w:rsidRPr="00BF281D" w:rsidRDefault="007A4495" w:rsidP="007A4495">
      <w:pPr>
        <w:pStyle w:val="Heading2"/>
      </w:pPr>
      <w:r w:rsidRPr="001528D0">
        <w:rPr>
          <w:color w:val="012169" w:themeColor="accent4"/>
        </w:rPr>
        <w:lastRenderedPageBreak/>
        <w:t>Options</w:t>
      </w:r>
      <w:bookmarkEnd w:id="108"/>
    </w:p>
    <w:p w14:paraId="7202F23C" w14:textId="5CF0E9D6" w:rsidR="00876F80" w:rsidRPr="00BF281D" w:rsidRDefault="00526004" w:rsidP="00E21C22">
      <w:r>
        <w:t xml:space="preserve">The table below sets out the options </w:t>
      </w:r>
      <w:r w:rsidR="003B1BAD">
        <w:t>considered in this RIS</w:t>
      </w:r>
      <w:r w:rsidR="005C0996" w:rsidRPr="00BF281D">
        <w:t>.</w:t>
      </w:r>
      <w:r w:rsidR="00876F80" w:rsidRPr="00BF281D">
        <w:t xml:space="preserve"> </w:t>
      </w:r>
    </w:p>
    <w:tbl>
      <w:tblPr>
        <w:tblStyle w:val="Deloittetable"/>
        <w:tblW w:w="10490" w:type="dxa"/>
        <w:tblLook w:val="04A0" w:firstRow="1" w:lastRow="0" w:firstColumn="1" w:lastColumn="0" w:noHBand="0" w:noVBand="1"/>
      </w:tblPr>
      <w:tblGrid>
        <w:gridCol w:w="1581"/>
        <w:gridCol w:w="6466"/>
        <w:gridCol w:w="2443"/>
      </w:tblGrid>
      <w:tr w:rsidR="00F4476C" w:rsidRPr="006F54C0" w14:paraId="029DD2A3" w14:textId="77777777" w:rsidTr="0035177A">
        <w:trPr>
          <w:cnfStyle w:val="100000000000" w:firstRow="1" w:lastRow="0" w:firstColumn="0" w:lastColumn="0" w:oddVBand="0" w:evenVBand="0" w:oddHBand="0" w:evenHBand="0" w:firstRowFirstColumn="0" w:firstRowLastColumn="0" w:lastRowFirstColumn="0" w:lastRowLastColumn="0"/>
          <w:trHeight w:val="479"/>
        </w:trPr>
        <w:tc>
          <w:tcPr>
            <w:tcW w:w="1560" w:type="dxa"/>
          </w:tcPr>
          <w:p w14:paraId="4624B8B7" w14:textId="77777777" w:rsidR="00F4476C" w:rsidRPr="002A4A30" w:rsidRDefault="00F4476C" w:rsidP="00CF69C1">
            <w:pPr>
              <w:rPr>
                <w:rFonts w:eastAsia="Verdana" w:cs="Times New Roman"/>
                <w:b/>
                <w:sz w:val="18"/>
              </w:rPr>
            </w:pPr>
            <w:bookmarkStart w:id="109" w:name="_Hlk67482089"/>
            <w:r w:rsidRPr="002A4A30">
              <w:rPr>
                <w:rFonts w:eastAsia="Verdana" w:cs="Times New Roman"/>
                <w:b/>
                <w:sz w:val="18"/>
              </w:rPr>
              <w:t xml:space="preserve">Option </w:t>
            </w:r>
          </w:p>
        </w:tc>
        <w:tc>
          <w:tcPr>
            <w:tcW w:w="6379" w:type="dxa"/>
          </w:tcPr>
          <w:p w14:paraId="09CF201F" w14:textId="77777777" w:rsidR="00F4476C" w:rsidRPr="002A4A30" w:rsidRDefault="00F4476C" w:rsidP="0035177A">
            <w:pPr>
              <w:ind w:left="170"/>
              <w:rPr>
                <w:rFonts w:eastAsia="Verdana" w:cs="Times New Roman"/>
                <w:b/>
                <w:bCs/>
                <w:sz w:val="18"/>
              </w:rPr>
            </w:pPr>
            <w:r w:rsidRPr="002A4A30">
              <w:rPr>
                <w:rFonts w:eastAsia="Verdana" w:cs="Times New Roman"/>
                <w:b/>
                <w:bCs/>
                <w:sz w:val="18"/>
              </w:rPr>
              <w:t xml:space="preserve">Summary </w:t>
            </w:r>
          </w:p>
        </w:tc>
        <w:tc>
          <w:tcPr>
            <w:tcW w:w="2410" w:type="dxa"/>
          </w:tcPr>
          <w:p w14:paraId="6A0FFE5B" w14:textId="77777777" w:rsidR="00F4476C" w:rsidRPr="002A4A30" w:rsidRDefault="00F4476C" w:rsidP="0035177A">
            <w:pPr>
              <w:ind w:left="170"/>
              <w:rPr>
                <w:rFonts w:eastAsia="Verdana" w:cs="Times New Roman"/>
                <w:b/>
                <w:bCs/>
                <w:sz w:val="18"/>
              </w:rPr>
            </w:pPr>
            <w:r w:rsidRPr="002A4A30">
              <w:rPr>
                <w:rFonts w:eastAsia="Verdana" w:cs="Times New Roman"/>
                <w:b/>
                <w:bCs/>
                <w:sz w:val="18"/>
              </w:rPr>
              <w:t xml:space="preserve">Is it a feasible or viable Option? </w:t>
            </w:r>
          </w:p>
        </w:tc>
      </w:tr>
      <w:tr w:rsidR="00F4476C" w:rsidRPr="006F54C0" w14:paraId="0FAE1A43" w14:textId="77777777" w:rsidTr="00C73B72">
        <w:tc>
          <w:tcPr>
            <w:tcW w:w="1560" w:type="dxa"/>
          </w:tcPr>
          <w:p w14:paraId="7BA66811" w14:textId="77777777" w:rsidR="00F4476C" w:rsidRPr="006F54C0" w:rsidRDefault="00F4476C" w:rsidP="00CF69C1">
            <w:pPr>
              <w:rPr>
                <w:rFonts w:eastAsia="Verdana" w:cs="Times New Roman"/>
                <w:b/>
                <w:sz w:val="18"/>
              </w:rPr>
            </w:pPr>
            <w:r w:rsidRPr="006F54C0">
              <w:rPr>
                <w:rFonts w:eastAsia="Verdana" w:cs="Times New Roman"/>
                <w:b/>
                <w:sz w:val="18"/>
              </w:rPr>
              <w:t xml:space="preserve">Base Case – </w:t>
            </w:r>
            <w:r w:rsidRPr="006F54C0">
              <w:rPr>
                <w:rFonts w:eastAsia="Verdana" w:cs="Times New Roman"/>
                <w:b/>
                <w:sz w:val="18"/>
              </w:rPr>
              <w:br/>
            </w:r>
            <w:r w:rsidRPr="006F54C0">
              <w:rPr>
                <w:rFonts w:eastAsia="Verdana" w:cs="Times New Roman"/>
                <w:bCs/>
                <w:sz w:val="18"/>
              </w:rPr>
              <w:t>Allow Regulations to sunset.</w:t>
            </w:r>
          </w:p>
        </w:tc>
        <w:tc>
          <w:tcPr>
            <w:tcW w:w="6379" w:type="dxa"/>
          </w:tcPr>
          <w:p w14:paraId="39F33E81" w14:textId="77777777" w:rsidR="00F4476C" w:rsidRPr="006F54C0" w:rsidRDefault="00F4476C" w:rsidP="00C73B72">
            <w:pPr>
              <w:ind w:left="170"/>
              <w:rPr>
                <w:rFonts w:eastAsia="Verdana" w:cs="Times New Roman"/>
                <w:sz w:val="18"/>
              </w:rPr>
            </w:pPr>
            <w:r w:rsidRPr="006F54C0">
              <w:rPr>
                <w:rFonts w:eastAsia="Verdana" w:cs="Times New Roman"/>
                <w:sz w:val="18"/>
              </w:rPr>
              <w:t>The Base Case option involves no intervention. In this case, that would mean allowing the Petroleum Regulations to sunset. The Act would then operate without supporting regulations. For the purposes of this RIS, the Base Case is the reference case (</w:t>
            </w:r>
            <w:proofErr w:type="gramStart"/>
            <w:r w:rsidRPr="006F54C0">
              <w:rPr>
                <w:rFonts w:eastAsia="Verdana" w:cs="Times New Roman"/>
                <w:sz w:val="18"/>
              </w:rPr>
              <w:t>i.e.</w:t>
            </w:r>
            <w:proofErr w:type="gramEnd"/>
            <w:r w:rsidRPr="006F54C0">
              <w:rPr>
                <w:rFonts w:eastAsia="Verdana" w:cs="Times New Roman"/>
                <w:sz w:val="18"/>
              </w:rPr>
              <w:t xml:space="preserve"> the case against which the Status Quo, Option 1 and Option 2 are compared).</w:t>
            </w:r>
          </w:p>
        </w:tc>
        <w:tc>
          <w:tcPr>
            <w:tcW w:w="0" w:type="dxa"/>
          </w:tcPr>
          <w:p w14:paraId="43B19BAD" w14:textId="3626E784" w:rsidR="00F4476C" w:rsidRPr="002A4A30" w:rsidRDefault="00F4476C" w:rsidP="00C73B72">
            <w:pPr>
              <w:ind w:left="170"/>
              <w:rPr>
                <w:rFonts w:eastAsia="Verdana" w:cs="Times New Roman"/>
                <w:sz w:val="18"/>
              </w:rPr>
            </w:pPr>
            <w:r w:rsidRPr="00012DD6">
              <w:rPr>
                <w:rFonts w:eastAsia="Verdana" w:cs="Times New Roman"/>
                <w:b/>
                <w:bCs/>
                <w:color w:val="C00000"/>
              </w:rPr>
              <w:t>No</w:t>
            </w:r>
            <w:r w:rsidR="00992A62" w:rsidRPr="00012DD6">
              <w:rPr>
                <w:rFonts w:eastAsia="Verdana" w:cs="Times New Roman"/>
                <w:b/>
                <w:bCs/>
              </w:rPr>
              <w:t xml:space="preserve"> </w:t>
            </w:r>
            <w:r w:rsidR="00992A62" w:rsidRPr="00012DD6">
              <w:rPr>
                <w:rFonts w:eastAsia="Verdana" w:cs="Times New Roman"/>
              </w:rPr>
              <w:t>and</w:t>
            </w:r>
            <w:r w:rsidR="00992A62" w:rsidRPr="00012DD6">
              <w:rPr>
                <w:rFonts w:eastAsia="Verdana" w:cs="Times New Roman"/>
                <w:b/>
                <w:bCs/>
              </w:rPr>
              <w:t xml:space="preserve"> </w:t>
            </w:r>
            <w:r w:rsidR="00992A62">
              <w:rPr>
                <w:rFonts w:eastAsia="Verdana" w:cs="Times New Roman"/>
                <w:b/>
                <w:bCs/>
                <w:color w:val="C00000"/>
                <w:sz w:val="18"/>
              </w:rPr>
              <w:t>No</w:t>
            </w:r>
            <w:r w:rsidRPr="002A4A30">
              <w:rPr>
                <w:rFonts w:eastAsia="Verdana" w:cs="Times New Roman"/>
                <w:sz w:val="18"/>
              </w:rPr>
              <w:t xml:space="preserve"> - Option is not feasible (</w:t>
            </w:r>
            <w:proofErr w:type="gramStart"/>
            <w:r w:rsidRPr="002A4A30">
              <w:rPr>
                <w:rFonts w:eastAsia="Verdana" w:cs="Times New Roman"/>
                <w:sz w:val="18"/>
              </w:rPr>
              <w:t>i.e.</w:t>
            </w:r>
            <w:proofErr w:type="gramEnd"/>
            <w:r w:rsidRPr="002A4A30">
              <w:rPr>
                <w:rFonts w:eastAsia="Verdana" w:cs="Times New Roman"/>
                <w:sz w:val="18"/>
              </w:rPr>
              <w:t xml:space="preserve"> </w:t>
            </w:r>
            <w:r>
              <w:rPr>
                <w:rFonts w:eastAsia="Verdana" w:cs="Times New Roman"/>
                <w:sz w:val="18"/>
              </w:rPr>
              <w:t xml:space="preserve">it is </w:t>
            </w:r>
            <w:r w:rsidRPr="002A4A30">
              <w:rPr>
                <w:rFonts w:eastAsia="Verdana" w:cs="Times New Roman"/>
                <w:sz w:val="18"/>
              </w:rPr>
              <w:t>unworkable)</w:t>
            </w:r>
            <w:r w:rsidR="00992A62">
              <w:rPr>
                <w:rFonts w:eastAsia="Verdana" w:cs="Times New Roman"/>
                <w:sz w:val="18"/>
              </w:rPr>
              <w:t>, therefore also not viable</w:t>
            </w:r>
            <w:r w:rsidRPr="002A4A30">
              <w:rPr>
                <w:rFonts w:eastAsia="Verdana" w:cs="Times New Roman"/>
                <w:sz w:val="18"/>
              </w:rPr>
              <w:t xml:space="preserve">. </w:t>
            </w:r>
          </w:p>
        </w:tc>
      </w:tr>
      <w:tr w:rsidR="00F4476C" w:rsidRPr="006F54C0" w14:paraId="1A8124E6" w14:textId="77777777" w:rsidTr="0035177A">
        <w:tc>
          <w:tcPr>
            <w:tcW w:w="1560" w:type="dxa"/>
          </w:tcPr>
          <w:p w14:paraId="25322AB9" w14:textId="77777777" w:rsidR="00F4476C" w:rsidRPr="006F54C0" w:rsidRDefault="00F4476C" w:rsidP="00CF69C1">
            <w:pPr>
              <w:rPr>
                <w:rFonts w:eastAsia="Verdana" w:cs="Times New Roman"/>
                <w:bCs/>
                <w:sz w:val="18"/>
              </w:rPr>
            </w:pPr>
            <w:r w:rsidRPr="006F54C0">
              <w:rPr>
                <w:rFonts w:eastAsia="Verdana" w:cs="Times New Roman"/>
                <w:b/>
                <w:sz w:val="18"/>
              </w:rPr>
              <w:t>Status Quo -</w:t>
            </w:r>
            <w:r w:rsidRPr="006F54C0">
              <w:rPr>
                <w:rFonts w:eastAsia="Verdana" w:cs="Times New Roman"/>
                <w:b/>
                <w:sz w:val="18"/>
              </w:rPr>
              <w:br/>
            </w:r>
            <w:r w:rsidRPr="006F54C0">
              <w:rPr>
                <w:rFonts w:eastAsia="Verdana" w:cs="Times New Roman"/>
                <w:bCs/>
                <w:sz w:val="18"/>
              </w:rPr>
              <w:t>Remake current regulations.</w:t>
            </w:r>
          </w:p>
        </w:tc>
        <w:tc>
          <w:tcPr>
            <w:tcW w:w="6379" w:type="dxa"/>
          </w:tcPr>
          <w:p w14:paraId="109DBF65" w14:textId="066C1458" w:rsidR="00F4476C" w:rsidRPr="006F54C0" w:rsidRDefault="00F4476C" w:rsidP="0035177A">
            <w:pPr>
              <w:ind w:left="170"/>
              <w:rPr>
                <w:rFonts w:eastAsia="Verdana" w:cs="Times New Roman"/>
                <w:sz w:val="18"/>
              </w:rPr>
            </w:pPr>
            <w:r w:rsidRPr="006F54C0">
              <w:rPr>
                <w:rFonts w:eastAsia="Verdana" w:cs="Times New Roman"/>
                <w:sz w:val="18"/>
              </w:rPr>
              <w:t xml:space="preserve">The Status Quo would consist of a remake of the Petroleum Regulations exactly as they currently stand. In other words, the existing regulations would be </w:t>
            </w:r>
            <w:r w:rsidR="00071700" w:rsidRPr="006F54C0">
              <w:rPr>
                <w:rFonts w:eastAsia="Verdana" w:cs="Times New Roman"/>
                <w:sz w:val="18"/>
              </w:rPr>
              <w:t>re</w:t>
            </w:r>
            <w:r w:rsidR="00071700">
              <w:rPr>
                <w:rFonts w:eastAsia="Verdana" w:cs="Times New Roman"/>
                <w:sz w:val="18"/>
              </w:rPr>
              <w:t>-issued in their current form</w:t>
            </w:r>
            <w:r w:rsidR="00071700" w:rsidRPr="006F54C0">
              <w:rPr>
                <w:rFonts w:eastAsia="Verdana" w:cs="Times New Roman"/>
                <w:sz w:val="18"/>
              </w:rPr>
              <w:t xml:space="preserve"> </w:t>
            </w:r>
            <w:r w:rsidRPr="006F54C0">
              <w:rPr>
                <w:rFonts w:eastAsia="Verdana" w:cs="Times New Roman"/>
                <w:sz w:val="18"/>
              </w:rPr>
              <w:t xml:space="preserve">for a further 10 years, until </w:t>
            </w:r>
            <w:r w:rsidR="00594052">
              <w:rPr>
                <w:rFonts w:eastAsia="Verdana" w:cs="Times New Roman"/>
                <w:sz w:val="18"/>
              </w:rPr>
              <w:t>October</w:t>
            </w:r>
            <w:r w:rsidRPr="006F54C0">
              <w:rPr>
                <w:rFonts w:eastAsia="Verdana" w:cs="Times New Roman"/>
                <w:sz w:val="18"/>
              </w:rPr>
              <w:t xml:space="preserve"> 2031.</w:t>
            </w:r>
          </w:p>
        </w:tc>
        <w:tc>
          <w:tcPr>
            <w:tcW w:w="2410" w:type="dxa"/>
          </w:tcPr>
          <w:p w14:paraId="0EC44469" w14:textId="77777777" w:rsidR="00F4476C" w:rsidRPr="002A4A30" w:rsidRDefault="00F4476C" w:rsidP="0035177A">
            <w:pPr>
              <w:ind w:left="170"/>
              <w:rPr>
                <w:rFonts w:eastAsia="Verdana" w:cs="Times New Roman"/>
                <w:sz w:val="18"/>
              </w:rPr>
            </w:pPr>
            <w:r w:rsidRPr="001528D0">
              <w:rPr>
                <w:rFonts w:eastAsia="Verdana" w:cs="Times New Roman"/>
                <w:b/>
                <w:bCs/>
                <w:color w:val="046A38" w:themeColor="accent2"/>
              </w:rPr>
              <w:t>Yes</w:t>
            </w:r>
            <w:r w:rsidRPr="00012DD6">
              <w:rPr>
                <w:rFonts w:eastAsia="Verdana" w:cs="Times New Roman"/>
                <w:color w:val="43B02A"/>
              </w:rPr>
              <w:t xml:space="preserve"> </w:t>
            </w:r>
            <w:r w:rsidRPr="002A4A30">
              <w:rPr>
                <w:rFonts w:eastAsia="Verdana" w:cs="Times New Roman"/>
                <w:sz w:val="18"/>
              </w:rPr>
              <w:t xml:space="preserve">- Option is feasible (workable), but </w:t>
            </w:r>
            <w:r w:rsidRPr="00012DD6">
              <w:rPr>
                <w:rFonts w:eastAsia="Verdana" w:cs="Times New Roman"/>
                <w:b/>
                <w:bCs/>
                <w:color w:val="C00000"/>
              </w:rPr>
              <w:t>No</w:t>
            </w:r>
            <w:r w:rsidRPr="002A4A30">
              <w:rPr>
                <w:rFonts w:eastAsia="Verdana" w:cs="Times New Roman"/>
                <w:sz w:val="18"/>
              </w:rPr>
              <w:t>, not viable (</w:t>
            </w:r>
            <w:proofErr w:type="gramStart"/>
            <w:r w:rsidRPr="002A4A30">
              <w:rPr>
                <w:rFonts w:eastAsia="Verdana" w:cs="Times New Roman"/>
                <w:sz w:val="18"/>
              </w:rPr>
              <w:t>i.e.</w:t>
            </w:r>
            <w:proofErr w:type="gramEnd"/>
            <w:r w:rsidRPr="002A4A30">
              <w:rPr>
                <w:rFonts w:eastAsia="Verdana" w:cs="Times New Roman"/>
                <w:sz w:val="18"/>
              </w:rPr>
              <w:t xml:space="preserve"> low CBA ratio). </w:t>
            </w:r>
          </w:p>
        </w:tc>
      </w:tr>
      <w:tr w:rsidR="00F4476C" w:rsidRPr="006F54C0" w14:paraId="5525A9DA" w14:textId="77777777" w:rsidTr="0035177A">
        <w:tc>
          <w:tcPr>
            <w:tcW w:w="1560" w:type="dxa"/>
          </w:tcPr>
          <w:p w14:paraId="67713A3C" w14:textId="48386373" w:rsidR="00F4476C" w:rsidRPr="006F54C0" w:rsidRDefault="00F4476C" w:rsidP="00CF69C1">
            <w:pPr>
              <w:rPr>
                <w:rFonts w:eastAsia="Verdana" w:cs="Times New Roman"/>
                <w:b/>
                <w:sz w:val="18"/>
              </w:rPr>
            </w:pPr>
            <w:r w:rsidRPr="006F54C0">
              <w:rPr>
                <w:rFonts w:eastAsia="Verdana" w:cs="Times New Roman"/>
                <w:b/>
                <w:sz w:val="18"/>
              </w:rPr>
              <w:t xml:space="preserve">Option 1 – </w:t>
            </w:r>
            <w:r w:rsidRPr="006F54C0">
              <w:rPr>
                <w:rFonts w:eastAsia="Verdana" w:cs="Times New Roman"/>
                <w:b/>
                <w:sz w:val="18"/>
              </w:rPr>
              <w:br/>
            </w:r>
            <w:r w:rsidRPr="006F54C0">
              <w:rPr>
                <w:rFonts w:eastAsia="Verdana" w:cs="Times New Roman"/>
                <w:bCs/>
                <w:sz w:val="18"/>
              </w:rPr>
              <w:t>Outcomes focussed</w:t>
            </w:r>
          </w:p>
        </w:tc>
        <w:tc>
          <w:tcPr>
            <w:tcW w:w="6379" w:type="dxa"/>
          </w:tcPr>
          <w:p w14:paraId="7DD3EFDA" w14:textId="5B833FF9" w:rsidR="00F4476C" w:rsidRPr="006F54C0" w:rsidRDefault="00F4476C" w:rsidP="0035177A">
            <w:pPr>
              <w:ind w:left="170"/>
              <w:rPr>
                <w:rFonts w:eastAsia="Verdana" w:cs="Times New Roman"/>
                <w:sz w:val="18"/>
              </w:rPr>
            </w:pPr>
            <w:r w:rsidRPr="006F54C0">
              <w:rPr>
                <w:rFonts w:eastAsia="Verdana" w:cs="Times New Roman"/>
                <w:bCs/>
                <w:sz w:val="18"/>
              </w:rPr>
              <w:t xml:space="preserve">Option 1 would involve introducing regulations that </w:t>
            </w:r>
            <w:r w:rsidR="00962BE9">
              <w:rPr>
                <w:rFonts w:eastAsia="Verdana" w:cs="Times New Roman"/>
                <w:bCs/>
                <w:sz w:val="18"/>
              </w:rPr>
              <w:t xml:space="preserve">reflect the amendments to the Petroleum Act and the </w:t>
            </w:r>
            <w:r w:rsidR="001F1243">
              <w:rPr>
                <w:rFonts w:eastAsia="Verdana" w:cs="Times New Roman"/>
                <w:bCs/>
                <w:sz w:val="18"/>
              </w:rPr>
              <w:t>requirement to re-start the industry, and at the same time are</w:t>
            </w:r>
            <w:r w:rsidRPr="006F54C0">
              <w:rPr>
                <w:rFonts w:eastAsia="Verdana" w:cs="Times New Roman"/>
                <w:bCs/>
                <w:sz w:val="18"/>
              </w:rPr>
              <w:t xml:space="preserve"> more outcomes and objectives focussed than the Status Quo. </w:t>
            </w:r>
          </w:p>
        </w:tc>
        <w:tc>
          <w:tcPr>
            <w:tcW w:w="2410" w:type="dxa"/>
          </w:tcPr>
          <w:p w14:paraId="46A57927" w14:textId="3CFD5596" w:rsidR="00F4476C" w:rsidRPr="002A4A30" w:rsidRDefault="00F4476C" w:rsidP="0035177A">
            <w:pPr>
              <w:ind w:left="170"/>
              <w:rPr>
                <w:rFonts w:eastAsia="Verdana" w:cs="Times New Roman"/>
                <w:bCs/>
                <w:sz w:val="18"/>
              </w:rPr>
            </w:pPr>
            <w:proofErr w:type="gramStart"/>
            <w:r w:rsidRPr="001528D0">
              <w:rPr>
                <w:rFonts w:eastAsia="Verdana" w:cs="Times New Roman"/>
                <w:b/>
                <w:color w:val="046A38" w:themeColor="accent2"/>
              </w:rPr>
              <w:t>Yes</w:t>
            </w:r>
            <w:proofErr w:type="gramEnd"/>
            <w:r w:rsidRPr="002A4A30">
              <w:rPr>
                <w:rFonts w:eastAsia="Verdana" w:cs="Times New Roman"/>
                <w:bCs/>
                <w:sz w:val="18"/>
              </w:rPr>
              <w:t xml:space="preserve"> </w:t>
            </w:r>
            <w:r w:rsidR="00992A62">
              <w:rPr>
                <w:rFonts w:eastAsia="Verdana" w:cs="Times New Roman"/>
                <w:bCs/>
                <w:sz w:val="18"/>
              </w:rPr>
              <w:t xml:space="preserve">and </w:t>
            </w:r>
            <w:r w:rsidR="00992A62" w:rsidRPr="001528D0">
              <w:rPr>
                <w:rFonts w:eastAsia="Verdana" w:cs="Times New Roman"/>
                <w:b/>
                <w:color w:val="046A38" w:themeColor="accent2"/>
              </w:rPr>
              <w:t>Yes</w:t>
            </w:r>
            <w:r w:rsidR="00992A62">
              <w:rPr>
                <w:rFonts w:eastAsia="Verdana" w:cs="Times New Roman"/>
                <w:bCs/>
                <w:sz w:val="18"/>
              </w:rPr>
              <w:t xml:space="preserve"> </w:t>
            </w:r>
            <w:r w:rsidRPr="002A4A30">
              <w:rPr>
                <w:rFonts w:eastAsia="Verdana" w:cs="Times New Roman"/>
                <w:bCs/>
                <w:sz w:val="18"/>
              </w:rPr>
              <w:t xml:space="preserve">- Option is both feasible and viable. </w:t>
            </w:r>
          </w:p>
        </w:tc>
      </w:tr>
      <w:tr w:rsidR="00F4476C" w:rsidRPr="006F54C0" w14:paraId="1C6CB80B" w14:textId="77777777" w:rsidTr="0035177A">
        <w:tc>
          <w:tcPr>
            <w:tcW w:w="1560" w:type="dxa"/>
          </w:tcPr>
          <w:p w14:paraId="20F2047C" w14:textId="77777777" w:rsidR="00F4476C" w:rsidRPr="006F54C0" w:rsidRDefault="00F4476C" w:rsidP="00CF69C1">
            <w:pPr>
              <w:rPr>
                <w:rFonts w:eastAsia="Verdana" w:cs="Times New Roman"/>
                <w:bCs/>
                <w:sz w:val="18"/>
              </w:rPr>
            </w:pPr>
            <w:r w:rsidRPr="006F54C0">
              <w:rPr>
                <w:rFonts w:eastAsia="Verdana" w:cs="Times New Roman"/>
                <w:b/>
                <w:sz w:val="18"/>
              </w:rPr>
              <w:t>Option 2 –</w:t>
            </w:r>
            <w:r w:rsidRPr="006F54C0">
              <w:rPr>
                <w:rFonts w:eastAsia="Verdana" w:cs="Times New Roman"/>
                <w:b/>
                <w:sz w:val="18"/>
              </w:rPr>
              <w:br/>
            </w:r>
            <w:r w:rsidRPr="006F54C0">
              <w:rPr>
                <w:rFonts w:eastAsia="Verdana" w:cs="Times New Roman"/>
                <w:bCs/>
                <w:sz w:val="18"/>
              </w:rPr>
              <w:t>Standards based</w:t>
            </w:r>
          </w:p>
          <w:p w14:paraId="7FA2DF49" w14:textId="77777777" w:rsidR="00F4476C" w:rsidRPr="006F54C0" w:rsidRDefault="00F4476C" w:rsidP="00CF69C1">
            <w:pPr>
              <w:rPr>
                <w:rFonts w:eastAsia="Verdana" w:cs="Times New Roman"/>
                <w:bCs/>
                <w:sz w:val="18"/>
              </w:rPr>
            </w:pPr>
            <w:r w:rsidRPr="006F54C0">
              <w:rPr>
                <w:rFonts w:eastAsia="Verdana" w:cs="Times New Roman"/>
                <w:b/>
                <w:sz w:val="18"/>
              </w:rPr>
              <w:t>(PREFERRED)</w:t>
            </w:r>
          </w:p>
        </w:tc>
        <w:tc>
          <w:tcPr>
            <w:tcW w:w="6379" w:type="dxa"/>
          </w:tcPr>
          <w:p w14:paraId="265CF659" w14:textId="22314903" w:rsidR="00F4476C" w:rsidRPr="006F54C0" w:rsidRDefault="00F4476C" w:rsidP="0035177A">
            <w:pPr>
              <w:ind w:left="170"/>
              <w:rPr>
                <w:rFonts w:eastAsia="Verdana" w:cs="Times New Roman"/>
                <w:b/>
                <w:sz w:val="18"/>
              </w:rPr>
            </w:pPr>
            <w:r w:rsidRPr="006F54C0">
              <w:rPr>
                <w:rFonts w:eastAsia="Verdana" w:cs="Times New Roman"/>
                <w:sz w:val="18"/>
              </w:rPr>
              <w:t xml:space="preserve">Option 2 would involve introducing regulations that </w:t>
            </w:r>
            <w:r w:rsidR="001F1243">
              <w:rPr>
                <w:rFonts w:eastAsia="Verdana" w:cs="Times New Roman"/>
                <w:bCs/>
                <w:sz w:val="18"/>
              </w:rPr>
              <w:t xml:space="preserve">reflect the amendments to the Petroleum Act and the requirement to re-start the </w:t>
            </w:r>
            <w:r w:rsidR="00900A37">
              <w:rPr>
                <w:rFonts w:eastAsia="Verdana" w:cs="Times New Roman"/>
                <w:bCs/>
                <w:sz w:val="18"/>
              </w:rPr>
              <w:t>industry</w:t>
            </w:r>
            <w:r w:rsidR="00900A37" w:rsidRPr="006F54C0">
              <w:rPr>
                <w:rFonts w:eastAsia="Verdana" w:cs="Times New Roman"/>
                <w:sz w:val="18"/>
              </w:rPr>
              <w:t>,</w:t>
            </w:r>
            <w:r w:rsidR="001C57F4">
              <w:rPr>
                <w:rFonts w:eastAsia="Verdana" w:cs="Times New Roman"/>
                <w:sz w:val="18"/>
              </w:rPr>
              <w:t xml:space="preserve"> but which are</w:t>
            </w:r>
            <w:r w:rsidR="00DC76AA">
              <w:rPr>
                <w:rFonts w:eastAsia="Verdana" w:cs="Times New Roman"/>
                <w:sz w:val="18"/>
              </w:rPr>
              <w:t xml:space="preserve"> </w:t>
            </w:r>
            <w:r w:rsidRPr="006F54C0">
              <w:rPr>
                <w:rFonts w:eastAsia="Verdana" w:cs="Times New Roman"/>
                <w:sz w:val="18"/>
              </w:rPr>
              <w:t xml:space="preserve">more prescriptive than both the current </w:t>
            </w:r>
            <w:r w:rsidR="001C57F4">
              <w:rPr>
                <w:rFonts w:eastAsia="Verdana" w:cs="Times New Roman"/>
                <w:sz w:val="18"/>
              </w:rPr>
              <w:t>regulations</w:t>
            </w:r>
            <w:r w:rsidR="001C57F4" w:rsidRPr="006F54C0">
              <w:rPr>
                <w:rFonts w:eastAsia="Verdana" w:cs="Times New Roman"/>
                <w:sz w:val="18"/>
              </w:rPr>
              <w:t xml:space="preserve"> </w:t>
            </w:r>
            <w:r w:rsidRPr="006F54C0">
              <w:rPr>
                <w:rFonts w:eastAsia="Verdana" w:cs="Times New Roman"/>
                <w:sz w:val="18"/>
              </w:rPr>
              <w:t xml:space="preserve">and Option 1. This Option also includes the making of a legislative Code of Practice on drilling and well management. </w:t>
            </w:r>
          </w:p>
        </w:tc>
        <w:tc>
          <w:tcPr>
            <w:tcW w:w="2410" w:type="dxa"/>
          </w:tcPr>
          <w:p w14:paraId="57636D80" w14:textId="76A1EEC3" w:rsidR="00F4476C" w:rsidRPr="002A4A30" w:rsidRDefault="00F4476C" w:rsidP="0035177A">
            <w:pPr>
              <w:ind w:left="170"/>
              <w:rPr>
                <w:rFonts w:eastAsia="Verdana" w:cs="Times New Roman"/>
                <w:sz w:val="18"/>
              </w:rPr>
            </w:pPr>
            <w:proofErr w:type="gramStart"/>
            <w:r w:rsidRPr="001528D0">
              <w:rPr>
                <w:rFonts w:eastAsia="Verdana" w:cs="Times New Roman"/>
                <w:b/>
                <w:color w:val="046A38" w:themeColor="accent2"/>
              </w:rPr>
              <w:t>Yes</w:t>
            </w:r>
            <w:proofErr w:type="gramEnd"/>
            <w:r w:rsidR="00992A62">
              <w:rPr>
                <w:rFonts w:eastAsia="Verdana" w:cs="Times New Roman"/>
                <w:b/>
                <w:color w:val="43B02A"/>
                <w:sz w:val="18"/>
              </w:rPr>
              <w:t xml:space="preserve"> </w:t>
            </w:r>
            <w:r w:rsidR="00992A62" w:rsidRPr="00012DD6">
              <w:rPr>
                <w:rFonts w:eastAsia="Verdana" w:cs="Times New Roman"/>
                <w:bCs/>
              </w:rPr>
              <w:t>and</w:t>
            </w:r>
            <w:r w:rsidR="00992A62" w:rsidRPr="001528D0">
              <w:rPr>
                <w:rFonts w:eastAsia="Verdana" w:cs="Times New Roman"/>
                <w:b/>
                <w:color w:val="046A38" w:themeColor="accent2"/>
                <w:sz w:val="18"/>
              </w:rPr>
              <w:t xml:space="preserve"> Yes</w:t>
            </w:r>
            <w:r w:rsidRPr="002A4A30">
              <w:rPr>
                <w:rFonts w:eastAsia="Verdana" w:cs="Times New Roman"/>
                <w:b/>
                <w:sz w:val="18"/>
              </w:rPr>
              <w:t xml:space="preserve"> </w:t>
            </w:r>
            <w:r w:rsidRPr="002A4A30">
              <w:rPr>
                <w:rFonts w:eastAsia="Verdana" w:cs="Times New Roman"/>
                <w:bCs/>
                <w:sz w:val="18"/>
              </w:rPr>
              <w:t>- Option is both feasible and viable.</w:t>
            </w:r>
          </w:p>
        </w:tc>
      </w:tr>
      <w:bookmarkEnd w:id="109"/>
    </w:tbl>
    <w:p w14:paraId="70AA6881" w14:textId="77777777" w:rsidR="00876F80" w:rsidRPr="00BF281D" w:rsidRDefault="00876F80" w:rsidP="00E21C22"/>
    <w:p w14:paraId="4F48B933" w14:textId="4A12965A" w:rsidR="007D2BED" w:rsidRPr="00BF281D" w:rsidRDefault="007D2BED" w:rsidP="00012DD6">
      <w:r w:rsidRPr="00BF281D">
        <w:rPr>
          <w:rFonts w:asciiTheme="minorHAnsi" w:hAnsiTheme="minorHAnsi" w:cs="Calibri"/>
        </w:rPr>
        <w:t xml:space="preserve">This RIS therefore considers </w:t>
      </w:r>
      <w:r w:rsidR="001C58E9" w:rsidRPr="00BF281D">
        <w:rPr>
          <w:rFonts w:asciiTheme="minorHAnsi" w:hAnsiTheme="minorHAnsi" w:cs="Calibri"/>
        </w:rPr>
        <w:t xml:space="preserve">Option 1 - </w:t>
      </w:r>
      <w:r w:rsidRPr="00BF281D">
        <w:rPr>
          <w:rFonts w:asciiTheme="minorHAnsi" w:hAnsiTheme="minorHAnsi" w:cs="Calibri"/>
        </w:rPr>
        <w:t>Outcomes focussed regulations, and</w:t>
      </w:r>
      <w:r w:rsidR="001C58E9" w:rsidRPr="00BF281D">
        <w:rPr>
          <w:rFonts w:asciiTheme="minorHAnsi" w:hAnsiTheme="minorHAnsi" w:cs="Calibri"/>
        </w:rPr>
        <w:t xml:space="preserve"> Option 2 -</w:t>
      </w:r>
      <w:r w:rsidRPr="00BF281D">
        <w:rPr>
          <w:rFonts w:asciiTheme="minorHAnsi" w:hAnsiTheme="minorHAnsi" w:cs="Calibri"/>
        </w:rPr>
        <w:t xml:space="preserve"> Standards based regulations</w:t>
      </w:r>
      <w:r w:rsidR="001C58E9" w:rsidRPr="00BF281D">
        <w:rPr>
          <w:rFonts w:asciiTheme="minorHAnsi" w:hAnsiTheme="minorHAnsi" w:cs="Calibri"/>
        </w:rPr>
        <w:t xml:space="preserve"> in </w:t>
      </w:r>
      <w:r w:rsidR="00D924CF" w:rsidRPr="00BF281D">
        <w:rPr>
          <w:rFonts w:asciiTheme="minorHAnsi" w:hAnsiTheme="minorHAnsi" w:cs="Calibri"/>
        </w:rPr>
        <w:t xml:space="preserve">more </w:t>
      </w:r>
      <w:r w:rsidR="001C58E9" w:rsidRPr="00BF281D">
        <w:rPr>
          <w:rFonts w:asciiTheme="minorHAnsi" w:hAnsiTheme="minorHAnsi" w:cs="Calibri"/>
        </w:rPr>
        <w:t>detail</w:t>
      </w:r>
      <w:r w:rsidR="00D924CF" w:rsidRPr="00BF281D">
        <w:rPr>
          <w:rFonts w:asciiTheme="minorHAnsi" w:hAnsiTheme="minorHAnsi" w:cs="Calibri"/>
        </w:rPr>
        <w:t xml:space="preserve"> than the Base Case and the Status Quo</w:t>
      </w:r>
      <w:r w:rsidRPr="00BF281D">
        <w:rPr>
          <w:rFonts w:asciiTheme="minorHAnsi" w:hAnsiTheme="minorHAnsi" w:cs="Calibri"/>
        </w:rPr>
        <w:t xml:space="preserve">. </w:t>
      </w:r>
      <w:r w:rsidR="00D924CF" w:rsidRPr="00BF281D">
        <w:rPr>
          <w:rFonts w:asciiTheme="minorHAnsi" w:hAnsiTheme="minorHAnsi" w:cs="Calibri"/>
        </w:rPr>
        <w:t xml:space="preserve">The </w:t>
      </w:r>
      <w:r w:rsidR="000018C4">
        <w:rPr>
          <w:rFonts w:asciiTheme="minorHAnsi" w:hAnsiTheme="minorHAnsi" w:cs="Calibri"/>
        </w:rPr>
        <w:t>Status Quo and the two O</w:t>
      </w:r>
      <w:r w:rsidR="00D924CF" w:rsidRPr="00BF281D">
        <w:rPr>
          <w:rFonts w:asciiTheme="minorHAnsi" w:hAnsiTheme="minorHAnsi" w:cs="Calibri"/>
        </w:rPr>
        <w:t>ptions are compared to the Base Case</w:t>
      </w:r>
      <w:r w:rsidR="00292C8F" w:rsidRPr="00BF281D">
        <w:rPr>
          <w:rFonts w:asciiTheme="minorHAnsi" w:hAnsiTheme="minorHAnsi" w:cs="Calibri"/>
        </w:rPr>
        <w:t xml:space="preserve"> for the purpose of this analysis</w:t>
      </w:r>
      <w:r w:rsidR="00D924CF" w:rsidRPr="00BF281D">
        <w:rPr>
          <w:rFonts w:asciiTheme="minorHAnsi" w:hAnsiTheme="minorHAnsi" w:cs="Calibri"/>
        </w:rPr>
        <w:t xml:space="preserve">. </w:t>
      </w:r>
    </w:p>
    <w:p w14:paraId="32A09612" w14:textId="398D7481" w:rsidR="000B0C31" w:rsidRPr="00BF281D" w:rsidRDefault="00C15798" w:rsidP="00E21C22">
      <w:pPr>
        <w:sectPr w:rsidR="000B0C31" w:rsidRPr="00BF281D" w:rsidSect="00E21C22">
          <w:footerReference w:type="default" r:id="rId31"/>
          <w:pgSz w:w="11906" w:h="16838" w:code="9"/>
          <w:pgMar w:top="1985" w:right="1559" w:bottom="1134" w:left="680" w:header="680" w:footer="425" w:gutter="0"/>
          <w:cols w:space="284"/>
          <w:docGrid w:linePitch="360"/>
        </w:sectPr>
      </w:pPr>
      <w:r w:rsidRPr="00BF281D">
        <w:t xml:space="preserve">The table overleaf </w:t>
      </w:r>
      <w:r w:rsidR="00BA0FE4">
        <w:t xml:space="preserve">and discussion below </w:t>
      </w:r>
      <w:r w:rsidRPr="00BF281D">
        <w:t xml:space="preserve">provides </w:t>
      </w:r>
      <w:r w:rsidR="00BA0FE4">
        <w:t xml:space="preserve">more detail on each of </w:t>
      </w:r>
      <w:r w:rsidR="00900A37">
        <w:t xml:space="preserve">the </w:t>
      </w:r>
      <w:r w:rsidR="00900A37" w:rsidRPr="00BF281D">
        <w:t>options</w:t>
      </w:r>
      <w:r w:rsidR="00A722DD" w:rsidRPr="00BF281D">
        <w:t xml:space="preserve">. </w:t>
      </w:r>
      <w:r w:rsidR="00E94DF9">
        <w:t xml:space="preserve"> A summary comparison of Options 1 and 2 against the Status Quo, </w:t>
      </w:r>
      <w:r w:rsidR="00BB1268">
        <w:t>aligned to the issues of</w:t>
      </w:r>
      <w:r w:rsidR="00E94DF9">
        <w:t xml:space="preserve"> authority </w:t>
      </w:r>
      <w:r w:rsidR="00BB1268">
        <w:t>applications</w:t>
      </w:r>
      <w:r w:rsidR="000D7A97">
        <w:t xml:space="preserve">, </w:t>
      </w:r>
      <w:r w:rsidR="00BB1268">
        <w:t xml:space="preserve">operational </w:t>
      </w:r>
      <w:proofErr w:type="gramStart"/>
      <w:r w:rsidR="00BB1268">
        <w:t>matters</w:t>
      </w:r>
      <w:proofErr w:type="gramEnd"/>
      <w:r w:rsidR="000D7A97">
        <w:t xml:space="preserve"> and information provision</w:t>
      </w:r>
      <w:r w:rsidR="00BB1268">
        <w:t>, is set out in Appendix A.</w:t>
      </w:r>
    </w:p>
    <w:p w14:paraId="71082632" w14:textId="14496E6D" w:rsidR="000B0C31" w:rsidRPr="00BF281D" w:rsidRDefault="00D87C1F">
      <w:pPr>
        <w:pStyle w:val="Heading3"/>
        <w:numPr>
          <w:ilvl w:val="0"/>
          <w:numId w:val="0"/>
        </w:numPr>
        <w:sectPr w:rsidR="000B0C31" w:rsidRPr="00BF281D" w:rsidSect="000B0C31">
          <w:pgSz w:w="16838" w:h="11906" w:orient="landscape" w:code="9"/>
          <w:pgMar w:top="680" w:right="1985" w:bottom="1559" w:left="1134" w:header="680" w:footer="425" w:gutter="0"/>
          <w:cols w:space="284"/>
          <w:docGrid w:linePitch="360"/>
        </w:sectPr>
      </w:pPr>
      <w:r>
        <w:rPr>
          <w:noProof/>
        </w:rPr>
        <w:lastRenderedPageBreak/>
        <w:drawing>
          <wp:inline distT="0" distB="0" distL="0" distR="0" wp14:anchorId="674EB85B" wp14:editId="248C8FB9">
            <wp:extent cx="9553800" cy="5796280"/>
            <wp:effectExtent l="0" t="0" r="0" b="0"/>
            <wp:docPr id="28" name="Picture 28" descr="Diagram explaining the difference between Base Case, Status Quo, New regulations option 1 outcomes focussed and new regulations option 2 more det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explaining the difference between Base Case, Status Quo, New regulations option 1 outcomes focussed and new regulations option 2 more detail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57778" cy="5798694"/>
                    </a:xfrm>
                    <a:prstGeom prst="rect">
                      <a:avLst/>
                    </a:prstGeom>
                    <a:noFill/>
                  </pic:spPr>
                </pic:pic>
              </a:graphicData>
            </a:graphic>
          </wp:inline>
        </w:drawing>
      </w:r>
    </w:p>
    <w:p w14:paraId="3B5848A9" w14:textId="3DAAB9E5" w:rsidR="00A772E7" w:rsidRPr="00BF281D" w:rsidRDefault="004646B3" w:rsidP="00D5518E">
      <w:pPr>
        <w:pStyle w:val="Heading3"/>
        <w:rPr>
          <w:b w:val="0"/>
        </w:rPr>
      </w:pPr>
      <w:r w:rsidRPr="00817682">
        <w:lastRenderedPageBreak/>
        <w:t xml:space="preserve">Base </w:t>
      </w:r>
      <w:r w:rsidR="006F3770" w:rsidRPr="00BF281D">
        <w:t>C</w:t>
      </w:r>
      <w:r w:rsidRPr="00BF281D">
        <w:t>ase</w:t>
      </w:r>
    </w:p>
    <w:p w14:paraId="1E46C646" w14:textId="0B2C2B04" w:rsidR="004646B3" w:rsidRPr="00BF281D" w:rsidRDefault="00966E16" w:rsidP="00E21C22">
      <w:r w:rsidRPr="00BF281D">
        <w:t xml:space="preserve">The </w:t>
      </w:r>
      <w:r w:rsidR="002C05C3" w:rsidRPr="00BF281D">
        <w:t>B</w:t>
      </w:r>
      <w:r w:rsidRPr="00BF281D">
        <w:t xml:space="preserve">ase </w:t>
      </w:r>
      <w:r w:rsidR="006F3770" w:rsidRPr="00BF281D">
        <w:t>C</w:t>
      </w:r>
      <w:r w:rsidRPr="00BF281D">
        <w:t xml:space="preserve">ase option </w:t>
      </w:r>
      <w:r w:rsidR="007E5A94" w:rsidRPr="00BF281D">
        <w:t>involves</w:t>
      </w:r>
      <w:r w:rsidRPr="00BF281D">
        <w:t xml:space="preserve"> no intervention. </w:t>
      </w:r>
      <w:r w:rsidR="00F1349A" w:rsidRPr="00BF281D">
        <w:t xml:space="preserve">In this case, </w:t>
      </w:r>
      <w:r w:rsidR="005841DD" w:rsidRPr="00BF281D">
        <w:t xml:space="preserve">this </w:t>
      </w:r>
      <w:r w:rsidR="00F1349A" w:rsidRPr="00BF281D">
        <w:t xml:space="preserve">would </w:t>
      </w:r>
      <w:r w:rsidR="007E5A94" w:rsidRPr="00BF281D">
        <w:t>mean</w:t>
      </w:r>
      <w:r w:rsidR="000B641A" w:rsidRPr="00BF281D">
        <w:t xml:space="preserve"> allowing the </w:t>
      </w:r>
      <w:r w:rsidR="005841DD" w:rsidRPr="00BF281D">
        <w:t xml:space="preserve">current </w:t>
      </w:r>
      <w:r w:rsidR="000B641A" w:rsidRPr="00BF281D">
        <w:t>Regulations to sunset</w:t>
      </w:r>
      <w:r w:rsidR="00A36C95" w:rsidRPr="00BF281D">
        <w:t xml:space="preserve">. </w:t>
      </w:r>
      <w:r w:rsidR="006A495A" w:rsidRPr="00BF281D">
        <w:t xml:space="preserve">If </w:t>
      </w:r>
      <w:r w:rsidR="0054544B" w:rsidRPr="00BF281D">
        <w:t>that occurred</w:t>
      </w:r>
      <w:r w:rsidR="006A495A" w:rsidRPr="00BF281D">
        <w:t xml:space="preserve">, the </w:t>
      </w:r>
      <w:r w:rsidR="00DA3EA0" w:rsidRPr="00BF281D">
        <w:t xml:space="preserve">Petroleum </w:t>
      </w:r>
      <w:r w:rsidR="00B4486C" w:rsidRPr="00BF281D">
        <w:t xml:space="preserve">Act </w:t>
      </w:r>
      <w:r w:rsidR="00DB675D" w:rsidRPr="00BF281D">
        <w:t>(as amended by the</w:t>
      </w:r>
      <w:r w:rsidR="006A495A" w:rsidRPr="00BF281D">
        <w:t xml:space="preserve"> </w:t>
      </w:r>
      <w:r w:rsidR="00501462">
        <w:t>Amendment Act</w:t>
      </w:r>
      <w:r w:rsidR="008C1BC3" w:rsidRPr="00BF281D">
        <w:t>)</w:t>
      </w:r>
      <w:r w:rsidR="0054544B" w:rsidRPr="00BF281D">
        <w:t>,</w:t>
      </w:r>
      <w:r w:rsidR="006A495A" w:rsidRPr="00BF281D">
        <w:t xml:space="preserve"> would </w:t>
      </w:r>
      <w:r w:rsidR="008B3B4D" w:rsidRPr="00BF281D">
        <w:t xml:space="preserve">then </w:t>
      </w:r>
      <w:r w:rsidR="007C72BC" w:rsidRPr="00BF281D">
        <w:t xml:space="preserve">operate </w:t>
      </w:r>
      <w:r w:rsidR="00C41049" w:rsidRPr="00BF281D">
        <w:t xml:space="preserve">in the absence of </w:t>
      </w:r>
      <w:r w:rsidR="00AD2485" w:rsidRPr="00BF281D">
        <w:t>supporting</w:t>
      </w:r>
      <w:r w:rsidR="00C41049" w:rsidRPr="00BF281D">
        <w:t xml:space="preserve"> </w:t>
      </w:r>
      <w:r w:rsidR="004003BB">
        <w:t>r</w:t>
      </w:r>
      <w:r w:rsidR="007C72BC" w:rsidRPr="00BF281D" w:rsidDel="00C41049">
        <w:t>egulations</w:t>
      </w:r>
      <w:r w:rsidR="007C72BC" w:rsidRPr="00BF281D">
        <w:t xml:space="preserve">. </w:t>
      </w:r>
      <w:r w:rsidR="0054544B" w:rsidRPr="00BF281D">
        <w:t>O</w:t>
      </w:r>
      <w:r w:rsidR="00850C5D" w:rsidRPr="00BF281D">
        <w:t xml:space="preserve">ther existing policies, legislation and regulations would </w:t>
      </w:r>
      <w:r w:rsidR="0054544B" w:rsidRPr="00BF281D">
        <w:t xml:space="preserve">still </w:t>
      </w:r>
      <w:r w:rsidR="00850C5D" w:rsidRPr="00BF281D">
        <w:t xml:space="preserve">apply, but </w:t>
      </w:r>
      <w:r w:rsidR="0054544B" w:rsidRPr="00BF281D">
        <w:t xml:space="preserve">these documents </w:t>
      </w:r>
      <w:r w:rsidR="00850C5D" w:rsidRPr="00BF281D">
        <w:t xml:space="preserve">would </w:t>
      </w:r>
      <w:r w:rsidR="0054544B" w:rsidRPr="00BF281D">
        <w:t>not account for the lapsing regulations without being amended themselves</w:t>
      </w:r>
      <w:r w:rsidR="00850C5D" w:rsidRPr="00BF281D">
        <w:t xml:space="preserve">. </w:t>
      </w:r>
    </w:p>
    <w:p w14:paraId="3DE425A5" w14:textId="3D6876F5" w:rsidR="00C57DD2" w:rsidRPr="00BF281D" w:rsidRDefault="00ED14D0" w:rsidP="00E21C22">
      <w:r w:rsidRPr="00BF281D">
        <w:t xml:space="preserve">In </w:t>
      </w:r>
      <w:r w:rsidR="006A7804" w:rsidRPr="00BF281D">
        <w:t>the Base Case</w:t>
      </w:r>
      <w:r w:rsidRPr="00BF281D">
        <w:t xml:space="preserve">, the process for development of </w:t>
      </w:r>
      <w:r w:rsidR="00D66AC5" w:rsidRPr="00BF281D">
        <w:t xml:space="preserve">operation </w:t>
      </w:r>
      <w:r w:rsidRPr="00BF281D">
        <w:t xml:space="preserve">plans under the </w:t>
      </w:r>
      <w:r w:rsidR="007556D3" w:rsidRPr="00BF281D">
        <w:t xml:space="preserve">Act </w:t>
      </w:r>
      <w:r w:rsidR="00C519C2" w:rsidRPr="00BF281D">
        <w:t>(as amended by</w:t>
      </w:r>
      <w:r w:rsidR="00C808A1" w:rsidRPr="00BF281D">
        <w:t xml:space="preserve"> </w:t>
      </w:r>
      <w:r w:rsidR="007556D3" w:rsidRPr="00BF281D">
        <w:t>the</w:t>
      </w:r>
      <w:r w:rsidRPr="00BF281D">
        <w:t xml:space="preserve"> </w:t>
      </w:r>
      <w:r w:rsidR="00501462">
        <w:t>Amendment Act</w:t>
      </w:r>
      <w:r w:rsidR="00EE30CB" w:rsidRPr="00BF281D">
        <w:t>)</w:t>
      </w:r>
      <w:r w:rsidRPr="00BF281D">
        <w:t xml:space="preserve"> is not established. </w:t>
      </w:r>
      <w:r w:rsidR="00C764A7" w:rsidRPr="00BF281D">
        <w:t xml:space="preserve">Authority holders </w:t>
      </w:r>
      <w:r w:rsidRPr="00BF281D">
        <w:t xml:space="preserve">must attempt to develop suitable </w:t>
      </w:r>
      <w:r w:rsidR="00751571" w:rsidRPr="00BF281D">
        <w:t xml:space="preserve">operation </w:t>
      </w:r>
      <w:r w:rsidRPr="00BF281D">
        <w:t xml:space="preserve">plans without the </w:t>
      </w:r>
      <w:r w:rsidR="00E36368" w:rsidRPr="00BF281D">
        <w:t xml:space="preserve">guidance and </w:t>
      </w:r>
      <w:r w:rsidRPr="00BF281D">
        <w:t xml:space="preserve">details </w:t>
      </w:r>
      <w:r w:rsidR="00EE30CB" w:rsidRPr="00BF281D">
        <w:t>currently</w:t>
      </w:r>
      <w:r w:rsidRPr="00BF281D">
        <w:t xml:space="preserve"> provided in the Regulations. The </w:t>
      </w:r>
      <w:r w:rsidR="007A3B89" w:rsidRPr="00BF281D">
        <w:t>d</w:t>
      </w:r>
      <w:r w:rsidRPr="00BF281D">
        <w:t xml:space="preserve">epartment </w:t>
      </w:r>
      <w:r w:rsidR="00E36368" w:rsidRPr="00BF281D">
        <w:t>would need</w:t>
      </w:r>
      <w:r w:rsidRPr="00BF281D">
        <w:t xml:space="preserve"> to </w:t>
      </w:r>
      <w:r w:rsidR="0082214E" w:rsidRPr="00BF281D">
        <w:t xml:space="preserve">frequently </w:t>
      </w:r>
      <w:r w:rsidRPr="00BF281D">
        <w:t xml:space="preserve">liaise with </w:t>
      </w:r>
      <w:r w:rsidR="00C764A7" w:rsidRPr="00BF281D">
        <w:t>operators</w:t>
      </w:r>
      <w:r w:rsidR="00C5742F" w:rsidRPr="00BF281D">
        <w:t xml:space="preserve"> in</w:t>
      </w:r>
      <w:r w:rsidRPr="00BF281D">
        <w:t xml:space="preserve"> develop</w:t>
      </w:r>
      <w:r w:rsidR="00C5742F" w:rsidRPr="00BF281D">
        <w:t>ing</w:t>
      </w:r>
      <w:r w:rsidRPr="00BF281D">
        <w:t xml:space="preserve"> guidance materials, to ensure these plans meet suitability requirements. Any guidance material would not be as enforceable, or subject to the same level of scrutiny or public consultation, as regulations</w:t>
      </w:r>
      <w:r w:rsidR="00C5742F" w:rsidRPr="00BF281D">
        <w:t xml:space="preserve"> or a Code of Practice made as a legislative instrument</w:t>
      </w:r>
      <w:r w:rsidRPr="00BF281D">
        <w:t xml:space="preserve">. </w:t>
      </w:r>
    </w:p>
    <w:p w14:paraId="0F4E62D6" w14:textId="533CE46D" w:rsidR="009F3473" w:rsidRPr="00817682" w:rsidRDefault="005C71DD" w:rsidP="00E21C22">
      <w:r w:rsidRPr="00BF281D">
        <w:t xml:space="preserve">Under </w:t>
      </w:r>
      <w:r w:rsidR="006A7804" w:rsidRPr="00BF281D">
        <w:t>the Base Case</w:t>
      </w:r>
      <w:r w:rsidRPr="00BF281D">
        <w:t>, t</w:t>
      </w:r>
      <w:r w:rsidR="009F3473" w:rsidRPr="00BF281D">
        <w:t xml:space="preserve">he </w:t>
      </w:r>
      <w:r w:rsidR="001B41A4" w:rsidRPr="00BF281D">
        <w:t xml:space="preserve">regulatory </w:t>
      </w:r>
      <w:r w:rsidR="009F3473" w:rsidRPr="00BF281D">
        <w:t xml:space="preserve">requirement for appropriate </w:t>
      </w:r>
      <w:r w:rsidRPr="00BF281D">
        <w:t xml:space="preserve">ongoing </w:t>
      </w:r>
      <w:r w:rsidR="009F3473" w:rsidRPr="00BF281D">
        <w:t xml:space="preserve">consultation for the life of </w:t>
      </w:r>
      <w:r w:rsidR="001B41A4" w:rsidRPr="00BF281D">
        <w:t xml:space="preserve">the operation would also lapse. The only consultation requirements would then be to consult with the person who owns, </w:t>
      </w:r>
      <w:proofErr w:type="gramStart"/>
      <w:r w:rsidR="001B41A4" w:rsidRPr="00BF281D">
        <w:t>occupies</w:t>
      </w:r>
      <w:proofErr w:type="gramEnd"/>
      <w:r w:rsidR="001B41A4" w:rsidRPr="00BF281D">
        <w:t xml:space="preserve"> or manages the land on which the operation is to be carried out.</w:t>
      </w:r>
      <w:r w:rsidR="007E0772" w:rsidRPr="00817682">
        <w:rPr>
          <w:rStyle w:val="EndnoteReference"/>
        </w:rPr>
        <w:endnoteReference w:id="13"/>
      </w:r>
    </w:p>
    <w:p w14:paraId="426856E5" w14:textId="5CE589C2" w:rsidR="00295B7B" w:rsidRPr="00BF281D" w:rsidRDefault="00295B7B" w:rsidP="00E21C22">
      <w:r w:rsidRPr="00BF281D">
        <w:t>The</w:t>
      </w:r>
      <w:r w:rsidR="004B5A9C" w:rsidRPr="00BF281D">
        <w:t>re would likely be a gradual</w:t>
      </w:r>
      <w:r w:rsidRPr="00BF281D">
        <w:t xml:space="preserve"> transition from the Regulations to no regulations, with both industry and </w:t>
      </w:r>
      <w:r w:rsidR="00272CD5" w:rsidRPr="00BF281D">
        <w:t>g</w:t>
      </w:r>
      <w:r w:rsidRPr="00BF281D">
        <w:t xml:space="preserve">overnment </w:t>
      </w:r>
      <w:r w:rsidR="000872CB" w:rsidRPr="00BF281D">
        <w:t>following</w:t>
      </w:r>
      <w:r w:rsidRPr="00BF281D">
        <w:t xml:space="preserve"> processes they are familiar with in the short-term. </w:t>
      </w:r>
    </w:p>
    <w:p w14:paraId="33B22031" w14:textId="19BB6FEB" w:rsidR="00AD670E" w:rsidRPr="00BF281D" w:rsidRDefault="0014538D" w:rsidP="00AD670E">
      <w:r w:rsidRPr="00BF281D">
        <w:t>However</w:t>
      </w:r>
      <w:r w:rsidR="00C13E87" w:rsidRPr="00BF281D">
        <w:t xml:space="preserve">, </w:t>
      </w:r>
      <w:r w:rsidR="00535C3A" w:rsidRPr="00BF281D">
        <w:t>p</w:t>
      </w:r>
      <w:r w:rsidR="00AC0AA8" w:rsidRPr="00BF281D">
        <w:t xml:space="preserve">etroleum projects are complex, high-risk investments </w:t>
      </w:r>
      <w:r w:rsidR="001A163D" w:rsidRPr="00BF281D">
        <w:t>that</w:t>
      </w:r>
      <w:r w:rsidR="00AC0AA8" w:rsidRPr="00BF281D">
        <w:t xml:space="preserve"> require</w:t>
      </w:r>
      <w:r w:rsidR="00A304CE" w:rsidRPr="00BF281D">
        <w:t xml:space="preserve"> </w:t>
      </w:r>
      <w:r w:rsidR="001856AA" w:rsidRPr="00BF281D">
        <w:t>carefully drafted regulatory framework</w:t>
      </w:r>
      <w:r w:rsidR="00C13E87" w:rsidRPr="00BF281D">
        <w:t>s</w:t>
      </w:r>
      <w:r w:rsidR="00581833">
        <w:t xml:space="preserve"> to</w:t>
      </w:r>
      <w:r w:rsidR="005D33ED" w:rsidRPr="00BF281D">
        <w:t xml:space="preserve"> </w:t>
      </w:r>
      <w:r w:rsidR="00B225BA" w:rsidRPr="00BF281D">
        <w:t>protect the legitimate interests of businesses</w:t>
      </w:r>
      <w:r w:rsidR="001841D9" w:rsidRPr="00BF281D">
        <w:t xml:space="preserve"> and the community</w:t>
      </w:r>
      <w:r w:rsidR="00253576" w:rsidRPr="00BF281D">
        <w:t xml:space="preserve"> </w:t>
      </w:r>
      <w:r w:rsidR="00FC0627" w:rsidRPr="00BF281D">
        <w:t xml:space="preserve">and </w:t>
      </w:r>
      <w:r w:rsidR="008016E0" w:rsidRPr="00BF281D">
        <w:t>provid</w:t>
      </w:r>
      <w:r w:rsidR="00FC0627" w:rsidRPr="00BF281D">
        <w:t>e</w:t>
      </w:r>
      <w:r w:rsidR="008016E0" w:rsidRPr="00BF281D">
        <w:t xml:space="preserve"> essential safeguards for </w:t>
      </w:r>
      <w:r w:rsidR="00054EBC" w:rsidRPr="00BF281D">
        <w:t xml:space="preserve">safety, social, </w:t>
      </w:r>
      <w:r w:rsidR="00C63D20" w:rsidRPr="00BF281D">
        <w:t>environmental,</w:t>
      </w:r>
      <w:r w:rsidR="00054EBC" w:rsidRPr="00BF281D">
        <w:t xml:space="preserve"> and competitive outcomes. </w:t>
      </w:r>
    </w:p>
    <w:p w14:paraId="657496F8" w14:textId="3C6B3EC5" w:rsidR="00147B36" w:rsidRPr="00BF281D" w:rsidRDefault="00C63D20" w:rsidP="00AD670E">
      <w:r w:rsidRPr="00BF281D">
        <w:t xml:space="preserve">Additionally, </w:t>
      </w:r>
      <w:r w:rsidR="000C1D9B" w:rsidRPr="00BF281D">
        <w:t>w</w:t>
      </w:r>
      <w:r w:rsidR="00636C1A" w:rsidRPr="00BF281D">
        <w:t>hile the</w:t>
      </w:r>
      <w:r w:rsidR="00AD670E" w:rsidRPr="00BF281D">
        <w:t xml:space="preserve"> </w:t>
      </w:r>
      <w:r w:rsidR="0034522D" w:rsidRPr="00BF281D">
        <w:t xml:space="preserve">Petroleum </w:t>
      </w:r>
      <w:r w:rsidR="00885237" w:rsidRPr="00BF281D">
        <w:t>A</w:t>
      </w:r>
      <w:r w:rsidR="004E21C0" w:rsidRPr="00BF281D">
        <w:t>ct</w:t>
      </w:r>
      <w:r w:rsidR="0034522D" w:rsidRPr="00BF281D">
        <w:t xml:space="preserve">, as </w:t>
      </w:r>
      <w:r w:rsidR="00303FA1">
        <w:t>amended</w:t>
      </w:r>
      <w:r w:rsidR="0034522D" w:rsidRPr="00BF281D">
        <w:t>,</w:t>
      </w:r>
      <w:r w:rsidR="0051637C" w:rsidRPr="00BF281D">
        <w:t xml:space="preserve"> provides the legislative framework to</w:t>
      </w:r>
      <w:r w:rsidR="004E21C0" w:rsidRPr="00BF281D">
        <w:t xml:space="preserve"> </w:t>
      </w:r>
      <w:r w:rsidR="00636C1A" w:rsidRPr="00BF281D">
        <w:t xml:space="preserve">enable decisions to be made, </w:t>
      </w:r>
      <w:r w:rsidR="000C1D9B" w:rsidRPr="00BF281D">
        <w:t>it</w:t>
      </w:r>
      <w:r w:rsidR="00636C1A" w:rsidRPr="00BF281D">
        <w:t xml:space="preserve"> do</w:t>
      </w:r>
      <w:r w:rsidR="000C1D9B" w:rsidRPr="00BF281D">
        <w:t>es</w:t>
      </w:r>
      <w:r w:rsidR="00636C1A" w:rsidRPr="00BF281D">
        <w:t xml:space="preserve"> not provide </w:t>
      </w:r>
      <w:r w:rsidR="00B3325F" w:rsidRPr="00BF281D">
        <w:t>industry</w:t>
      </w:r>
      <w:r w:rsidR="00575591" w:rsidRPr="00BF281D">
        <w:t xml:space="preserve"> with </w:t>
      </w:r>
      <w:r w:rsidR="008201A9" w:rsidRPr="00BF281D">
        <w:t>the</w:t>
      </w:r>
      <w:r w:rsidR="00575591" w:rsidRPr="00BF281D">
        <w:t xml:space="preserve"> specific </w:t>
      </w:r>
      <w:r w:rsidR="002E3379" w:rsidRPr="00BF281D">
        <w:t>information</w:t>
      </w:r>
      <w:r w:rsidR="00CD62A9" w:rsidRPr="00BF281D">
        <w:t xml:space="preserve"> </w:t>
      </w:r>
      <w:r w:rsidR="0030331A" w:rsidRPr="00BF281D">
        <w:t>to be contained in operation plans</w:t>
      </w:r>
      <w:r w:rsidR="002770FE" w:rsidRPr="00BF281D">
        <w:t xml:space="preserve"> or the requirements </w:t>
      </w:r>
      <w:r w:rsidR="00077DEA" w:rsidRPr="00BF281D">
        <w:t>they must</w:t>
      </w:r>
      <w:r w:rsidR="002770FE" w:rsidRPr="00BF281D">
        <w:t xml:space="preserve"> comp</w:t>
      </w:r>
      <w:r w:rsidR="00077DEA" w:rsidRPr="00BF281D">
        <w:t>ly</w:t>
      </w:r>
      <w:r w:rsidR="002770FE" w:rsidRPr="00BF281D">
        <w:t xml:space="preserve"> with</w:t>
      </w:r>
      <w:r w:rsidR="0030331A" w:rsidRPr="00BF281D">
        <w:t xml:space="preserve">. </w:t>
      </w:r>
      <w:r w:rsidR="00B46FA4" w:rsidRPr="00BF281D">
        <w:t xml:space="preserve">Therefore, the Base Case is deemed to be infeasible for this RIS. However, consistent with best practice regulation guidelines, the Base Case will still be used as the reference case. </w:t>
      </w:r>
    </w:p>
    <w:p w14:paraId="6F06647C" w14:textId="09161B51" w:rsidR="00B45C9A" w:rsidRPr="00BF281D" w:rsidRDefault="00B57963" w:rsidP="008F6931">
      <w:r>
        <w:t>I</w:t>
      </w:r>
      <w:r w:rsidR="00BE6F3D" w:rsidRPr="00BF281D">
        <w:t xml:space="preserve">n the absence of regulations, there would be no fee units and the cost of </w:t>
      </w:r>
      <w:r w:rsidR="004F4664">
        <w:t>petroleum authorities</w:t>
      </w:r>
      <w:r w:rsidR="0094307A" w:rsidRPr="00BF281D">
        <w:t xml:space="preserve"> </w:t>
      </w:r>
      <w:r w:rsidR="00BE6F3D" w:rsidRPr="00BF281D">
        <w:t>would not be cost-recoverable by industry.</w:t>
      </w:r>
      <w:r w:rsidR="00AB4048" w:rsidRPr="00BF281D">
        <w:t xml:space="preserve"> This would mean that o</w:t>
      </w:r>
      <w:r w:rsidR="008F6931" w:rsidRPr="00BF281D">
        <w:t xml:space="preserve">ther options </w:t>
      </w:r>
      <w:r w:rsidR="003662E7" w:rsidRPr="00BF281D">
        <w:t xml:space="preserve">for cost recovery </w:t>
      </w:r>
      <w:r w:rsidR="008F6931" w:rsidRPr="00BF281D">
        <w:t xml:space="preserve">would need to be considered, such as </w:t>
      </w:r>
      <w:r w:rsidR="003662E7" w:rsidRPr="00BF281D">
        <w:t xml:space="preserve">general </w:t>
      </w:r>
      <w:r w:rsidR="008F6931" w:rsidRPr="00BF281D">
        <w:t>taxpayer funding</w:t>
      </w:r>
      <w:r w:rsidR="006E5685" w:rsidRPr="00BF281D">
        <w:t xml:space="preserve"> through consolidated revenue</w:t>
      </w:r>
      <w:r w:rsidR="003662E7" w:rsidRPr="00BF281D">
        <w:t xml:space="preserve">, </w:t>
      </w:r>
      <w:r w:rsidR="002F043C" w:rsidRPr="00BF281D">
        <w:t>commercial charges, fines</w:t>
      </w:r>
      <w:r w:rsidR="008C724F" w:rsidRPr="00BF281D">
        <w:t xml:space="preserve">, monetary </w:t>
      </w:r>
      <w:r w:rsidR="002F043C" w:rsidRPr="00BF281D">
        <w:t xml:space="preserve">penalties, </w:t>
      </w:r>
      <w:r w:rsidR="001D5A81" w:rsidRPr="00BF281D">
        <w:t xml:space="preserve">royalties, excise and duties </w:t>
      </w:r>
      <w:r w:rsidR="002F043C" w:rsidRPr="00BF281D">
        <w:t>and other revenue-raising measures.</w:t>
      </w:r>
    </w:p>
    <w:p w14:paraId="0EF075AC" w14:textId="52AEF099" w:rsidR="0059796B" w:rsidRPr="00BF281D" w:rsidRDefault="0059796B" w:rsidP="0059796B">
      <w:r w:rsidRPr="00BF281D">
        <w:t>The Victorian Government has a long-standing policy of pursuing cost recovery: that is, that the operating costs of regulators should be funded by the entities they regulate rather than by taxpayers (that is, the wider community), except where there are legitimate policy interests to the contrary.</w:t>
      </w:r>
      <w:r w:rsidR="009A1A2D" w:rsidRPr="00817682">
        <w:rPr>
          <w:rStyle w:val="EndnoteReference"/>
        </w:rPr>
        <w:endnoteReference w:id="14"/>
      </w:r>
      <w:r w:rsidRPr="00817682">
        <w:t xml:space="preserve"> </w:t>
      </w:r>
    </w:p>
    <w:p w14:paraId="1C5111A6" w14:textId="0BD1140A" w:rsidR="00A31CFD" w:rsidRPr="00BF281D" w:rsidRDefault="00A31CFD" w:rsidP="0059796B">
      <w:r w:rsidRPr="00BF281D">
        <w:t xml:space="preserve">This is consistent with the approach at the </w:t>
      </w:r>
      <w:r w:rsidR="009E0189" w:rsidRPr="00BF281D">
        <w:t xml:space="preserve">national </w:t>
      </w:r>
      <w:r w:rsidRPr="00BF281D">
        <w:t xml:space="preserve">level, with the </w:t>
      </w:r>
      <w:r w:rsidR="009E0189" w:rsidRPr="00BF281D">
        <w:t xml:space="preserve">Commonwealth </w:t>
      </w:r>
      <w:r w:rsidRPr="00BF281D">
        <w:t>Cost Recovery Guidelines stipulating</w:t>
      </w:r>
      <w:r w:rsidRPr="00817682">
        <w:t xml:space="preserve"> that all user-pay fees and charges should be set to recover the full cost of the product or service from users, unless there are explicit policy or good public reasons for not doing so.</w:t>
      </w:r>
      <w:r w:rsidRPr="00BF281D">
        <w:t xml:space="preserve"> Cost recovery can promote equity whereby the recipients of a government activity, rather than the </w:t>
      </w:r>
      <w:proofErr w:type="gramStart"/>
      <w:r w:rsidRPr="00BF281D">
        <w:t>general public</w:t>
      </w:r>
      <w:proofErr w:type="gramEnd"/>
      <w:r w:rsidRPr="00BF281D">
        <w:t>, bear its costs. Therefore, Australian government entities should generally set charges to recover the full cost of providing specific activities.</w:t>
      </w:r>
      <w:r w:rsidRPr="00817682">
        <w:rPr>
          <w:rStyle w:val="EndnoteReference"/>
        </w:rPr>
        <w:endnoteReference w:id="15"/>
      </w:r>
      <w:r w:rsidRPr="00817682">
        <w:t xml:space="preserve"> </w:t>
      </w:r>
      <w:r w:rsidRPr="00BF281D">
        <w:t xml:space="preserve">The Australian Government’s overarching cost recovery policy is that, where appropriate, non-government recipients of specific government activities should be charged some or </w:t>
      </w:r>
      <w:proofErr w:type="gramStart"/>
      <w:r w:rsidRPr="00BF281D">
        <w:t>all of</w:t>
      </w:r>
      <w:proofErr w:type="gramEnd"/>
      <w:r w:rsidRPr="00BF281D">
        <w:t xml:space="preserve"> the costs of those activities.</w:t>
      </w:r>
      <w:r w:rsidRPr="00817682">
        <w:rPr>
          <w:rStyle w:val="EndnoteReference"/>
        </w:rPr>
        <w:endnoteReference w:id="16"/>
      </w:r>
      <w:r w:rsidRPr="00817682">
        <w:t xml:space="preserve"> </w:t>
      </w:r>
      <w:r w:rsidR="00B067F7">
        <w:t xml:space="preserve"> This is </w:t>
      </w:r>
      <w:r w:rsidR="001302BE">
        <w:t>similarly</w:t>
      </w:r>
      <w:r w:rsidR="00B067F7">
        <w:t xml:space="preserve"> reflected in other</w:t>
      </w:r>
      <w:r w:rsidR="001302BE">
        <w:t xml:space="preserve"> Australian</w:t>
      </w:r>
      <w:r w:rsidR="00B067F7">
        <w:t xml:space="preserve"> state and territory petroleum </w:t>
      </w:r>
      <w:r w:rsidR="001302BE">
        <w:t xml:space="preserve">exploration and development regimes. </w:t>
      </w:r>
    </w:p>
    <w:p w14:paraId="61DE13A1" w14:textId="34EF0AB8" w:rsidR="00E37C7E" w:rsidRPr="00BF281D" w:rsidRDefault="005C4723" w:rsidP="008F6931">
      <w:r w:rsidRPr="00BF281D">
        <w:t>Th</w:t>
      </w:r>
      <w:r w:rsidR="0059796B" w:rsidRPr="00BF281D">
        <w:t>ese</w:t>
      </w:r>
      <w:r w:rsidRPr="00BF281D">
        <w:t xml:space="preserve"> cost recovery poli</w:t>
      </w:r>
      <w:r w:rsidR="0059796B" w:rsidRPr="00BF281D">
        <w:t>cies</w:t>
      </w:r>
      <w:r w:rsidRPr="00BF281D">
        <w:t xml:space="preserve"> </w:t>
      </w:r>
      <w:r w:rsidR="0059796B" w:rsidRPr="00BF281D">
        <w:t>promote</w:t>
      </w:r>
      <w:r w:rsidRPr="00BF281D">
        <w:t xml:space="preserve"> consistent, </w:t>
      </w:r>
      <w:proofErr w:type="gramStart"/>
      <w:r w:rsidRPr="00BF281D">
        <w:t>transparent</w:t>
      </w:r>
      <w:proofErr w:type="gramEnd"/>
      <w:r w:rsidRPr="00BF281D">
        <w:t xml:space="preserve"> and accountable charging for government activities and supports the proper use of public resources. </w:t>
      </w:r>
    </w:p>
    <w:p w14:paraId="517B03AB" w14:textId="77777777" w:rsidR="00943A31" w:rsidRPr="00BF281D" w:rsidRDefault="00943A31" w:rsidP="008F6931"/>
    <w:p w14:paraId="41D12804" w14:textId="6349CB33" w:rsidR="008F6931" w:rsidRPr="00BF281D" w:rsidRDefault="008F6931" w:rsidP="008F6931">
      <w:r w:rsidRPr="00BF281D">
        <w:t xml:space="preserve"> </w:t>
      </w:r>
    </w:p>
    <w:p w14:paraId="6B6EFA9C" w14:textId="7107BE44" w:rsidR="007E5A94" w:rsidRPr="00817682" w:rsidRDefault="00FE1266" w:rsidP="0016721D">
      <w:pPr>
        <w:pStyle w:val="Heading3"/>
      </w:pPr>
      <w:r w:rsidRPr="00BF281D">
        <w:lastRenderedPageBreak/>
        <w:t xml:space="preserve"> </w:t>
      </w:r>
      <w:bookmarkStart w:id="110" w:name="_Ref61016538"/>
      <w:r w:rsidR="00D75CA5" w:rsidRPr="00BF281D">
        <w:t xml:space="preserve">Status </w:t>
      </w:r>
      <w:r w:rsidR="00DB18AF" w:rsidRPr="00BF281D">
        <w:t>Q</w:t>
      </w:r>
      <w:r w:rsidR="00D75CA5" w:rsidRPr="00BF281D">
        <w:t>uo</w:t>
      </w:r>
      <w:bookmarkEnd w:id="110"/>
    </w:p>
    <w:p w14:paraId="07240DF2" w14:textId="09407B8D" w:rsidR="00267B47" w:rsidRPr="00BF281D" w:rsidRDefault="001A048B" w:rsidP="00E21C22">
      <w:r w:rsidRPr="00BF281D">
        <w:t xml:space="preserve">The </w:t>
      </w:r>
      <w:r w:rsidR="00DB18AF" w:rsidRPr="00BF281D">
        <w:t>S</w:t>
      </w:r>
      <w:r w:rsidRPr="00BF281D">
        <w:t xml:space="preserve">tatus </w:t>
      </w:r>
      <w:r w:rsidR="00DB18AF" w:rsidRPr="00BF281D">
        <w:t>Q</w:t>
      </w:r>
      <w:r w:rsidRPr="00BF281D">
        <w:t>uo</w:t>
      </w:r>
      <w:r w:rsidR="007E5A94" w:rsidRPr="00BF281D">
        <w:t xml:space="preserve"> </w:t>
      </w:r>
      <w:r w:rsidR="00F11B98" w:rsidRPr="00BF281D">
        <w:t xml:space="preserve">would </w:t>
      </w:r>
      <w:r w:rsidR="00EE6695" w:rsidRPr="00BF281D">
        <w:t>consist of</w:t>
      </w:r>
      <w:r w:rsidR="00363D57" w:rsidRPr="00BF281D">
        <w:t xml:space="preserve"> </w:t>
      </w:r>
      <w:r w:rsidR="0040172A" w:rsidRPr="00BF281D">
        <w:t xml:space="preserve">a remake of the Petroleum Regulations exactly as they </w:t>
      </w:r>
      <w:r w:rsidR="00EE6695" w:rsidRPr="00BF281D">
        <w:t>currently stand</w:t>
      </w:r>
      <w:r w:rsidR="00572A7C">
        <w:t xml:space="preserve"> for the long-term</w:t>
      </w:r>
      <w:r w:rsidR="0040172A" w:rsidRPr="00BF281D">
        <w:t xml:space="preserve">. </w:t>
      </w:r>
      <w:r w:rsidR="00862090" w:rsidRPr="00BF281D">
        <w:t xml:space="preserve">In other words, </w:t>
      </w:r>
      <w:r w:rsidR="00CA3224" w:rsidRPr="00BF281D">
        <w:t xml:space="preserve">the </w:t>
      </w:r>
      <w:r w:rsidR="002359EF" w:rsidRPr="00B34FE1">
        <w:t>Petroleum Regulations 2011</w:t>
      </w:r>
      <w:r w:rsidR="00CA3224" w:rsidRPr="00BF281D">
        <w:t xml:space="preserve"> wou</w:t>
      </w:r>
      <w:r w:rsidR="002F7D2E" w:rsidRPr="00BF281D">
        <w:t xml:space="preserve">ld </w:t>
      </w:r>
      <w:r w:rsidR="00EE6695" w:rsidRPr="00BF281D">
        <w:t>be made</w:t>
      </w:r>
      <w:r w:rsidR="002F7D2E" w:rsidRPr="00BF281D">
        <w:t xml:space="preserve"> valid for a further 10 years, until </w:t>
      </w:r>
      <w:r w:rsidR="00594052">
        <w:t>October</w:t>
      </w:r>
      <w:r w:rsidR="00927574" w:rsidRPr="00BF281D">
        <w:t xml:space="preserve"> 2031. </w:t>
      </w:r>
      <w:r w:rsidR="005607F1">
        <w:t>Amongst other things</w:t>
      </w:r>
      <w:r w:rsidR="0029470B" w:rsidRPr="00BF281D">
        <w:t>, this means</w:t>
      </w:r>
      <w:r w:rsidR="00E570A5" w:rsidRPr="00BF281D">
        <w:t>:</w:t>
      </w:r>
    </w:p>
    <w:p w14:paraId="01ACA999" w14:textId="52896DF8" w:rsidR="00A0039E" w:rsidRPr="00BF281D" w:rsidRDefault="00A0039E" w:rsidP="001B757C">
      <w:pPr>
        <w:pStyle w:val="ListParagraph"/>
        <w:numPr>
          <w:ilvl w:val="0"/>
          <w:numId w:val="40"/>
        </w:numPr>
      </w:pPr>
      <w:r w:rsidRPr="00BF281D">
        <w:t>The</w:t>
      </w:r>
      <w:r w:rsidR="00E570A5" w:rsidRPr="00BF281D">
        <w:t xml:space="preserve"> </w:t>
      </w:r>
      <w:r w:rsidRPr="00BF281D">
        <w:t>regulations would not detail</w:t>
      </w:r>
      <w:r w:rsidR="00E570A5" w:rsidRPr="00BF281D">
        <w:t xml:space="preserve"> what a work program must contain</w:t>
      </w:r>
      <w:r w:rsidR="00C62446" w:rsidRPr="00BF281D">
        <w:t xml:space="preserve"> and would </w:t>
      </w:r>
      <w:r w:rsidR="00A362BE">
        <w:t xml:space="preserve">continue to </w:t>
      </w:r>
      <w:r w:rsidR="00C62446" w:rsidRPr="00BF281D">
        <w:t xml:space="preserve">have </w:t>
      </w:r>
      <w:r w:rsidR="00CF7FE3">
        <w:t>relatively</w:t>
      </w:r>
      <w:r w:rsidR="00C62446" w:rsidRPr="00BF281D">
        <w:t xml:space="preserve"> vague consultation requirements</w:t>
      </w:r>
      <w:r w:rsidR="00FA1056" w:rsidRPr="00BF281D">
        <w:t>.</w:t>
      </w:r>
    </w:p>
    <w:p w14:paraId="08F58585" w14:textId="39DDB944" w:rsidR="0000340B" w:rsidRPr="00BF281D" w:rsidRDefault="00583E0B" w:rsidP="00ED54E3">
      <w:pPr>
        <w:pStyle w:val="ListParagraph"/>
        <w:numPr>
          <w:ilvl w:val="0"/>
          <w:numId w:val="40"/>
        </w:numPr>
      </w:pPr>
      <w:r w:rsidRPr="00BF281D">
        <w:t xml:space="preserve">The </w:t>
      </w:r>
      <w:r w:rsidR="00F36337">
        <w:t xml:space="preserve">regulations would not </w:t>
      </w:r>
      <w:r w:rsidR="006D4E80">
        <w:t>include the</w:t>
      </w:r>
      <w:r w:rsidR="00646273">
        <w:t xml:space="preserve"> submission process</w:t>
      </w:r>
      <w:r w:rsidR="006D4E80">
        <w:t xml:space="preserve"> requirements</w:t>
      </w:r>
      <w:r w:rsidR="00F26B50">
        <w:t xml:space="preserve"> </w:t>
      </w:r>
      <w:r w:rsidR="004C6D7C">
        <w:t>under</w:t>
      </w:r>
      <w:r w:rsidR="00F26B50">
        <w:t xml:space="preserve"> the Amendment Act</w:t>
      </w:r>
      <w:r w:rsidR="007C0C2F">
        <w:t xml:space="preserve"> </w:t>
      </w:r>
      <w:r w:rsidR="0029000B">
        <w:t>which</w:t>
      </w:r>
      <w:r w:rsidRPr="00BF281D">
        <w:t xml:space="preserve"> require </w:t>
      </w:r>
      <w:r w:rsidR="00FA3060" w:rsidRPr="00BF281D">
        <w:t>‘</w:t>
      </w:r>
      <w:r w:rsidRPr="00BF281D">
        <w:t>s</w:t>
      </w:r>
      <w:r w:rsidR="002A4F0A" w:rsidRPr="00BF281D">
        <w:t>ufficient information</w:t>
      </w:r>
      <w:r w:rsidR="00FA3060" w:rsidRPr="00BF281D">
        <w:t>’</w:t>
      </w:r>
      <w:r w:rsidR="002A4F0A" w:rsidRPr="00BF281D">
        <w:t xml:space="preserve"> </w:t>
      </w:r>
      <w:r w:rsidR="0004538C" w:rsidRPr="00BF281D">
        <w:t xml:space="preserve">to be provided </w:t>
      </w:r>
      <w:r w:rsidR="008842ED" w:rsidRPr="00BF281D">
        <w:t xml:space="preserve">to </w:t>
      </w:r>
      <w:r w:rsidR="00FA3060" w:rsidRPr="00BF281D">
        <w:t>‘</w:t>
      </w:r>
      <w:r w:rsidR="008842ED" w:rsidRPr="00BF281D">
        <w:t>relevant persons</w:t>
      </w:r>
      <w:r w:rsidR="00FA3060" w:rsidRPr="00BF281D">
        <w:t>’</w:t>
      </w:r>
      <w:r w:rsidR="008842ED" w:rsidRPr="00BF281D">
        <w:t xml:space="preserve"> </w:t>
      </w:r>
      <w:r w:rsidR="00E5014D" w:rsidRPr="00BF281D">
        <w:t>about the potential impacts of the operation</w:t>
      </w:r>
      <w:r w:rsidR="00E83CE1" w:rsidRPr="00BF281D">
        <w:t xml:space="preserve"> </w:t>
      </w:r>
    </w:p>
    <w:p w14:paraId="2F05D0B5" w14:textId="05F245CF" w:rsidR="006E6D6F" w:rsidRPr="00BF281D" w:rsidRDefault="0000340B" w:rsidP="001B757C">
      <w:pPr>
        <w:pStyle w:val="ListParagraph"/>
        <w:numPr>
          <w:ilvl w:val="0"/>
          <w:numId w:val="40"/>
        </w:numPr>
      </w:pPr>
      <w:r w:rsidRPr="00BF281D">
        <w:t xml:space="preserve">The Minister must </w:t>
      </w:r>
      <w:proofErr w:type="gramStart"/>
      <w:r w:rsidRPr="00BF281D">
        <w:t>take into account</w:t>
      </w:r>
      <w:proofErr w:type="gramEnd"/>
      <w:r w:rsidRPr="00BF281D">
        <w:t xml:space="preserve"> any submissions when considering applications for </w:t>
      </w:r>
      <w:r w:rsidR="00FB1773">
        <w:t>petroleum authorities</w:t>
      </w:r>
      <w:r w:rsidRPr="00BF281D">
        <w:t>. However, the Minister’s decisions only consider the commercial viability and not the social or environmental interests</w:t>
      </w:r>
    </w:p>
    <w:p w14:paraId="26DFDAEF" w14:textId="734090C7" w:rsidR="00950908" w:rsidRDefault="00F443D7" w:rsidP="00E21C22">
      <w:r>
        <w:t xml:space="preserve">The Status Quo is </w:t>
      </w:r>
      <w:r w:rsidR="00FA3803">
        <w:t xml:space="preserve">unviable as an option, </w:t>
      </w:r>
      <w:proofErr w:type="gramStart"/>
      <w:r w:rsidR="00FA3803">
        <w:t>due to the fact that</w:t>
      </w:r>
      <w:proofErr w:type="gramEnd"/>
      <w:r w:rsidR="00FA3803">
        <w:t xml:space="preserve"> </w:t>
      </w:r>
      <w:r w:rsidR="000635F3">
        <w:t xml:space="preserve">there would be a disconnect between the Petroleum Act </w:t>
      </w:r>
      <w:r w:rsidR="00CF7FE3">
        <w:t xml:space="preserve">(as amended) </w:t>
      </w:r>
      <w:r w:rsidR="000635F3">
        <w:t xml:space="preserve">and the Petroleum Regulations. </w:t>
      </w:r>
      <w:r w:rsidR="00456409">
        <w:t xml:space="preserve">As is set out in Chapter </w:t>
      </w:r>
      <w:r w:rsidR="00456409">
        <w:fldChar w:fldCharType="begin"/>
      </w:r>
      <w:r w:rsidR="00456409">
        <w:instrText xml:space="preserve"> REF _Ref64634182 \r \h </w:instrText>
      </w:r>
      <w:r w:rsidR="00456409">
        <w:fldChar w:fldCharType="separate"/>
      </w:r>
      <w:r w:rsidR="009B3538">
        <w:t>4</w:t>
      </w:r>
      <w:r w:rsidR="00456409">
        <w:fldChar w:fldCharType="end"/>
      </w:r>
      <w:r w:rsidR="00456409">
        <w:t xml:space="preserve">, </w:t>
      </w:r>
      <w:r w:rsidR="0063153B">
        <w:t xml:space="preserve">the Status Quo is </w:t>
      </w:r>
      <w:r w:rsidR="00514D5C">
        <w:t xml:space="preserve">theoretically </w:t>
      </w:r>
      <w:r w:rsidR="0063153B">
        <w:t>workable, however it is a poor and therefore unviable option</w:t>
      </w:r>
      <w:r w:rsidR="00514D5C">
        <w:t xml:space="preserve">. </w:t>
      </w:r>
    </w:p>
    <w:p w14:paraId="4B704942" w14:textId="7FC618CE" w:rsidR="00456409" w:rsidRDefault="00442500" w:rsidP="00E21C22">
      <w:r>
        <w:t xml:space="preserve">As noted above, a very short extension is being made to the current version of the regulations to ensure coverage while the stakeholder engagement on the regulations and RIS is conducted – it is anticipated that the new </w:t>
      </w:r>
      <w:r w:rsidR="006A6340">
        <w:t>regulations</w:t>
      </w:r>
      <w:r>
        <w:t xml:space="preserve"> will be made in </w:t>
      </w:r>
      <w:r w:rsidR="00C53543">
        <w:t>October</w:t>
      </w:r>
      <w:r>
        <w:t xml:space="preserve"> 2021.  </w:t>
      </w:r>
      <w:r w:rsidR="006A6340">
        <w:t>T</w:t>
      </w:r>
      <w:r>
        <w:t>h</w:t>
      </w:r>
      <w:r w:rsidR="006A6340">
        <w:t xml:space="preserve">e Status Quo would be a </w:t>
      </w:r>
      <w:proofErr w:type="gramStart"/>
      <w:r w:rsidR="006A6340">
        <w:t>10 year</w:t>
      </w:r>
      <w:proofErr w:type="gramEnd"/>
      <w:r w:rsidR="006A6340">
        <w:t xml:space="preserve"> extension of the current regulations and is considered as an Option in this RIS</w:t>
      </w:r>
      <w:r w:rsidR="00950908">
        <w:t>. T</w:t>
      </w:r>
      <w:r w:rsidR="00EC7012">
        <w:t xml:space="preserve">he </w:t>
      </w:r>
      <w:r w:rsidR="00950908">
        <w:t>temporary</w:t>
      </w:r>
      <w:r w:rsidR="00EC7012">
        <w:t xml:space="preserve"> extension</w:t>
      </w:r>
      <w:r w:rsidR="00950908">
        <w:t xml:space="preserve"> of the current regulations</w:t>
      </w:r>
      <w:r w:rsidR="00EC7012">
        <w:t xml:space="preserve"> is </w:t>
      </w:r>
      <w:r w:rsidR="00950908">
        <w:t>a bridging mechanism only, therefore is not considered in detail in this RIS</w:t>
      </w:r>
      <w:r w:rsidR="006A6340">
        <w:t xml:space="preserve">. </w:t>
      </w:r>
    </w:p>
    <w:p w14:paraId="5E6BE723" w14:textId="1EA5CF7B" w:rsidR="007E5A94" w:rsidRPr="00BF281D" w:rsidRDefault="00861B85" w:rsidP="00E21C22">
      <w:r w:rsidRPr="00BF281D">
        <w:t>It is</w:t>
      </w:r>
      <w:r w:rsidRPr="00817682">
        <w:t xml:space="preserve"> possible that the re-made regulations could be supplemented by guidelines or other guidance material which could go some way to clarif</w:t>
      </w:r>
      <w:r w:rsidR="001A21A2" w:rsidRPr="00BF281D">
        <w:t>ying the requirements and increasing the consistency with the Petroleum Act (</w:t>
      </w:r>
      <w:r w:rsidR="006E032C">
        <w:t xml:space="preserve">will be amended by the </w:t>
      </w:r>
      <w:r w:rsidR="00501462">
        <w:t>Amendment Act</w:t>
      </w:r>
      <w:r w:rsidR="001A21A2" w:rsidRPr="00BF281D">
        <w:t>).</w:t>
      </w:r>
      <w:r w:rsidR="00732112">
        <w:t xml:space="preserve"> However, it is not appropriate to use non-regulatory options </w:t>
      </w:r>
      <w:r w:rsidR="00DB0C31">
        <w:t xml:space="preserve">such as guidelines in place of the Petroleum Regulations, due to the high risk and complex activity being regulated. Using regulations in this context is consistent with the approach taken in other States and Territories and at the Commonwealth level. </w:t>
      </w:r>
      <w:r w:rsidR="008E69CF">
        <w:t>Therefore</w:t>
      </w:r>
      <w:r w:rsidR="00CB28F1">
        <w:t>,</w:t>
      </w:r>
      <w:r w:rsidR="008E69CF">
        <w:t xml:space="preserve"> in considering the Status Quo, we have not </w:t>
      </w:r>
      <w:r w:rsidR="007503CC">
        <w:t>added theoretical guidelines as part of the detailed assessment</w:t>
      </w:r>
      <w:r w:rsidR="0043635B">
        <w:t xml:space="preserve">, rather just considered the regulations as they currently stand. </w:t>
      </w:r>
      <w:r w:rsidR="007503CC">
        <w:t xml:space="preserve"> </w:t>
      </w:r>
    </w:p>
    <w:p w14:paraId="65B49FC1" w14:textId="5231C674" w:rsidR="0017672E" w:rsidRPr="00BF281D" w:rsidRDefault="0017672E" w:rsidP="00E21C22">
      <w:r w:rsidRPr="00BF281D">
        <w:t xml:space="preserve">The way the </w:t>
      </w:r>
      <w:r w:rsidR="00EC7BEA">
        <w:t xml:space="preserve">existing </w:t>
      </w:r>
      <w:r w:rsidRPr="00BF281D">
        <w:t>regulations currently relate to the problem statements</w:t>
      </w:r>
      <w:r w:rsidR="00525B8C">
        <w:t xml:space="preserve"> </w:t>
      </w:r>
      <w:r w:rsidR="00677F2C">
        <w:t>under</w:t>
      </w:r>
      <w:r w:rsidR="00525B8C">
        <w:t xml:space="preserve"> the Status Quo</w:t>
      </w:r>
      <w:r w:rsidRPr="00BF281D">
        <w:t xml:space="preserve"> is summarised below. </w:t>
      </w:r>
    </w:p>
    <w:p w14:paraId="02326E6F" w14:textId="279881B9" w:rsidR="00296511" w:rsidRPr="00012DD6" w:rsidRDefault="00525B8C" w:rsidP="00E21C22">
      <w:pPr>
        <w:rPr>
          <w:b/>
          <w:color w:val="767171" w:themeColor="background2" w:themeShade="80"/>
        </w:rPr>
      </w:pPr>
      <w:r w:rsidRPr="00012DD6">
        <w:rPr>
          <w:b/>
          <w:color w:val="767171" w:themeColor="background2" w:themeShade="80"/>
        </w:rPr>
        <w:t xml:space="preserve">Status Quo - </w:t>
      </w:r>
      <w:r w:rsidR="00296511" w:rsidRPr="00012DD6">
        <w:rPr>
          <w:b/>
          <w:color w:val="767171" w:themeColor="background2" w:themeShade="80"/>
        </w:rPr>
        <w:t>Encouraging petroleum resource development</w:t>
      </w:r>
    </w:p>
    <w:p w14:paraId="28F1EFD2" w14:textId="106CF736" w:rsidR="00E70662" w:rsidRPr="00BF281D" w:rsidRDefault="00657BE2" w:rsidP="00E21C22">
      <w:r>
        <w:t>Prior to</w:t>
      </w:r>
      <w:r w:rsidR="00073508">
        <w:t xml:space="preserve"> petroleum production</w:t>
      </w:r>
      <w:r w:rsidR="004F7018" w:rsidRPr="00BF281D">
        <w:t>, holders</w:t>
      </w:r>
      <w:r w:rsidR="00073508">
        <w:t xml:space="preserve"> of a production licence</w:t>
      </w:r>
      <w:r w:rsidR="004F7018" w:rsidRPr="00BF281D">
        <w:t xml:space="preserve"> are </w:t>
      </w:r>
      <w:r w:rsidR="000A1B21" w:rsidRPr="00BF281D">
        <w:t xml:space="preserve">currently </w:t>
      </w:r>
      <w:r w:rsidR="004F7018" w:rsidRPr="00BF281D">
        <w:t xml:space="preserve">expected to provide </w:t>
      </w:r>
      <w:r w:rsidR="00925081" w:rsidRPr="00BF281D">
        <w:t>both</w:t>
      </w:r>
      <w:r w:rsidR="004F7018" w:rsidRPr="00BF281D">
        <w:t xml:space="preserve"> a work program that details </w:t>
      </w:r>
      <w:r w:rsidR="006A7CCE" w:rsidRPr="00BF281D">
        <w:t xml:space="preserve">the </w:t>
      </w:r>
      <w:r w:rsidR="004F7018" w:rsidRPr="00BF281D">
        <w:t>stages of expected work and associated expenditure</w:t>
      </w:r>
      <w:r w:rsidR="00431779" w:rsidRPr="00BF281D">
        <w:t>, and a development plan</w:t>
      </w:r>
      <w:r w:rsidR="008B48C5" w:rsidRPr="00BF281D">
        <w:t xml:space="preserve"> that outlines how petroleum production will be undertaken</w:t>
      </w:r>
      <w:r w:rsidR="004F7018" w:rsidRPr="00BF281D">
        <w:t xml:space="preserve">. </w:t>
      </w:r>
      <w:r w:rsidR="008B48C5" w:rsidRPr="00BF281D">
        <w:t xml:space="preserve">The current regulations contain details of what </w:t>
      </w:r>
      <w:r w:rsidR="002B353F" w:rsidRPr="00BF281D">
        <w:t xml:space="preserve">a development plan must contain, but not what a work program must contain. </w:t>
      </w:r>
      <w:r w:rsidR="004D4A31" w:rsidRPr="00BF281D">
        <w:t xml:space="preserve">This </w:t>
      </w:r>
      <w:r w:rsidR="00E70662" w:rsidRPr="00BF281D">
        <w:t>is a problem as industry i</w:t>
      </w:r>
      <w:r w:rsidR="00F227D5" w:rsidRPr="00BF281D">
        <w:t xml:space="preserve">s </w:t>
      </w:r>
      <w:r w:rsidR="00016EDA">
        <w:t xml:space="preserve">only provided with </w:t>
      </w:r>
      <w:r w:rsidR="006C7D81">
        <w:t xml:space="preserve">the </w:t>
      </w:r>
      <w:r w:rsidR="00900A37">
        <w:t>high-level</w:t>
      </w:r>
      <w:r w:rsidR="00E70662" w:rsidRPr="00BF281D">
        <w:t xml:space="preserve"> </w:t>
      </w:r>
      <w:r w:rsidR="00016EDA">
        <w:t xml:space="preserve">requirements </w:t>
      </w:r>
      <w:r w:rsidR="006C7D81">
        <w:t xml:space="preserve">in the Act and may not know </w:t>
      </w:r>
      <w:r w:rsidR="00C82EFA" w:rsidRPr="00BF281D">
        <w:t xml:space="preserve">what </w:t>
      </w:r>
      <w:r w:rsidR="003F16F4" w:rsidRPr="00BF281D">
        <w:t xml:space="preserve">to include in the work program and what </w:t>
      </w:r>
      <w:r w:rsidR="00C82EFA" w:rsidRPr="00BF281D">
        <w:t>the Minist</w:t>
      </w:r>
      <w:r w:rsidR="0084373A" w:rsidRPr="00BF281D">
        <w:t>er</w:t>
      </w:r>
      <w:r w:rsidR="00F227D5" w:rsidRPr="00BF281D">
        <w:t xml:space="preserve"> will</w:t>
      </w:r>
      <w:r w:rsidR="0084373A" w:rsidRPr="00BF281D">
        <w:t xml:space="preserve"> </w:t>
      </w:r>
      <w:r w:rsidR="00C17A85" w:rsidRPr="00BF281D">
        <w:t>consider</w:t>
      </w:r>
      <w:r w:rsidR="003F16F4" w:rsidRPr="00BF281D">
        <w:t>. This</w:t>
      </w:r>
      <w:r w:rsidR="00C17A85" w:rsidRPr="00BF281D">
        <w:t xml:space="preserve"> </w:t>
      </w:r>
      <w:r w:rsidR="0084373A" w:rsidRPr="00BF281D">
        <w:t>creat</w:t>
      </w:r>
      <w:r w:rsidR="003F16F4" w:rsidRPr="00BF281D">
        <w:t xml:space="preserve">es </w:t>
      </w:r>
      <w:r w:rsidR="001B5E7F" w:rsidRPr="00BF281D">
        <w:t>uncertainty and ambiguity</w:t>
      </w:r>
      <w:r w:rsidR="00C17A85" w:rsidRPr="00BF281D">
        <w:t xml:space="preserve"> </w:t>
      </w:r>
      <w:r w:rsidR="00A4690B" w:rsidRPr="00BF281D">
        <w:t>relating to</w:t>
      </w:r>
      <w:r w:rsidR="002F43E1" w:rsidRPr="00BF281D">
        <w:t xml:space="preserve"> the</w:t>
      </w:r>
      <w:r w:rsidR="003F4C14" w:rsidRPr="00BF281D">
        <w:t xml:space="preserve"> </w:t>
      </w:r>
      <w:r w:rsidR="001B5E7F" w:rsidRPr="00BF281D">
        <w:t>requirement</w:t>
      </w:r>
      <w:r w:rsidR="002F43E1" w:rsidRPr="00BF281D">
        <w:t>s of a work program</w:t>
      </w:r>
      <w:r w:rsidR="00BB0368" w:rsidRPr="00BF281D">
        <w:t xml:space="preserve"> and could potentially deter petroleum resource development</w:t>
      </w:r>
      <w:r w:rsidR="001B5E7F" w:rsidRPr="00BF281D">
        <w:t xml:space="preserve">. </w:t>
      </w:r>
    </w:p>
    <w:p w14:paraId="1B240528" w14:textId="21BD7B5B" w:rsidR="006D7F90" w:rsidRPr="00BF281D" w:rsidRDefault="0073661C" w:rsidP="00E21C22">
      <w:r w:rsidRPr="00BF281D">
        <w:t xml:space="preserve">Part 4 of the Regulations </w:t>
      </w:r>
      <w:r w:rsidR="00750174" w:rsidRPr="00BF281D">
        <w:t>detail the reporting requirements for petroleum operations</w:t>
      </w:r>
      <w:r w:rsidR="00E92B09" w:rsidRPr="00BF281D">
        <w:t xml:space="preserve"> which include:</w:t>
      </w:r>
    </w:p>
    <w:p w14:paraId="5A310A68" w14:textId="3CFEB7E1" w:rsidR="006D7F90" w:rsidRPr="00BF281D" w:rsidRDefault="006D7F90" w:rsidP="00AE11D2">
      <w:pPr>
        <w:pStyle w:val="ListParagraph"/>
        <w:numPr>
          <w:ilvl w:val="0"/>
          <w:numId w:val="28"/>
        </w:numPr>
      </w:pPr>
      <w:r w:rsidRPr="00BF281D">
        <w:t>annual reports</w:t>
      </w:r>
    </w:p>
    <w:p w14:paraId="12E106A9" w14:textId="5B7EE216" w:rsidR="003B4CDB" w:rsidRPr="00BF281D" w:rsidRDefault="003B4CDB" w:rsidP="00AE11D2">
      <w:pPr>
        <w:pStyle w:val="ListParagraph"/>
        <w:numPr>
          <w:ilvl w:val="0"/>
          <w:numId w:val="28"/>
        </w:numPr>
      </w:pPr>
      <w:r w:rsidRPr="00BF281D">
        <w:t xml:space="preserve">reports of survey, </w:t>
      </w:r>
      <w:proofErr w:type="gramStart"/>
      <w:r w:rsidRPr="00BF281D">
        <w:t>drilling</w:t>
      </w:r>
      <w:proofErr w:type="gramEnd"/>
      <w:r w:rsidRPr="00BF281D">
        <w:t xml:space="preserve"> and other activities</w:t>
      </w:r>
    </w:p>
    <w:p w14:paraId="2DB45603" w14:textId="79FBF33A" w:rsidR="003B4CDB" w:rsidRPr="00BF281D" w:rsidRDefault="003B4CDB" w:rsidP="00AE11D2">
      <w:pPr>
        <w:pStyle w:val="ListParagraph"/>
        <w:numPr>
          <w:ilvl w:val="0"/>
          <w:numId w:val="28"/>
        </w:numPr>
      </w:pPr>
      <w:r w:rsidRPr="00BF281D">
        <w:t>monthly report</w:t>
      </w:r>
      <w:r w:rsidR="00C71749" w:rsidRPr="00BF281D">
        <w:t>ing from production licence holder</w:t>
      </w:r>
    </w:p>
    <w:p w14:paraId="109C0A3C" w14:textId="604A54A9" w:rsidR="00AF53A5" w:rsidRPr="00BF281D" w:rsidRDefault="00C71749" w:rsidP="00AE11D2">
      <w:pPr>
        <w:pStyle w:val="ListParagraph"/>
        <w:numPr>
          <w:ilvl w:val="0"/>
          <w:numId w:val="28"/>
        </w:numPr>
      </w:pPr>
      <w:r w:rsidRPr="00BF281D">
        <w:t>incident reporting.</w:t>
      </w:r>
    </w:p>
    <w:p w14:paraId="27D1A988" w14:textId="38E7E179" w:rsidR="00DE5B0E" w:rsidRDefault="004A738C" w:rsidP="00E21C22">
      <w:r>
        <w:t>In certain circumstances, the inspector monitoring / investigation powers under the Act could be exercised to</w:t>
      </w:r>
      <w:r w:rsidR="008E5139" w:rsidRPr="00BF281D">
        <w:t xml:space="preserve"> request </w:t>
      </w:r>
      <w:r w:rsidR="003E642F" w:rsidRPr="00BF281D">
        <w:t>information</w:t>
      </w:r>
      <w:r w:rsidR="00D13E73">
        <w:t xml:space="preserve"> or data.</w:t>
      </w:r>
      <w:r w:rsidR="003E642F" w:rsidRPr="00BF281D">
        <w:t xml:space="preserve"> </w:t>
      </w:r>
      <w:r w:rsidR="00000D2D" w:rsidRPr="00BF281D">
        <w:t xml:space="preserve">However, there are no </w:t>
      </w:r>
      <w:r w:rsidR="00011E10" w:rsidRPr="00BF281D">
        <w:t xml:space="preserve">general data reporting requirements outside </w:t>
      </w:r>
      <w:r w:rsidR="00FA1056" w:rsidRPr="00BF281D">
        <w:t>of</w:t>
      </w:r>
      <w:r w:rsidR="00011E10" w:rsidRPr="00BF281D">
        <w:t xml:space="preserve"> this, as the Act relies on regulations to prescribe the information to be provided.</w:t>
      </w:r>
      <w:r w:rsidR="00A95771" w:rsidRPr="00817682">
        <w:rPr>
          <w:rStyle w:val="EndnoteReference"/>
        </w:rPr>
        <w:endnoteReference w:id="17"/>
      </w:r>
      <w:r w:rsidR="000F08E0" w:rsidRPr="00817682">
        <w:t xml:space="preserve"> </w:t>
      </w:r>
    </w:p>
    <w:p w14:paraId="021C9A3B" w14:textId="1C38C514" w:rsidR="001B40AA" w:rsidRDefault="001B40AA" w:rsidP="00E21C22"/>
    <w:p w14:paraId="48ED56A0" w14:textId="77777777" w:rsidR="001B40AA" w:rsidRPr="00BF281D" w:rsidRDefault="001B40AA" w:rsidP="00E21C22"/>
    <w:p w14:paraId="3A5C0567" w14:textId="32C1B0C8" w:rsidR="00C17D77" w:rsidRPr="00012DD6" w:rsidRDefault="00525B8C" w:rsidP="00E21C22">
      <w:pPr>
        <w:rPr>
          <w:b/>
          <w:bCs/>
          <w:color w:val="767171" w:themeColor="background2" w:themeShade="80"/>
        </w:rPr>
      </w:pPr>
      <w:r w:rsidRPr="00012DD6">
        <w:rPr>
          <w:b/>
          <w:bCs/>
          <w:color w:val="767171" w:themeColor="background2" w:themeShade="80"/>
        </w:rPr>
        <w:lastRenderedPageBreak/>
        <w:t xml:space="preserve">Status Quo - </w:t>
      </w:r>
      <w:r w:rsidR="003643A8" w:rsidRPr="00012DD6">
        <w:rPr>
          <w:b/>
          <w:bCs/>
          <w:color w:val="767171" w:themeColor="background2" w:themeShade="80"/>
        </w:rPr>
        <w:t xml:space="preserve">Building </w:t>
      </w:r>
      <w:r w:rsidR="0054704E">
        <w:rPr>
          <w:b/>
          <w:bCs/>
          <w:color w:val="767171" w:themeColor="background2" w:themeShade="80"/>
        </w:rPr>
        <w:t>social license</w:t>
      </w:r>
      <w:r w:rsidR="00441ECD" w:rsidRPr="00012DD6">
        <w:rPr>
          <w:b/>
          <w:bCs/>
          <w:color w:val="767171" w:themeColor="background2" w:themeShade="80"/>
        </w:rPr>
        <w:t xml:space="preserve"> to operate</w:t>
      </w:r>
    </w:p>
    <w:p w14:paraId="2858EC38" w14:textId="7A22FEBE" w:rsidR="00441ECD" w:rsidRPr="00BF281D" w:rsidRDefault="0069243A" w:rsidP="00E21C22">
      <w:r w:rsidRPr="00BF281D">
        <w:t xml:space="preserve">Under the current regulations, </w:t>
      </w:r>
      <w:r w:rsidR="003B1E44" w:rsidRPr="00BF281D">
        <w:t xml:space="preserve">the consultation requirements are </w:t>
      </w:r>
      <w:r w:rsidR="003219B5" w:rsidRPr="00BF281D">
        <w:t xml:space="preserve">somewhat vague and </w:t>
      </w:r>
      <w:r w:rsidR="0081625C" w:rsidRPr="00BF281D">
        <w:t xml:space="preserve">grant </w:t>
      </w:r>
      <w:r w:rsidR="003219B5" w:rsidRPr="00BF281D">
        <w:t xml:space="preserve">discretion to authority holders. </w:t>
      </w:r>
      <w:r w:rsidR="00FB1393" w:rsidRPr="00BF281D">
        <w:t xml:space="preserve">An </w:t>
      </w:r>
      <w:r w:rsidR="004C7722">
        <w:t>EMP</w:t>
      </w:r>
      <w:r w:rsidR="0081625C" w:rsidRPr="00BF281D">
        <w:t xml:space="preserve"> </w:t>
      </w:r>
      <w:r w:rsidR="00FB1393" w:rsidRPr="00BF281D">
        <w:t>must be produced by authority holders</w:t>
      </w:r>
      <w:r w:rsidR="00043CDD" w:rsidRPr="00BF281D">
        <w:t xml:space="preserve"> as part of the operation plan</w:t>
      </w:r>
      <w:r w:rsidR="00FB1393" w:rsidRPr="00BF281D">
        <w:t xml:space="preserve">. The plan must provide for (among other things) </w:t>
      </w:r>
      <w:r w:rsidR="00257176" w:rsidRPr="00BF281D">
        <w:t>appropriate consultation</w:t>
      </w:r>
      <w:r w:rsidR="007E1677" w:rsidRPr="00BF281D">
        <w:t xml:space="preserve"> that is </w:t>
      </w:r>
      <w:r w:rsidR="00257176" w:rsidRPr="00BF281D">
        <w:t>ongoing for the life of the operation</w:t>
      </w:r>
      <w:r w:rsidR="007E1677" w:rsidRPr="00BF281D">
        <w:t>. This consultation relates to</w:t>
      </w:r>
      <w:r w:rsidR="00257176" w:rsidRPr="00BF281D">
        <w:t xml:space="preserve"> the holder of the authority’s environmental performance </w:t>
      </w:r>
      <w:r w:rsidR="004E18F9" w:rsidRPr="00BF281D">
        <w:t xml:space="preserve">and is </w:t>
      </w:r>
      <w:r w:rsidR="00257176" w:rsidRPr="00BF281D">
        <w:t>with</w:t>
      </w:r>
      <w:r w:rsidR="00D128B6" w:rsidRPr="00BF281D">
        <w:t xml:space="preserve"> relevant agencies of the Commonwealth and the State and</w:t>
      </w:r>
      <w:r w:rsidR="004E18F9" w:rsidRPr="00BF281D">
        <w:t>,</w:t>
      </w:r>
      <w:r w:rsidR="00D128B6" w:rsidRPr="00BF281D">
        <w:t xml:space="preserve"> other relevant in</w:t>
      </w:r>
      <w:r w:rsidR="00EB03B1" w:rsidRPr="00BF281D">
        <w:t xml:space="preserve">terested people and organisations. </w:t>
      </w:r>
      <w:r w:rsidR="00607DC5" w:rsidRPr="00BF281D">
        <w:t xml:space="preserve">A report on these consultations must be included in </w:t>
      </w:r>
      <w:r w:rsidR="00043224" w:rsidRPr="00BF281D">
        <w:t xml:space="preserve">the plan. </w:t>
      </w:r>
      <w:r w:rsidR="001A3B7F" w:rsidRPr="00BF281D">
        <w:t>Additional engagement may be undertaken at the authority holder’s discretion.</w:t>
      </w:r>
    </w:p>
    <w:p w14:paraId="5F728849" w14:textId="1579ED89" w:rsidR="004A023F" w:rsidRPr="00BF281D" w:rsidRDefault="004A023F" w:rsidP="004A023F">
      <w:r w:rsidRPr="00BF281D">
        <w:t xml:space="preserve">The regulations currently specify requirements for the authority holder to develop a report on any consultation with relevant agencies, interested people and organisations </w:t>
      </w:r>
      <w:proofErr w:type="gramStart"/>
      <w:r w:rsidRPr="00BF281D">
        <w:t>in the course of</w:t>
      </w:r>
      <w:proofErr w:type="gramEnd"/>
      <w:r w:rsidRPr="00BF281D">
        <w:t xml:space="preserve"> developing the EMP and ongoing for the life of the operation. It does not prescribe a standard or amount of community engagement required or specify potential interested people for authority holders to consult. There is limited scrutiny and expectation of managing social impacts in the Regulations. </w:t>
      </w:r>
    </w:p>
    <w:p w14:paraId="53BEF2B9" w14:textId="019A5393" w:rsidR="004A023F" w:rsidRPr="00BF281D" w:rsidRDefault="004A023F" w:rsidP="004A023F">
      <w:r w:rsidRPr="00BF281D">
        <w:t xml:space="preserve">Recent surveys conducted as part of the </w:t>
      </w:r>
      <w:r w:rsidR="00FA1056" w:rsidRPr="00BF281D">
        <w:t>VGP</w:t>
      </w:r>
      <w:r w:rsidRPr="00BF281D">
        <w:t xml:space="preserve"> suggest that greater community engagement and consultation is critical for ongoing support of investment in the sector. With growing community expectations, understanding and concerns, effective governance and strong regulations are important to establish a </w:t>
      </w:r>
      <w:r w:rsidR="0054704E">
        <w:t>social license</w:t>
      </w:r>
      <w:r w:rsidRPr="00BF281D">
        <w:t>.</w:t>
      </w:r>
    </w:p>
    <w:p w14:paraId="48C2B8EB" w14:textId="47A2B61D" w:rsidR="009A12A7" w:rsidRPr="00BF281D" w:rsidRDefault="00C635ED" w:rsidP="00E21C22">
      <w:r w:rsidRPr="00BF281D">
        <w:t>Before carrying out a petroleum operation, the authority holder must submit an operation plan to the Minister. W</w:t>
      </w:r>
      <w:r w:rsidR="006274C2" w:rsidRPr="00BF281D">
        <w:t>hen preparing an operation plan,</w:t>
      </w:r>
      <w:r w:rsidRPr="00BF281D">
        <w:t xml:space="preserve"> the authority holder must </w:t>
      </w:r>
      <w:r w:rsidR="00DB6995" w:rsidRPr="00BF281D">
        <w:t>identify and mitigate risks to members of the public</w:t>
      </w:r>
      <w:r w:rsidR="005D4915" w:rsidRPr="00BF281D">
        <w:t xml:space="preserve"> </w:t>
      </w:r>
      <w:r w:rsidR="00AE0A07" w:rsidRPr="00BF281D">
        <w:t xml:space="preserve">which are </w:t>
      </w:r>
      <w:r w:rsidR="005D4915" w:rsidRPr="00BF281D">
        <w:t xml:space="preserve">in the vicinity of </w:t>
      </w:r>
      <w:r w:rsidR="00AE0A07" w:rsidRPr="00BF281D">
        <w:t xml:space="preserve">the </w:t>
      </w:r>
      <w:r w:rsidR="005D4915" w:rsidRPr="00BF281D">
        <w:t>operation. The regulations provide for this by requiring the authority holder</w:t>
      </w:r>
      <w:r w:rsidR="00555C8C" w:rsidRPr="00BF281D">
        <w:t xml:space="preserve"> to issue </w:t>
      </w:r>
      <w:r w:rsidR="002D1199">
        <w:t xml:space="preserve">a </w:t>
      </w:r>
      <w:r w:rsidR="00555C8C" w:rsidRPr="00BF281D">
        <w:t>notice</w:t>
      </w:r>
      <w:r w:rsidR="003E5844" w:rsidRPr="00BF281D">
        <w:t xml:space="preserve"> with sufficient information</w:t>
      </w:r>
      <w:r w:rsidR="00555C8C" w:rsidRPr="00BF281D">
        <w:t xml:space="preserve"> to relevant persons / organisations</w:t>
      </w:r>
      <w:r w:rsidR="0013501D" w:rsidRPr="00BF281D">
        <w:t>,</w:t>
      </w:r>
      <w:r w:rsidR="00555C8C" w:rsidRPr="00BF281D">
        <w:t xml:space="preserve"> </w:t>
      </w:r>
      <w:r w:rsidR="0013501D" w:rsidRPr="00BF281D">
        <w:t>allowing</w:t>
      </w:r>
      <w:r w:rsidR="003E5844" w:rsidRPr="00BF281D">
        <w:t xml:space="preserve"> them to make an informed assessment of </w:t>
      </w:r>
      <w:r w:rsidR="00F8597A" w:rsidRPr="00BF281D">
        <w:t>any impact</w:t>
      </w:r>
      <w:r w:rsidR="00171EC2" w:rsidRPr="00BF281D">
        <w:t>s</w:t>
      </w:r>
      <w:r w:rsidR="00F8597A" w:rsidRPr="00BF281D">
        <w:t xml:space="preserve"> that the operation may have on them. </w:t>
      </w:r>
      <w:r w:rsidR="009771CA" w:rsidRPr="00BF281D">
        <w:t>The authority holder must also invite submissions within a reasonable period of receiving notice</w:t>
      </w:r>
      <w:r w:rsidR="008136BD" w:rsidRPr="00BF281D">
        <w:rPr>
          <w:rStyle w:val="CommentReference"/>
        </w:rPr>
        <w:t xml:space="preserve"> </w:t>
      </w:r>
      <w:r w:rsidR="00171EC2" w:rsidRPr="00BF281D">
        <w:rPr>
          <w:rStyle w:val="CommentReference"/>
        </w:rPr>
        <w:t>and</w:t>
      </w:r>
      <w:r w:rsidR="00286E0F" w:rsidRPr="00BF281D">
        <w:t xml:space="preserve"> provide evidence to the Minister that submissions have been considered.</w:t>
      </w:r>
    </w:p>
    <w:p w14:paraId="3A735929" w14:textId="21A28471" w:rsidR="00E652D9" w:rsidRPr="00BF281D" w:rsidRDefault="00B6112D" w:rsidP="00E21C22">
      <w:r w:rsidRPr="00BF281D">
        <w:t>A</w:t>
      </w:r>
      <w:r w:rsidR="00E652D9" w:rsidRPr="00BF281D">
        <w:t xml:space="preserve">lthough some established incumbent firms may not require ongoing instructions to </w:t>
      </w:r>
      <w:r w:rsidR="00321536" w:rsidRPr="00BF281D">
        <w:t xml:space="preserve">develop </w:t>
      </w:r>
      <w:r w:rsidR="00A56BD4" w:rsidRPr="00BF281D">
        <w:t>a</w:t>
      </w:r>
      <w:r w:rsidR="00A765C2" w:rsidRPr="00BF281D">
        <w:t xml:space="preserve"> report o</w:t>
      </w:r>
      <w:r w:rsidR="002B38E7" w:rsidRPr="00BF281D">
        <w:t>n</w:t>
      </w:r>
      <w:r w:rsidR="00A765C2" w:rsidRPr="00BF281D">
        <w:t xml:space="preserve"> </w:t>
      </w:r>
      <w:r w:rsidR="00F10C29" w:rsidRPr="00BF281D">
        <w:t xml:space="preserve">appropriate </w:t>
      </w:r>
      <w:r w:rsidR="007D73AB" w:rsidRPr="00BF281D">
        <w:t>consultation</w:t>
      </w:r>
      <w:r w:rsidR="00E652D9" w:rsidRPr="00BF281D">
        <w:t xml:space="preserve">, the </w:t>
      </w:r>
      <w:r w:rsidR="0016025E">
        <w:t xml:space="preserve">current </w:t>
      </w:r>
      <w:r w:rsidR="00E652D9" w:rsidRPr="00BF281D">
        <w:t xml:space="preserve">Regulations </w:t>
      </w:r>
      <w:r w:rsidR="0016025E">
        <w:t>provide</w:t>
      </w:r>
      <w:r w:rsidR="00E652D9" w:rsidRPr="00BF281D">
        <w:t xml:space="preserve"> a consistent form and structure for firms to follow. </w:t>
      </w:r>
      <w:r w:rsidR="00500A33" w:rsidRPr="00BF281D">
        <w:t xml:space="preserve">There is </w:t>
      </w:r>
      <w:r w:rsidR="00BC468B" w:rsidRPr="00BF281D">
        <w:t>a</w:t>
      </w:r>
      <w:r w:rsidR="00500A33" w:rsidRPr="00BF281D">
        <w:t xml:space="preserve"> potential </w:t>
      </w:r>
      <w:r w:rsidR="00BC468B" w:rsidRPr="00BF281D">
        <w:t xml:space="preserve">risk </w:t>
      </w:r>
      <w:r w:rsidR="00500A33" w:rsidRPr="00BF281D">
        <w:t xml:space="preserve">that this lack of prescription may not </w:t>
      </w:r>
      <w:r w:rsidR="00BC468B" w:rsidRPr="00BF281D">
        <w:t xml:space="preserve">assist in </w:t>
      </w:r>
      <w:r w:rsidR="000B289E" w:rsidRPr="00BF281D">
        <w:t>establish</w:t>
      </w:r>
      <w:r w:rsidR="00BC468B" w:rsidRPr="00BF281D">
        <w:t xml:space="preserve">ing </w:t>
      </w:r>
      <w:r w:rsidR="00350888" w:rsidRPr="00BF281D">
        <w:t xml:space="preserve">industry’s </w:t>
      </w:r>
      <w:r w:rsidR="000B289E" w:rsidRPr="00BF281D">
        <w:t xml:space="preserve">required </w:t>
      </w:r>
      <w:r w:rsidR="0054704E">
        <w:t>social license</w:t>
      </w:r>
      <w:r w:rsidR="00F668A3" w:rsidRPr="00BF281D">
        <w:t>, which is not positive for community or industry</w:t>
      </w:r>
      <w:r w:rsidR="000B289E" w:rsidRPr="00BF281D">
        <w:t xml:space="preserve">. </w:t>
      </w:r>
      <w:r w:rsidR="00045CCA" w:rsidRPr="00BF281D">
        <w:t xml:space="preserve"> </w:t>
      </w:r>
      <w:r w:rsidR="00E652D9" w:rsidRPr="00BF281D">
        <w:t xml:space="preserve"> </w:t>
      </w:r>
    </w:p>
    <w:p w14:paraId="7B0EAD1B" w14:textId="649D013E" w:rsidR="00FC5D63" w:rsidRPr="00012DD6" w:rsidRDefault="00525B8C" w:rsidP="00E21C22">
      <w:pPr>
        <w:rPr>
          <w:b/>
          <w:bCs/>
          <w:color w:val="767171" w:themeColor="background2" w:themeShade="80"/>
        </w:rPr>
      </w:pPr>
      <w:r w:rsidRPr="00012DD6">
        <w:rPr>
          <w:b/>
          <w:bCs/>
          <w:color w:val="767171" w:themeColor="background2" w:themeShade="80"/>
        </w:rPr>
        <w:t xml:space="preserve">Status Quo - </w:t>
      </w:r>
      <w:r w:rsidR="00CC6B61" w:rsidRPr="00012DD6">
        <w:rPr>
          <w:b/>
          <w:bCs/>
          <w:color w:val="767171" w:themeColor="background2" w:themeShade="80"/>
        </w:rPr>
        <w:t>Protecting social (public safety and amenity) and environmental interests</w:t>
      </w:r>
    </w:p>
    <w:p w14:paraId="4F773862" w14:textId="0B8A71AC" w:rsidR="00655132" w:rsidRPr="00BF281D" w:rsidRDefault="00655132" w:rsidP="00655132">
      <w:r w:rsidRPr="00BF281D">
        <w:t xml:space="preserve">When there is an application for an exploration permit, </w:t>
      </w:r>
      <w:r w:rsidR="002D386A" w:rsidRPr="00BF281D">
        <w:t xml:space="preserve">the </w:t>
      </w:r>
      <w:r w:rsidRPr="00BF281D">
        <w:t>community has input to tender documents</w:t>
      </w:r>
      <w:r w:rsidR="008C524C" w:rsidRPr="00BF281D">
        <w:t>.</w:t>
      </w:r>
      <w:r w:rsidR="008136BD" w:rsidRPr="00BF281D">
        <w:t xml:space="preserve"> </w:t>
      </w:r>
      <w:r w:rsidR="008C524C" w:rsidRPr="00BF281D">
        <w:t>T</w:t>
      </w:r>
      <w:r w:rsidRPr="00BF281D">
        <w:t xml:space="preserve">he Minister must </w:t>
      </w:r>
      <w:r w:rsidR="008136BD" w:rsidRPr="00BF281D">
        <w:t>consider</w:t>
      </w:r>
      <w:r w:rsidRPr="00BF281D">
        <w:t xml:space="preserve"> any submissions when deciding whether to invite applications. </w:t>
      </w:r>
      <w:r w:rsidR="00AC666A">
        <w:t xml:space="preserve">This is a new requirement under the Amendment Act.  </w:t>
      </w:r>
    </w:p>
    <w:p w14:paraId="447B0497" w14:textId="094DD04C" w:rsidR="00180F84" w:rsidRPr="00BF281D" w:rsidRDefault="009D0713" w:rsidP="00E21C22">
      <w:r w:rsidRPr="00BF281D">
        <w:t>When developing an operation plan</w:t>
      </w:r>
      <w:r w:rsidR="00CF7ACA" w:rsidRPr="00BF281D">
        <w:t xml:space="preserve">, the </w:t>
      </w:r>
      <w:r w:rsidR="003D074D" w:rsidRPr="00BF281D">
        <w:t>high-level</w:t>
      </w:r>
      <w:r w:rsidR="00CF7ACA" w:rsidRPr="00BF281D">
        <w:t xml:space="preserve"> requirements in s.161 of the Act</w:t>
      </w:r>
      <w:r w:rsidR="005203A5" w:rsidRPr="00BF281D">
        <w:t xml:space="preserve"> </w:t>
      </w:r>
      <w:r w:rsidR="00EF38EC" w:rsidRPr="00BF281D">
        <w:t>(</w:t>
      </w:r>
      <w:r w:rsidR="005203A5" w:rsidRPr="00BF281D">
        <w:t>relating to identifying and mitigating risks</w:t>
      </w:r>
      <w:r w:rsidR="00CD2C7A" w:rsidRPr="00BF281D">
        <w:t xml:space="preserve"> to the environment</w:t>
      </w:r>
      <w:r w:rsidR="00EF38EC" w:rsidRPr="00BF281D">
        <w:t>)</w:t>
      </w:r>
      <w:r w:rsidR="005203A5" w:rsidRPr="00BF281D">
        <w:t xml:space="preserve"> apply. </w:t>
      </w:r>
      <w:r w:rsidR="00180F84" w:rsidRPr="00BF281D">
        <w:t xml:space="preserve">As discussed above, </w:t>
      </w:r>
      <w:r w:rsidR="00BC76B9" w:rsidRPr="00BF281D">
        <w:t>relevant persons / organisations must be provided sufficient information to assess the potential impacts of the operations</w:t>
      </w:r>
      <w:r w:rsidR="002C2E55" w:rsidRPr="00BF281D">
        <w:t xml:space="preserve">, including to </w:t>
      </w:r>
      <w:r w:rsidR="004F527F" w:rsidRPr="00BF281D">
        <w:t>land or property</w:t>
      </w:r>
      <w:r w:rsidR="00BC76B9" w:rsidRPr="00BF281D">
        <w:t xml:space="preserve">. </w:t>
      </w:r>
      <w:r w:rsidR="00DC59BE" w:rsidRPr="00BF281D">
        <w:t xml:space="preserve">Submissions can be provided in this process, and the authority holder must prove to the Minister that </w:t>
      </w:r>
      <w:r w:rsidR="002C2E55" w:rsidRPr="00BF281D">
        <w:t xml:space="preserve">these submissions have been considered. </w:t>
      </w:r>
      <w:r w:rsidR="0018179A" w:rsidRPr="00BF281D">
        <w:t xml:space="preserve">The Regulations provide detailed requirements for the contents of an operation plan. </w:t>
      </w:r>
    </w:p>
    <w:p w14:paraId="439CF205" w14:textId="5421011B" w:rsidR="009941F5" w:rsidRDefault="008A66E3" w:rsidP="009941F5">
      <w:r w:rsidRPr="00BF281D">
        <w:t xml:space="preserve">As mentioned above, the current regulations </w:t>
      </w:r>
      <w:r w:rsidR="00864853" w:rsidRPr="00BF281D">
        <w:t xml:space="preserve">outline </w:t>
      </w:r>
      <w:r w:rsidRPr="00BF281D">
        <w:t>the requirements for incident reporting</w:t>
      </w:r>
      <w:r w:rsidR="001305DE" w:rsidRPr="00BF281D">
        <w:t xml:space="preserve"> </w:t>
      </w:r>
      <w:proofErr w:type="gramStart"/>
      <w:r w:rsidR="001305DE" w:rsidRPr="00BF281D">
        <w:t xml:space="preserve">in the event </w:t>
      </w:r>
      <w:r w:rsidR="00864853" w:rsidRPr="00BF281D">
        <w:t>that</w:t>
      </w:r>
      <w:proofErr w:type="gramEnd"/>
      <w:r w:rsidR="00864853" w:rsidRPr="00BF281D">
        <w:t xml:space="preserve"> an incident</w:t>
      </w:r>
      <w:r w:rsidR="001305DE" w:rsidRPr="00BF281D">
        <w:t xml:space="preserve"> </w:t>
      </w:r>
      <w:r w:rsidR="00F71422" w:rsidRPr="00BF281D">
        <w:t xml:space="preserve">causes, or could have caused, substantial damage to the environment. </w:t>
      </w:r>
      <w:r w:rsidR="008D761E" w:rsidRPr="00BF281D">
        <w:t>In the absence of the Regulations, there would be no requirement for this</w:t>
      </w:r>
      <w:r w:rsidR="00822BEA" w:rsidRPr="00BF281D">
        <w:t>.</w:t>
      </w:r>
      <w:r w:rsidR="008D761E" w:rsidRPr="00BF281D">
        <w:t xml:space="preserve"> </w:t>
      </w:r>
      <w:r w:rsidR="00822BEA" w:rsidRPr="00BF281D">
        <w:t>T</w:t>
      </w:r>
      <w:r w:rsidR="008D761E" w:rsidRPr="00BF281D">
        <w:t xml:space="preserve">he requirement to avoid substantial </w:t>
      </w:r>
      <w:r w:rsidR="001F5303" w:rsidRPr="00BF281D">
        <w:t xml:space="preserve">environmental damage would be limited to the </w:t>
      </w:r>
      <w:r w:rsidR="003D6D54">
        <w:t xml:space="preserve">obligation under s. 161 of the Act and the </w:t>
      </w:r>
      <w:r w:rsidR="001F5303" w:rsidRPr="00BF281D">
        <w:t>general environmental duty</w:t>
      </w:r>
      <w:r w:rsidR="0035476F" w:rsidRPr="00BF281D">
        <w:t xml:space="preserve"> </w:t>
      </w:r>
      <w:r w:rsidR="00CA486F" w:rsidRPr="00BF281D">
        <w:t xml:space="preserve">in the </w:t>
      </w:r>
      <w:r w:rsidR="00CA486F" w:rsidRPr="00BF281D">
        <w:rPr>
          <w:i/>
          <w:iCs/>
        </w:rPr>
        <w:t xml:space="preserve">Environment Protection Act 2017 </w:t>
      </w:r>
      <w:r w:rsidR="00350888" w:rsidRPr="00BF281D">
        <w:t>(Vic)</w:t>
      </w:r>
      <w:r w:rsidR="00CA486F" w:rsidRPr="00BF281D">
        <w:rPr>
          <w:i/>
          <w:iCs/>
        </w:rPr>
        <w:t xml:space="preserve"> </w:t>
      </w:r>
      <w:r w:rsidR="0035476F" w:rsidRPr="00BF281D">
        <w:t>for businesses to manage environmental risks.</w:t>
      </w:r>
    </w:p>
    <w:p w14:paraId="11343F81" w14:textId="77777777" w:rsidR="001B40AA" w:rsidRPr="00BF281D" w:rsidRDefault="001B40AA" w:rsidP="009941F5"/>
    <w:p w14:paraId="785442D2" w14:textId="118E80E6" w:rsidR="009941F5" w:rsidRPr="00BF281D" w:rsidRDefault="00F1125B" w:rsidP="009941F5">
      <w:r w:rsidRPr="00BF281D">
        <w:lastRenderedPageBreak/>
        <w:t xml:space="preserve">However, </w:t>
      </w:r>
      <w:r w:rsidR="00563148" w:rsidRPr="00BF281D">
        <w:t xml:space="preserve">as </w:t>
      </w:r>
      <w:r w:rsidRPr="00BF281D">
        <w:t>the regulations stand</w:t>
      </w:r>
      <w:r w:rsidR="00563148" w:rsidRPr="00BF281D">
        <w:t>, they</w:t>
      </w:r>
      <w:r w:rsidRPr="00BF281D">
        <w:t xml:space="preserve"> </w:t>
      </w:r>
      <w:r w:rsidR="006400F0" w:rsidRPr="00BF281D">
        <w:t>would</w:t>
      </w:r>
      <w:r w:rsidRPr="00BF281D">
        <w:t xml:space="preserve"> not </w:t>
      </w:r>
      <w:r w:rsidR="006400F0" w:rsidRPr="00BF281D">
        <w:t xml:space="preserve">provide </w:t>
      </w:r>
      <w:r w:rsidR="00174A08" w:rsidRPr="00BF281D">
        <w:t xml:space="preserve">industry with </w:t>
      </w:r>
      <w:r w:rsidR="006400F0" w:rsidRPr="00BF281D">
        <w:t xml:space="preserve">any detail </w:t>
      </w:r>
      <w:r w:rsidR="00350888" w:rsidRPr="00BF281D">
        <w:t xml:space="preserve">regarding </w:t>
      </w:r>
      <w:r w:rsidR="006400F0" w:rsidRPr="00BF281D">
        <w:t xml:space="preserve">the prescribed social, </w:t>
      </w:r>
      <w:proofErr w:type="gramStart"/>
      <w:r w:rsidR="006400F0" w:rsidRPr="00BF281D">
        <w:t>environmental</w:t>
      </w:r>
      <w:proofErr w:type="gramEnd"/>
      <w:r w:rsidR="006400F0" w:rsidRPr="00BF281D">
        <w:t xml:space="preserve"> and economic factors</w:t>
      </w:r>
      <w:r w:rsidR="004C5A79">
        <w:rPr>
          <w:rStyle w:val="FootnoteReference"/>
        </w:rPr>
        <w:footnoteReference w:id="11"/>
      </w:r>
      <w:r w:rsidR="006400F0" w:rsidRPr="00BF281D">
        <w:t xml:space="preserve"> to be taken into </w:t>
      </w:r>
      <w:r w:rsidR="00174A08" w:rsidRPr="00BF281D">
        <w:t>account in the making of certain decisions</w:t>
      </w:r>
      <w:r w:rsidR="00A365E9" w:rsidRPr="00BF281D">
        <w:t xml:space="preserve">, meaning the </w:t>
      </w:r>
      <w:r w:rsidR="00D516E1" w:rsidRPr="00BF281D">
        <w:t>regime would be uncertain and difficult to comply with</w:t>
      </w:r>
      <w:r w:rsidR="00174A08" w:rsidRPr="00BF281D">
        <w:t xml:space="preserve">. </w:t>
      </w:r>
      <w:r w:rsidR="007C6B26" w:rsidRPr="00BF281D">
        <w:t>Th</w:t>
      </w:r>
      <w:r w:rsidR="00D516E1" w:rsidRPr="00BF281D">
        <w:t xml:space="preserve">e lack of specificity of information required </w:t>
      </w:r>
      <w:r w:rsidR="00B67060" w:rsidRPr="00BF281D">
        <w:t xml:space="preserve">would </w:t>
      </w:r>
      <w:r w:rsidR="00D516E1" w:rsidRPr="00BF281D">
        <w:t xml:space="preserve">also </w:t>
      </w:r>
      <w:r w:rsidR="00B67060" w:rsidRPr="00BF281D">
        <w:t>not serve to increase community trust in the industry</w:t>
      </w:r>
      <w:r w:rsidR="00D516E1" w:rsidRPr="00BF281D">
        <w:t xml:space="preserve">. </w:t>
      </w:r>
    </w:p>
    <w:p w14:paraId="76570C46" w14:textId="4A577A2C" w:rsidR="00F54C87" w:rsidRPr="00BF281D" w:rsidRDefault="00F54C87" w:rsidP="009941F5">
      <w:pPr>
        <w:pStyle w:val="Heading3"/>
      </w:pPr>
      <w:r w:rsidRPr="00BF281D">
        <w:t xml:space="preserve">Option </w:t>
      </w:r>
      <w:r w:rsidR="00D31B07" w:rsidRPr="00BF281D">
        <w:t>1</w:t>
      </w:r>
      <w:r w:rsidR="005B4FB3">
        <w:t xml:space="preserve"> – </w:t>
      </w:r>
      <w:r w:rsidR="0078201B">
        <w:t>O</w:t>
      </w:r>
      <w:r w:rsidR="005B4FB3">
        <w:t>utcomes focussed</w:t>
      </w:r>
      <w:r w:rsidR="00807FF0">
        <w:t xml:space="preserve"> regulations</w:t>
      </w:r>
      <w:r w:rsidR="005B4FB3">
        <w:t xml:space="preserve"> </w:t>
      </w:r>
    </w:p>
    <w:p w14:paraId="1AA47A4D" w14:textId="56308D7B" w:rsidR="00CF39C4" w:rsidRPr="00BF281D" w:rsidRDefault="003B6449" w:rsidP="00E2450D">
      <w:r w:rsidRPr="00BF281D">
        <w:t xml:space="preserve">Option </w:t>
      </w:r>
      <w:r w:rsidR="00D31B07" w:rsidRPr="00BF281D">
        <w:t>1</w:t>
      </w:r>
      <w:r w:rsidRPr="00BF281D">
        <w:t xml:space="preserve"> would involve </w:t>
      </w:r>
      <w:r w:rsidR="001974EA" w:rsidRPr="00BF281D">
        <w:t xml:space="preserve">establishing </w:t>
      </w:r>
      <w:r w:rsidRPr="00BF281D">
        <w:t xml:space="preserve">regulations that are </w:t>
      </w:r>
      <w:r w:rsidR="00CC5B32" w:rsidRPr="00BF281D">
        <w:t>somewhat</w:t>
      </w:r>
      <w:r w:rsidRPr="00BF281D">
        <w:t xml:space="preserve"> more</w:t>
      </w:r>
      <w:r w:rsidR="006E0451" w:rsidRPr="00BF281D">
        <w:t xml:space="preserve"> outcomes</w:t>
      </w:r>
      <w:r w:rsidR="006E0451" w:rsidRPr="00817682">
        <w:t xml:space="preserve"> focussed</w:t>
      </w:r>
      <w:r w:rsidRPr="00BF281D">
        <w:t xml:space="preserve"> than the current </w:t>
      </w:r>
      <w:r w:rsidR="006E0451" w:rsidRPr="00BF281D">
        <w:t>regulations</w:t>
      </w:r>
      <w:r w:rsidRPr="00BF281D">
        <w:t xml:space="preserve">. </w:t>
      </w:r>
      <w:r w:rsidR="006A7804" w:rsidRPr="00BF281D">
        <w:t>Option 1</w:t>
      </w:r>
      <w:r w:rsidR="00987FA9" w:rsidRPr="00BF281D">
        <w:t xml:space="preserve"> would be </w:t>
      </w:r>
      <w:proofErr w:type="gramStart"/>
      <w:r w:rsidR="00987FA9" w:rsidRPr="00BF281D">
        <w:t>similar to</w:t>
      </w:r>
      <w:proofErr w:type="gramEnd"/>
      <w:r w:rsidR="00987FA9" w:rsidRPr="00BF281D">
        <w:t xml:space="preserve"> the Status </w:t>
      </w:r>
      <w:r w:rsidR="00A530FE" w:rsidRPr="00BF281D">
        <w:t xml:space="preserve">Quo </w:t>
      </w:r>
      <w:r w:rsidR="00D74BF8" w:rsidRPr="00BF281D">
        <w:t>except there would be</w:t>
      </w:r>
      <w:r w:rsidR="00A530FE" w:rsidRPr="00BF281D">
        <w:t xml:space="preserve"> some modernisation </w:t>
      </w:r>
      <w:r w:rsidR="00B05EDB" w:rsidRPr="00BF281D">
        <w:t xml:space="preserve">of </w:t>
      </w:r>
      <w:r w:rsidR="00D74BF8" w:rsidRPr="00BF281D">
        <w:t xml:space="preserve">the </w:t>
      </w:r>
      <w:r w:rsidR="002C5904" w:rsidRPr="00BF281D">
        <w:t>r</w:t>
      </w:r>
      <w:r w:rsidR="00B05EDB" w:rsidRPr="00BF281D">
        <w:t>egulations</w:t>
      </w:r>
      <w:r w:rsidR="00CF39C4" w:rsidRPr="00BF281D">
        <w:t xml:space="preserve">. </w:t>
      </w:r>
    </w:p>
    <w:p w14:paraId="32F35B62" w14:textId="4E951DE2" w:rsidR="00987FA9" w:rsidRPr="00BF281D" w:rsidRDefault="002D5362" w:rsidP="00E2450D">
      <w:r w:rsidRPr="00BF281D">
        <w:t>The</w:t>
      </w:r>
      <w:r w:rsidR="00CF39C4" w:rsidRPr="00BF281D">
        <w:t>y</w:t>
      </w:r>
      <w:r w:rsidRPr="00BF281D">
        <w:t xml:space="preserve"> would contain broad outcomes-based application and </w:t>
      </w:r>
      <w:r w:rsidR="00485BC7" w:rsidRPr="00BF281D">
        <w:t xml:space="preserve">licensing requirements for areas that are directly called upon by the Act (as amended by the </w:t>
      </w:r>
      <w:r w:rsidR="00501462">
        <w:t>Amendment Act</w:t>
      </w:r>
      <w:r w:rsidR="00485BC7" w:rsidRPr="00BF281D">
        <w:t xml:space="preserve">). </w:t>
      </w:r>
      <w:r w:rsidR="00586733" w:rsidRPr="00BF281D">
        <w:t>The</w:t>
      </w:r>
      <w:r w:rsidR="00D16B57" w:rsidRPr="00BF281D">
        <w:t xml:space="preserve">re would be minimal fettering of </w:t>
      </w:r>
      <w:r w:rsidR="00237379" w:rsidRPr="00BF281D">
        <w:t xml:space="preserve">the </w:t>
      </w:r>
      <w:r w:rsidR="00D16B57" w:rsidRPr="00BF281D">
        <w:t>Minister</w:t>
      </w:r>
      <w:r w:rsidR="000C70F9">
        <w:t>’</w:t>
      </w:r>
      <w:r w:rsidR="00D16B57" w:rsidRPr="00BF281D">
        <w:t xml:space="preserve">s decisions </w:t>
      </w:r>
      <w:r w:rsidR="00283FA8" w:rsidRPr="00BF281D">
        <w:t>and</w:t>
      </w:r>
      <w:r w:rsidR="006654AF" w:rsidRPr="00BF281D">
        <w:t xml:space="preserve"> </w:t>
      </w:r>
      <w:r w:rsidR="00586733" w:rsidRPr="00BF281D">
        <w:t>Ministerial decision</w:t>
      </w:r>
      <w:r w:rsidR="0090138C" w:rsidRPr="00BF281D">
        <w:t>-</w:t>
      </w:r>
      <w:r w:rsidR="00586733" w:rsidRPr="00BF281D">
        <w:t xml:space="preserve">making criteria </w:t>
      </w:r>
      <w:r w:rsidR="00283FA8" w:rsidRPr="00BF281D">
        <w:t>would be</w:t>
      </w:r>
      <w:r w:rsidR="00586733" w:rsidRPr="00BF281D">
        <w:t xml:space="preserve"> limited to:</w:t>
      </w:r>
    </w:p>
    <w:p w14:paraId="51BDC8D5" w14:textId="601E04FE" w:rsidR="00586733" w:rsidRPr="00BF281D" w:rsidRDefault="003F6509" w:rsidP="001B757C">
      <w:pPr>
        <w:pStyle w:val="ListParagraph"/>
        <w:numPr>
          <w:ilvl w:val="0"/>
          <w:numId w:val="47"/>
        </w:numPr>
      </w:pPr>
      <w:r w:rsidRPr="00BF281D">
        <w:t>c</w:t>
      </w:r>
      <w:r w:rsidR="00586733" w:rsidRPr="00BF281D">
        <w:t>onsiderations of issues raised in public submissions and consultation with relevant public sector bodies</w:t>
      </w:r>
    </w:p>
    <w:p w14:paraId="58B8BE3B" w14:textId="013A694B" w:rsidR="003F6509" w:rsidRPr="00BF281D" w:rsidRDefault="003F6509" w:rsidP="001B757C">
      <w:pPr>
        <w:pStyle w:val="ListParagraph"/>
        <w:numPr>
          <w:ilvl w:val="0"/>
          <w:numId w:val="47"/>
        </w:numPr>
      </w:pPr>
      <w:r w:rsidRPr="00BF281D">
        <w:t xml:space="preserve">core evidence for public interest matters (economic, </w:t>
      </w:r>
      <w:proofErr w:type="gramStart"/>
      <w:r w:rsidRPr="00BF281D">
        <w:t>social</w:t>
      </w:r>
      <w:proofErr w:type="gramEnd"/>
      <w:r w:rsidRPr="00BF281D">
        <w:t xml:space="preserve"> and environmental) </w:t>
      </w:r>
      <w:r w:rsidR="00283FA8" w:rsidRPr="00BF281D">
        <w:t xml:space="preserve">that </w:t>
      </w:r>
      <w:r w:rsidRPr="00BF281D">
        <w:t xml:space="preserve">would come from public submissions and Ministerial </w:t>
      </w:r>
      <w:r w:rsidR="0090138C" w:rsidRPr="00BF281D">
        <w:t>consultations</w:t>
      </w:r>
      <w:r w:rsidRPr="00BF281D">
        <w:t>.</w:t>
      </w:r>
    </w:p>
    <w:p w14:paraId="6E4FD925" w14:textId="5A517CE5" w:rsidR="00873619" w:rsidRPr="00BF281D" w:rsidRDefault="003F6509" w:rsidP="003F6509">
      <w:r w:rsidRPr="00BF281D">
        <w:t>Th</w:t>
      </w:r>
      <w:r w:rsidR="00677C0C" w:rsidRPr="00BF281D">
        <w:t xml:space="preserve">e level of detail </w:t>
      </w:r>
      <w:r w:rsidR="00B9273F" w:rsidRPr="00BF281D">
        <w:t xml:space="preserve">required from </w:t>
      </w:r>
      <w:r w:rsidR="008F5C8F" w:rsidRPr="00BF281D">
        <w:t>a</w:t>
      </w:r>
      <w:r w:rsidR="00B9273F" w:rsidRPr="00BF281D">
        <w:t xml:space="preserve">uthority </w:t>
      </w:r>
      <w:r w:rsidR="008F5C8F" w:rsidRPr="00BF281D">
        <w:t>h</w:t>
      </w:r>
      <w:r w:rsidR="00B9273F" w:rsidRPr="00BF281D">
        <w:t xml:space="preserve">olders </w:t>
      </w:r>
      <w:r w:rsidR="0090138C" w:rsidRPr="00BF281D">
        <w:t xml:space="preserve">would be </w:t>
      </w:r>
      <w:r w:rsidR="008311A0">
        <w:t xml:space="preserve">higher than </w:t>
      </w:r>
      <w:r w:rsidR="0090138C" w:rsidRPr="00BF281D">
        <w:t>the Status Quo</w:t>
      </w:r>
      <w:r w:rsidR="00283FA8" w:rsidRPr="00BF281D">
        <w:t>, with</w:t>
      </w:r>
      <w:r w:rsidR="00501062" w:rsidRPr="00BF281D">
        <w:t xml:space="preserve"> some requirements and s</w:t>
      </w:r>
      <w:r w:rsidR="00066026" w:rsidRPr="00BF281D">
        <w:t>ubmission processes</w:t>
      </w:r>
      <w:r w:rsidR="00283FA8" w:rsidRPr="00BF281D">
        <w:t xml:space="preserve"> detailed</w:t>
      </w:r>
      <w:r w:rsidR="00873619" w:rsidRPr="00BF281D">
        <w:t>.</w:t>
      </w:r>
      <w:r w:rsidR="002F6F26" w:rsidRPr="00BF281D">
        <w:t xml:space="preserve"> Under </w:t>
      </w:r>
      <w:r w:rsidR="003F4AAF">
        <w:t>Option 1</w:t>
      </w:r>
      <w:r w:rsidR="002F6F26" w:rsidRPr="00BF281D">
        <w:t xml:space="preserve">, </w:t>
      </w:r>
      <w:r w:rsidR="0086710B" w:rsidRPr="00BF281D">
        <w:t xml:space="preserve">authority holders </w:t>
      </w:r>
      <w:r w:rsidR="002F6F26" w:rsidRPr="00BF281D">
        <w:t xml:space="preserve">would </w:t>
      </w:r>
      <w:r w:rsidR="00DA3524" w:rsidRPr="00BF281D">
        <w:t xml:space="preserve">be </w:t>
      </w:r>
      <w:r w:rsidR="002F6F26" w:rsidRPr="00BF281D">
        <w:t>require</w:t>
      </w:r>
      <w:r w:rsidR="00DA3524" w:rsidRPr="00BF281D">
        <w:t>d to specify and commit to undertaking ongoing</w:t>
      </w:r>
      <w:r w:rsidR="002F6F26" w:rsidRPr="00BF281D">
        <w:t xml:space="preserve"> community consultation </w:t>
      </w:r>
      <w:r w:rsidR="00DA3524" w:rsidRPr="00BF281D">
        <w:t>over the life of the authority as a core component of</w:t>
      </w:r>
      <w:r w:rsidR="002F6F26" w:rsidRPr="00BF281D">
        <w:t xml:space="preserve"> the work program.</w:t>
      </w:r>
    </w:p>
    <w:p w14:paraId="0DF9FA06" w14:textId="03314785" w:rsidR="009D7E47" w:rsidRPr="00BF281D" w:rsidRDefault="002C5904" w:rsidP="003F6509">
      <w:r w:rsidRPr="00BF281D">
        <w:t>T</w:t>
      </w:r>
      <w:r w:rsidR="00F407D9" w:rsidRPr="00BF281D">
        <w:t>he operation plan would have to meet general</w:t>
      </w:r>
      <w:r w:rsidR="007E7858" w:rsidRPr="00BF281D">
        <w:t xml:space="preserve"> </w:t>
      </w:r>
      <w:r w:rsidR="00F407D9" w:rsidRPr="00BF281D">
        <w:t>criteria and objectives</w:t>
      </w:r>
      <w:r w:rsidR="00A76377" w:rsidRPr="00BF281D">
        <w:t xml:space="preserve"> </w:t>
      </w:r>
      <w:r w:rsidRPr="00BF281D">
        <w:t xml:space="preserve">and </w:t>
      </w:r>
      <w:r w:rsidR="00324990" w:rsidRPr="00BF281D">
        <w:t xml:space="preserve">industry </w:t>
      </w:r>
      <w:r w:rsidRPr="00BF281D">
        <w:t xml:space="preserve">would hold </w:t>
      </w:r>
      <w:r w:rsidR="00A76377" w:rsidRPr="00BF281D">
        <w:t xml:space="preserve">the </w:t>
      </w:r>
      <w:r w:rsidR="004077C0" w:rsidRPr="00BF281D">
        <w:t>primary responsibility for monitoring progress against milestones.</w:t>
      </w:r>
      <w:r w:rsidR="008B436A" w:rsidRPr="00BF281D">
        <w:t xml:space="preserve"> This is </w:t>
      </w:r>
      <w:proofErr w:type="gramStart"/>
      <w:r w:rsidR="008B436A" w:rsidRPr="00BF281D">
        <w:t>similar to</w:t>
      </w:r>
      <w:proofErr w:type="gramEnd"/>
      <w:r w:rsidR="008B436A" w:rsidRPr="00BF281D">
        <w:t xml:space="preserve"> the Status Quo but involves </w:t>
      </w:r>
      <w:r w:rsidR="00C00613" w:rsidRPr="00BF281D">
        <w:t xml:space="preserve">an </w:t>
      </w:r>
      <w:r w:rsidRPr="00BF281D">
        <w:t>updat</w:t>
      </w:r>
      <w:r w:rsidR="00C00613" w:rsidRPr="00BF281D">
        <w:t>e</w:t>
      </w:r>
      <w:r w:rsidRPr="00BF281D">
        <w:t xml:space="preserve"> </w:t>
      </w:r>
      <w:r w:rsidR="002972BF" w:rsidRPr="00BF281D">
        <w:t xml:space="preserve">to better meet the overall objectives of the operation plan as per the Act (as amended by the </w:t>
      </w:r>
      <w:r w:rsidR="00501462">
        <w:t>Amendment Act</w:t>
      </w:r>
      <w:r w:rsidR="002972BF" w:rsidRPr="00BF281D">
        <w:t xml:space="preserve">). </w:t>
      </w:r>
      <w:r w:rsidR="00277216" w:rsidRPr="00BF281D">
        <w:t xml:space="preserve">The regulations would be supported by guidelines from the </w:t>
      </w:r>
      <w:r w:rsidR="001045B8" w:rsidRPr="00BF281D">
        <w:t>d</w:t>
      </w:r>
      <w:r w:rsidR="00277216" w:rsidRPr="00BF281D">
        <w:t>epartment to ensure the industry is supported. However, these guidelines would not be enforceable.</w:t>
      </w:r>
    </w:p>
    <w:p w14:paraId="07441052" w14:textId="14916321" w:rsidR="00F554BC" w:rsidRPr="00C73B72" w:rsidRDefault="006271E4" w:rsidP="00774173">
      <w:pPr>
        <w:rPr>
          <w:b/>
        </w:rPr>
      </w:pPr>
      <w:r w:rsidRPr="00BF281D">
        <w:t>The b</w:t>
      </w:r>
      <w:r w:rsidR="003517F3" w:rsidRPr="00BF281D">
        <w:t xml:space="preserve">road requirements </w:t>
      </w:r>
      <w:r w:rsidR="000C40C6" w:rsidRPr="00BF281D">
        <w:t xml:space="preserve">for data, samples and cores would be </w:t>
      </w:r>
      <w:r w:rsidR="004C7684" w:rsidRPr="00BF281D">
        <w:t>included in the Regulations</w:t>
      </w:r>
      <w:r w:rsidR="00B3177B" w:rsidRPr="00BF281D">
        <w:t xml:space="preserve">. There would be </w:t>
      </w:r>
      <w:r w:rsidR="00852866" w:rsidRPr="00BF281D">
        <w:t>administrative</w:t>
      </w:r>
      <w:r w:rsidR="00B3177B" w:rsidRPr="00BF281D">
        <w:t xml:space="preserve"> flexibility </w:t>
      </w:r>
      <w:r w:rsidR="00113747" w:rsidRPr="00BF281D">
        <w:t>allowing</w:t>
      </w:r>
      <w:r w:rsidR="0000183C" w:rsidRPr="00BF281D">
        <w:t xml:space="preserve"> the Minister and </w:t>
      </w:r>
      <w:r w:rsidR="00113747" w:rsidRPr="00BF281D">
        <w:t>a</w:t>
      </w:r>
      <w:r w:rsidR="00A85293" w:rsidRPr="00BF281D">
        <w:t xml:space="preserve">uthority </w:t>
      </w:r>
      <w:r w:rsidR="00893A46" w:rsidRPr="00BF281D">
        <w:t>holder to agree on</w:t>
      </w:r>
      <w:r w:rsidR="00545B6A" w:rsidRPr="00BF281D">
        <w:t xml:space="preserve"> timeframes</w:t>
      </w:r>
      <w:r w:rsidR="00893A46" w:rsidRPr="00BF281D">
        <w:t xml:space="preserve"> for submitting information</w:t>
      </w:r>
      <w:r w:rsidR="00545B6A" w:rsidRPr="00BF281D">
        <w:t xml:space="preserve">. </w:t>
      </w:r>
      <w:r w:rsidR="00E2450D" w:rsidRPr="00BF281D">
        <w:t xml:space="preserve">The way in which </w:t>
      </w:r>
      <w:r w:rsidR="006A7804" w:rsidRPr="00BF281D">
        <w:t>Option 1</w:t>
      </w:r>
      <w:r w:rsidR="00E2450D" w:rsidRPr="00BF281D">
        <w:t xml:space="preserve"> relates to the problem statements is detailed below</w:t>
      </w:r>
      <w:r w:rsidR="003A5F61">
        <w:t>.</w:t>
      </w:r>
    </w:p>
    <w:p w14:paraId="767BF725" w14:textId="174AE65D" w:rsidR="006E0451" w:rsidRPr="00BF281D" w:rsidRDefault="002242BD" w:rsidP="00A772E7">
      <w:pPr>
        <w:rPr>
          <w:b/>
        </w:rPr>
      </w:pPr>
      <w:r>
        <w:rPr>
          <w:b/>
          <w:bCs/>
        </w:rPr>
        <w:t xml:space="preserve">Option 1 - </w:t>
      </w:r>
      <w:r w:rsidR="00CB0025" w:rsidRPr="00BF281D">
        <w:rPr>
          <w:b/>
          <w:bCs/>
        </w:rPr>
        <w:t>Encouraging petroleum resource development</w:t>
      </w:r>
    </w:p>
    <w:p w14:paraId="5A365869" w14:textId="4BF11B97" w:rsidR="00CB0025" w:rsidRPr="00BF281D" w:rsidRDefault="00DF22DC" w:rsidP="00A772E7">
      <w:r w:rsidRPr="00BF281D">
        <w:t xml:space="preserve">The regulations </w:t>
      </w:r>
      <w:r w:rsidR="0008619E" w:rsidRPr="00BF281D">
        <w:t xml:space="preserve">would prescribe </w:t>
      </w:r>
      <w:r w:rsidR="00C77CD5" w:rsidRPr="00BF281D">
        <w:t xml:space="preserve">broad requirements for the types </w:t>
      </w:r>
      <w:r w:rsidR="00AE4B53" w:rsidRPr="00BF281D">
        <w:t xml:space="preserve">of physical data, </w:t>
      </w:r>
      <w:r w:rsidR="00FA39EF" w:rsidRPr="00BF281D">
        <w:t>samples,</w:t>
      </w:r>
      <w:r w:rsidR="00AE4B53" w:rsidRPr="00BF281D">
        <w:t xml:space="preserve"> and cores to be provided</w:t>
      </w:r>
      <w:r w:rsidR="00B70A6C" w:rsidRPr="00BF281D">
        <w:t xml:space="preserve"> to the Minister</w:t>
      </w:r>
      <w:r w:rsidR="00AE4B53" w:rsidRPr="00BF281D">
        <w:t xml:space="preserve">, </w:t>
      </w:r>
      <w:r w:rsidR="00DE0493" w:rsidRPr="00BF281D">
        <w:t>and</w:t>
      </w:r>
      <w:r w:rsidR="00B70A6C" w:rsidRPr="00BF281D">
        <w:t xml:space="preserve"> the</w:t>
      </w:r>
      <w:r w:rsidR="00DE0493" w:rsidRPr="00BF281D">
        <w:t xml:space="preserve"> timeframes for industry to submit this. </w:t>
      </w:r>
      <w:r w:rsidR="008B5215" w:rsidRPr="00BF281D">
        <w:rPr>
          <w:bCs/>
        </w:rPr>
        <w:t xml:space="preserve">Reporting requirements would also be strengthened. </w:t>
      </w:r>
    </w:p>
    <w:p w14:paraId="52B0B251" w14:textId="7BBC51DC" w:rsidR="007A7A8A" w:rsidRPr="00BF281D" w:rsidRDefault="002242BD" w:rsidP="00A772E7">
      <w:pPr>
        <w:rPr>
          <w:b/>
          <w:bCs/>
        </w:rPr>
      </w:pPr>
      <w:r>
        <w:rPr>
          <w:b/>
          <w:bCs/>
        </w:rPr>
        <w:t xml:space="preserve">Option 1 - </w:t>
      </w:r>
      <w:r w:rsidR="007A7A8A" w:rsidRPr="00BF281D">
        <w:rPr>
          <w:b/>
          <w:bCs/>
        </w:rPr>
        <w:t xml:space="preserve">Building </w:t>
      </w:r>
      <w:r w:rsidR="0054704E">
        <w:rPr>
          <w:b/>
          <w:bCs/>
        </w:rPr>
        <w:t>social license</w:t>
      </w:r>
      <w:r w:rsidR="007A7A8A" w:rsidRPr="00BF281D">
        <w:rPr>
          <w:b/>
          <w:bCs/>
        </w:rPr>
        <w:t xml:space="preserve"> to operate</w:t>
      </w:r>
    </w:p>
    <w:p w14:paraId="60E88CF0" w14:textId="029D553E" w:rsidR="00B55057" w:rsidRPr="00BF281D" w:rsidRDefault="00172776" w:rsidP="00A772E7">
      <w:r w:rsidRPr="00BF281D">
        <w:t xml:space="preserve">The Minister’s decision-making would be limited to a certain extent </w:t>
      </w:r>
      <w:r w:rsidR="00813694" w:rsidRPr="00BF281D">
        <w:t xml:space="preserve">by the content of submissions and consultations. </w:t>
      </w:r>
      <w:r w:rsidR="00EB4CC8" w:rsidRPr="00BF281D">
        <w:t xml:space="preserve">Under </w:t>
      </w:r>
      <w:r w:rsidR="006A7804" w:rsidRPr="00BF281D">
        <w:t>Option 1</w:t>
      </w:r>
      <w:r w:rsidR="00EB4CC8" w:rsidRPr="00BF281D">
        <w:t>, o</w:t>
      </w:r>
      <w:r w:rsidR="00BB2B82" w:rsidRPr="00BF281D">
        <w:t xml:space="preserve">ngoing community consultation over the life of the authority </w:t>
      </w:r>
      <w:r w:rsidR="00EB4CC8" w:rsidRPr="00BF281D">
        <w:t xml:space="preserve">would be </w:t>
      </w:r>
      <w:r w:rsidR="005F0E41" w:rsidRPr="00BF281D">
        <w:t xml:space="preserve">a core component of the work program. </w:t>
      </w:r>
      <w:r w:rsidR="00891A5E" w:rsidRPr="00BF281D">
        <w:t xml:space="preserve">The outcomes </w:t>
      </w:r>
      <w:r w:rsidR="006A7C18" w:rsidRPr="00BF281D">
        <w:t xml:space="preserve">of this engagement must be reported to </w:t>
      </w:r>
      <w:r w:rsidR="0078438D" w:rsidRPr="00BF281D">
        <w:t xml:space="preserve">ERR </w:t>
      </w:r>
      <w:r w:rsidR="00737001" w:rsidRPr="00BF281D">
        <w:t xml:space="preserve">through the renewal process (where relevant) and/or conditions on authority. </w:t>
      </w:r>
    </w:p>
    <w:p w14:paraId="56DB97FE" w14:textId="1D639994" w:rsidR="00737001" w:rsidRPr="00BF281D" w:rsidRDefault="007243D5" w:rsidP="00A772E7">
      <w:r w:rsidRPr="00BF281D">
        <w:t xml:space="preserve">There would be a stronger level of prescription in relation to the </w:t>
      </w:r>
      <w:r w:rsidR="00E65051" w:rsidRPr="00BF281D">
        <w:t>prescribed submission processes under the Act</w:t>
      </w:r>
      <w:r w:rsidR="00FF3A06" w:rsidRPr="00BF281D">
        <w:t>,</w:t>
      </w:r>
      <w:r w:rsidR="00E65051" w:rsidRPr="00BF281D">
        <w:t xml:space="preserve"> relative to the Base Case. </w:t>
      </w:r>
      <w:r w:rsidR="008E1C28" w:rsidRPr="00BF281D">
        <w:t xml:space="preserve">The purpose of this </w:t>
      </w:r>
      <w:r w:rsidR="00FF3A06" w:rsidRPr="00BF281D">
        <w:t xml:space="preserve">would be </w:t>
      </w:r>
      <w:r w:rsidR="008E1C28" w:rsidRPr="00BF281D">
        <w:t xml:space="preserve">to </w:t>
      </w:r>
      <w:r w:rsidR="00FF3A06" w:rsidRPr="00BF281D">
        <w:t>establish expectations and</w:t>
      </w:r>
      <w:r w:rsidR="008E1C28" w:rsidRPr="00BF281D">
        <w:t xml:space="preserve"> assist industry to focus </w:t>
      </w:r>
      <w:r w:rsidR="000F0546" w:rsidRPr="00BF281D">
        <w:t xml:space="preserve">on relevant matters. </w:t>
      </w:r>
    </w:p>
    <w:p w14:paraId="79BD6CAA" w14:textId="68DBE9C9" w:rsidR="004536EB" w:rsidRPr="00BF281D" w:rsidRDefault="002242BD" w:rsidP="004536EB">
      <w:pPr>
        <w:rPr>
          <w:b/>
          <w:bCs/>
        </w:rPr>
      </w:pPr>
      <w:r>
        <w:rPr>
          <w:b/>
          <w:bCs/>
        </w:rPr>
        <w:t xml:space="preserve">Option </w:t>
      </w:r>
      <w:r w:rsidR="00FC0532">
        <w:rPr>
          <w:b/>
          <w:bCs/>
        </w:rPr>
        <w:t>1</w:t>
      </w:r>
      <w:r>
        <w:rPr>
          <w:b/>
          <w:bCs/>
        </w:rPr>
        <w:t xml:space="preserve"> - </w:t>
      </w:r>
      <w:r w:rsidR="004536EB" w:rsidRPr="00BF281D">
        <w:rPr>
          <w:b/>
          <w:bCs/>
        </w:rPr>
        <w:t>Protecting social (public safety and amenity) and environmental interests</w:t>
      </w:r>
    </w:p>
    <w:p w14:paraId="4C854FCE" w14:textId="54102C18" w:rsidR="004536EB" w:rsidRPr="00BF281D" w:rsidRDefault="005A75E0" w:rsidP="00A772E7">
      <w:r w:rsidRPr="00BF281D">
        <w:t>Some factors</w:t>
      </w:r>
      <w:r w:rsidR="00C44DA6" w:rsidRPr="00BF281D">
        <w:t>,</w:t>
      </w:r>
      <w:r w:rsidR="00315196" w:rsidRPr="00BF281D">
        <w:t xml:space="preserve"> </w:t>
      </w:r>
      <w:r w:rsidR="0059754A" w:rsidRPr="00BF281D">
        <w:t xml:space="preserve">such as </w:t>
      </w:r>
      <w:r w:rsidR="00C44DA6" w:rsidRPr="00BF281D">
        <w:t>data reporting requirements</w:t>
      </w:r>
      <w:r w:rsidR="00810A8F" w:rsidRPr="00BF281D">
        <w:t xml:space="preserve"> </w:t>
      </w:r>
      <w:r w:rsidR="00DD7D86" w:rsidRPr="00BF281D">
        <w:t>and addressing</w:t>
      </w:r>
      <w:r w:rsidR="00055FE4" w:rsidRPr="00BF281D">
        <w:t xml:space="preserve"> matters raised in submissions</w:t>
      </w:r>
      <w:r w:rsidR="00C44DA6" w:rsidRPr="00BF281D">
        <w:t>,</w:t>
      </w:r>
      <w:r w:rsidRPr="00BF281D">
        <w:t xml:space="preserve"> </w:t>
      </w:r>
      <w:r w:rsidR="00A85A3C">
        <w:t>will be</w:t>
      </w:r>
      <w:r w:rsidR="00DB3FBA" w:rsidRPr="00BF281D">
        <w:t xml:space="preserve"> prescribed </w:t>
      </w:r>
      <w:r w:rsidR="008F70F7" w:rsidRPr="00BF281D">
        <w:t xml:space="preserve">under </w:t>
      </w:r>
      <w:r w:rsidR="006A7804" w:rsidRPr="00BF281D">
        <w:t>Option 1</w:t>
      </w:r>
      <w:r w:rsidR="00647F9A" w:rsidDel="00013D7B">
        <w:t xml:space="preserve">. </w:t>
      </w:r>
      <w:r w:rsidR="008F70F7" w:rsidRPr="00BF281D">
        <w:t xml:space="preserve">These </w:t>
      </w:r>
      <w:r w:rsidR="004C3CD4" w:rsidRPr="00BF281D">
        <w:t>factors</w:t>
      </w:r>
      <w:r w:rsidR="008F70F7" w:rsidRPr="00BF281D">
        <w:t xml:space="preserve"> are limited to </w:t>
      </w:r>
      <w:r w:rsidR="00AA6F38" w:rsidRPr="00BF281D">
        <w:t xml:space="preserve">requiring the Minister to consider issues raised in public submission </w:t>
      </w:r>
      <w:r w:rsidR="00AE75EA" w:rsidRPr="00BF281D">
        <w:t xml:space="preserve">and to consult with </w:t>
      </w:r>
      <w:r w:rsidR="006E231F" w:rsidRPr="00BF281D">
        <w:t xml:space="preserve">relevant public sector bodies or responsible authorities. </w:t>
      </w:r>
      <w:r w:rsidR="00147F51" w:rsidRPr="00BF281D">
        <w:t xml:space="preserve">Public submissions and Ministerial consultation would form the basis of evidence for public interest matters. </w:t>
      </w:r>
      <w:r w:rsidR="005F0368" w:rsidRPr="00BF281D">
        <w:lastRenderedPageBreak/>
        <w:t xml:space="preserve">Issues raised </w:t>
      </w:r>
      <w:r w:rsidR="001008F7" w:rsidRPr="00BF281D">
        <w:t>in submissions and consultations wou</w:t>
      </w:r>
      <w:r w:rsidR="00F11166" w:rsidRPr="00BF281D">
        <w:t xml:space="preserve">ld need to be directly addressed in applications. </w:t>
      </w:r>
      <w:r w:rsidR="002241AB" w:rsidRPr="00BF281D">
        <w:t>The Minister</w:t>
      </w:r>
      <w:r w:rsidR="00DB336B" w:rsidRPr="00BF281D">
        <w:t>’s decision-making process</w:t>
      </w:r>
      <w:r w:rsidR="002241AB" w:rsidRPr="00BF281D">
        <w:t xml:space="preserve"> </w:t>
      </w:r>
      <w:r w:rsidR="00CF0B47" w:rsidRPr="00BF281D">
        <w:t xml:space="preserve">must </w:t>
      </w:r>
      <w:proofErr w:type="gramStart"/>
      <w:r w:rsidR="009C3833" w:rsidRPr="00BF281D">
        <w:t>take into account</w:t>
      </w:r>
      <w:proofErr w:type="gramEnd"/>
      <w:r w:rsidR="009C3833" w:rsidRPr="00BF281D">
        <w:t xml:space="preserve"> certain information </w:t>
      </w:r>
      <w:r w:rsidR="00DB336B" w:rsidRPr="00BF281D">
        <w:t xml:space="preserve">raised </w:t>
      </w:r>
      <w:r w:rsidR="00375FCC" w:rsidRPr="00BF281D">
        <w:t xml:space="preserve">in submissions and consultations. </w:t>
      </w:r>
    </w:p>
    <w:p w14:paraId="38C4B8B1" w14:textId="0B787F45" w:rsidR="00CE387D" w:rsidRPr="00BF281D" w:rsidRDefault="00CE387D" w:rsidP="00540D55">
      <w:pPr>
        <w:pStyle w:val="Heading3"/>
        <w:rPr>
          <w:b w:val="0"/>
        </w:rPr>
      </w:pPr>
      <w:r w:rsidRPr="00BF281D">
        <w:t xml:space="preserve">Option </w:t>
      </w:r>
      <w:r w:rsidR="00D31B07" w:rsidRPr="00BF281D">
        <w:t>2</w:t>
      </w:r>
      <w:r w:rsidR="00013D7B">
        <w:t xml:space="preserve"> – </w:t>
      </w:r>
      <w:r w:rsidR="00581604">
        <w:t>S</w:t>
      </w:r>
      <w:r w:rsidR="00013D7B">
        <w:t>tandards focussed</w:t>
      </w:r>
      <w:r w:rsidR="00807FF0">
        <w:t xml:space="preserve"> regulations</w:t>
      </w:r>
    </w:p>
    <w:p w14:paraId="5F4ACE87" w14:textId="17D20139" w:rsidR="008042D7" w:rsidRPr="00C73B72" w:rsidRDefault="00CE387D" w:rsidP="00E2450D">
      <w:r w:rsidRPr="00BF281D">
        <w:t xml:space="preserve">Option </w:t>
      </w:r>
      <w:r w:rsidR="00556B42" w:rsidRPr="00BF281D">
        <w:t>2</w:t>
      </w:r>
      <w:r w:rsidRPr="00BF281D">
        <w:t xml:space="preserve"> would involve </w:t>
      </w:r>
      <w:r w:rsidR="00290D66" w:rsidRPr="00BF281D">
        <w:t>more</w:t>
      </w:r>
      <w:r w:rsidR="00EE36F2" w:rsidRPr="00BF281D">
        <w:t xml:space="preserve"> detailed and </w:t>
      </w:r>
      <w:r w:rsidRPr="00BF281D">
        <w:t xml:space="preserve">prescriptive </w:t>
      </w:r>
      <w:r w:rsidR="00EE36F2" w:rsidRPr="00BF281D">
        <w:t>regulations</w:t>
      </w:r>
      <w:r w:rsidRPr="00BF281D">
        <w:t xml:space="preserve">. </w:t>
      </w:r>
      <w:r w:rsidR="00D26081" w:rsidRPr="00BF281D">
        <w:t>This would provide greater certainty</w:t>
      </w:r>
      <w:r w:rsidR="004A5E02" w:rsidRPr="00BF281D">
        <w:t xml:space="preserve"> </w:t>
      </w:r>
      <w:r w:rsidR="00157AD4">
        <w:t xml:space="preserve">and therefore a time saving </w:t>
      </w:r>
      <w:r w:rsidR="004A5E02" w:rsidRPr="00BF281D">
        <w:t xml:space="preserve">for all stakeholders in the industry (including </w:t>
      </w:r>
      <w:r w:rsidR="00272CD5" w:rsidRPr="00BF281D">
        <w:t>g</w:t>
      </w:r>
      <w:r w:rsidR="004A5E02" w:rsidRPr="00BF281D">
        <w:t>overnment</w:t>
      </w:r>
      <w:r w:rsidR="00CE6AFD">
        <w:t xml:space="preserve">, </w:t>
      </w:r>
      <w:proofErr w:type="gramStart"/>
      <w:r w:rsidR="00CE6AFD">
        <w:t>industry</w:t>
      </w:r>
      <w:proofErr w:type="gramEnd"/>
      <w:r w:rsidR="004A5E02" w:rsidRPr="00BF281D">
        <w:t xml:space="preserve"> and the community)</w:t>
      </w:r>
      <w:r w:rsidR="00F30245" w:rsidRPr="00BF281D">
        <w:t>,</w:t>
      </w:r>
      <w:r w:rsidR="00D26081" w:rsidRPr="00BF281D">
        <w:t xml:space="preserve"> but </w:t>
      </w:r>
      <w:r w:rsidR="00E652D9" w:rsidRPr="00BF281D">
        <w:t>also</w:t>
      </w:r>
      <w:r w:rsidR="00D26081" w:rsidRPr="00BF281D">
        <w:t xml:space="preserve"> increase </w:t>
      </w:r>
      <w:r w:rsidR="00E2450D" w:rsidRPr="00BF281D">
        <w:t xml:space="preserve">the </w:t>
      </w:r>
      <w:r w:rsidR="00D26081" w:rsidRPr="00BF281D">
        <w:t xml:space="preserve">burden </w:t>
      </w:r>
      <w:r w:rsidR="0061032D">
        <w:rPr>
          <w:bCs/>
        </w:rPr>
        <w:t xml:space="preserve">would be used by Government for future investment attraction functions after the authority is relinquished. </w:t>
      </w:r>
      <w:r w:rsidR="0061032D" w:rsidRPr="00DB3787">
        <w:t xml:space="preserve">The regulations would </w:t>
      </w:r>
      <w:r w:rsidR="0061032D">
        <w:rPr>
          <w:bCs/>
        </w:rPr>
        <w:t xml:space="preserve">also </w:t>
      </w:r>
      <w:r w:rsidR="0061032D" w:rsidRPr="00DB3787">
        <w:t xml:space="preserve">prescribe requirements for </w:t>
      </w:r>
      <w:r w:rsidR="0061032D">
        <w:rPr>
          <w:bCs/>
        </w:rPr>
        <w:t>work programs</w:t>
      </w:r>
      <w:r w:rsidR="0061032D" w:rsidRPr="00DB3787">
        <w:t xml:space="preserve"> including </w:t>
      </w:r>
      <w:r w:rsidR="0061032D">
        <w:rPr>
          <w:bCs/>
        </w:rPr>
        <w:t>timing</w:t>
      </w:r>
      <w:r w:rsidR="0061032D" w:rsidRPr="00DB3787">
        <w:t xml:space="preserve"> and </w:t>
      </w:r>
      <w:r w:rsidR="0061032D">
        <w:rPr>
          <w:bCs/>
        </w:rPr>
        <w:t>expenditure data and industry</w:t>
      </w:r>
      <w:r w:rsidR="0061032D" w:rsidRPr="00DB3787">
        <w:t xml:space="preserve"> will be </w:t>
      </w:r>
      <w:r w:rsidR="0061032D">
        <w:rPr>
          <w:bCs/>
        </w:rPr>
        <w:t>required to adhere to</w:t>
      </w:r>
      <w:r w:rsidR="0061032D" w:rsidRPr="00DB3787">
        <w:t xml:space="preserve"> and </w:t>
      </w:r>
      <w:r w:rsidR="0061032D">
        <w:rPr>
          <w:bCs/>
        </w:rPr>
        <w:t>report against</w:t>
      </w:r>
      <w:r w:rsidR="0061032D" w:rsidRPr="00DB3787">
        <w:t xml:space="preserve"> progress</w:t>
      </w:r>
      <w:r w:rsidR="0061032D">
        <w:rPr>
          <w:bCs/>
        </w:rPr>
        <w:t>. This will ensure</w:t>
      </w:r>
      <w:r w:rsidR="0061032D" w:rsidRPr="00DB3787">
        <w:t xml:space="preserve"> that </w:t>
      </w:r>
      <w:r w:rsidR="0061032D">
        <w:rPr>
          <w:bCs/>
        </w:rPr>
        <w:t xml:space="preserve">authority holders are actively working their tenure to maximise the likelihood or discovery and </w:t>
      </w:r>
      <w:r w:rsidR="0061032D" w:rsidRPr="00C73B72">
        <w:t>development</w:t>
      </w:r>
      <w:r w:rsidR="0061032D">
        <w:rPr>
          <w:bCs/>
        </w:rPr>
        <w:t>.</w:t>
      </w:r>
    </w:p>
    <w:p w14:paraId="069674F9" w14:textId="5F6ACA6F" w:rsidR="008356BB" w:rsidRPr="00BF281D" w:rsidRDefault="002242BD" w:rsidP="008356BB">
      <w:pPr>
        <w:rPr>
          <w:b/>
          <w:bCs/>
        </w:rPr>
      </w:pPr>
      <w:r>
        <w:rPr>
          <w:b/>
          <w:bCs/>
        </w:rPr>
        <w:t xml:space="preserve">Option 2 - </w:t>
      </w:r>
      <w:r w:rsidR="008356BB" w:rsidRPr="00BF281D">
        <w:rPr>
          <w:b/>
          <w:bCs/>
        </w:rPr>
        <w:t xml:space="preserve">Building </w:t>
      </w:r>
      <w:r w:rsidR="0054704E">
        <w:rPr>
          <w:b/>
          <w:bCs/>
        </w:rPr>
        <w:t>social license</w:t>
      </w:r>
      <w:r w:rsidR="008356BB" w:rsidRPr="00BF281D">
        <w:rPr>
          <w:b/>
          <w:bCs/>
        </w:rPr>
        <w:t xml:space="preserve"> to operate</w:t>
      </w:r>
    </w:p>
    <w:p w14:paraId="0122D9CE" w14:textId="30C06BF5" w:rsidR="008356BB" w:rsidRPr="00BF281D" w:rsidRDefault="006A7804" w:rsidP="008356BB">
      <w:r w:rsidRPr="00BF281D">
        <w:t>Option 2</w:t>
      </w:r>
      <w:r w:rsidR="00BE0A85" w:rsidRPr="00BF281D">
        <w:t xml:space="preserve"> would </w:t>
      </w:r>
      <w:r w:rsidR="005A471C">
        <w:t>require an authority holder to detail proposed engagement with the</w:t>
      </w:r>
      <w:r w:rsidR="00BE0A85" w:rsidRPr="00BF281D">
        <w:t xml:space="preserve"> community </w:t>
      </w:r>
      <w:r w:rsidR="00A76785">
        <w:t>(including traditional owners)</w:t>
      </w:r>
      <w:r w:rsidR="00BE0A85" w:rsidRPr="00BF281D">
        <w:t xml:space="preserve"> over the life of the authority</w:t>
      </w:r>
      <w:r w:rsidR="005A471C">
        <w:t>; these commit</w:t>
      </w:r>
      <w:r w:rsidR="00344D3C">
        <w:t>ments</w:t>
      </w:r>
      <w:r w:rsidR="00BE0A85" w:rsidRPr="00BF281D">
        <w:t xml:space="preserve"> </w:t>
      </w:r>
      <w:r w:rsidR="00A76785">
        <w:t xml:space="preserve">will need to </w:t>
      </w:r>
      <w:r w:rsidR="00BE0A85" w:rsidRPr="00BF281D">
        <w:t xml:space="preserve">be </w:t>
      </w:r>
      <w:r w:rsidR="00A76785">
        <w:t>adhered to</w:t>
      </w:r>
      <w:r w:rsidR="00BE0A85" w:rsidRPr="00BF281D">
        <w:t xml:space="preserve">. </w:t>
      </w:r>
      <w:r w:rsidRPr="00BF281D">
        <w:t>Option 2</w:t>
      </w:r>
      <w:r w:rsidR="00BE0A85" w:rsidRPr="00BF281D">
        <w:t xml:space="preserve"> would</w:t>
      </w:r>
      <w:r w:rsidR="00344D3C">
        <w:t xml:space="preserve"> also</w:t>
      </w:r>
      <w:r w:rsidR="00BE0A85" w:rsidRPr="00BF281D">
        <w:t xml:space="preserve"> </w:t>
      </w:r>
      <w:r w:rsidR="00344D3C">
        <w:t>establish</w:t>
      </w:r>
      <w:r w:rsidR="00BE0A85" w:rsidRPr="00BF281D">
        <w:t xml:space="preserve"> prescriptive </w:t>
      </w:r>
      <w:r w:rsidR="00344D3C">
        <w:t>requirements in relation to</w:t>
      </w:r>
      <w:r w:rsidR="00BE0A85" w:rsidRPr="00BF281D">
        <w:t xml:space="preserve"> the community submissions process. </w:t>
      </w:r>
    </w:p>
    <w:p w14:paraId="1CC9163D" w14:textId="7AB2635B" w:rsidR="000066C4" w:rsidRPr="00BF281D" w:rsidRDefault="00344D3C" w:rsidP="008356BB">
      <w:r>
        <w:t>For consultation in relation to preparation of an operation plan, t</w:t>
      </w:r>
      <w:r w:rsidR="000066C4" w:rsidRPr="00BF281D">
        <w:t>he Minister would</w:t>
      </w:r>
      <w:r w:rsidR="000066C4" w:rsidRPr="00BF281D" w:rsidDel="00344D3C">
        <w:t xml:space="preserve"> </w:t>
      </w:r>
      <w:r w:rsidR="000066C4" w:rsidRPr="00BF281D">
        <w:t xml:space="preserve">have more information </w:t>
      </w:r>
      <w:r w:rsidR="00EE2F46" w:rsidRPr="00BF281D">
        <w:t>related to</w:t>
      </w:r>
      <w:r w:rsidR="00A96542" w:rsidRPr="00BF281D">
        <w:t xml:space="preserve"> </w:t>
      </w:r>
      <w:r w:rsidR="000066C4" w:rsidRPr="00BF281D">
        <w:t xml:space="preserve">the consultation process and </w:t>
      </w:r>
      <w:r w:rsidR="00B4096E" w:rsidRPr="00BF281D">
        <w:t xml:space="preserve">greater </w:t>
      </w:r>
      <w:r w:rsidR="000066C4" w:rsidRPr="00BF281D">
        <w:t>scrutiny of the consultation process</w:t>
      </w:r>
      <w:r w:rsidR="00B4096E" w:rsidRPr="00BF281D">
        <w:t>.</w:t>
      </w:r>
      <w:r w:rsidR="00792DA5" w:rsidRPr="00BF281D">
        <w:t xml:space="preserve"> </w:t>
      </w:r>
      <w:r w:rsidR="00B4096E" w:rsidRPr="00BF281D">
        <w:t>S</w:t>
      </w:r>
      <w:r w:rsidR="00792DA5" w:rsidRPr="00BF281D">
        <w:t>tronger evidence that adequate community consultation has been undertaken</w:t>
      </w:r>
      <w:r w:rsidR="00ED0146" w:rsidRPr="00BF281D">
        <w:t xml:space="preserve"> would be required</w:t>
      </w:r>
      <w:r w:rsidR="00792DA5" w:rsidRPr="00BF281D">
        <w:t xml:space="preserve">. A distinct community engagement plan would need to be produced as a component of </w:t>
      </w:r>
      <w:r w:rsidR="00B4096E" w:rsidRPr="00BF281D">
        <w:t xml:space="preserve">the </w:t>
      </w:r>
      <w:r w:rsidR="00F74F67">
        <w:t>environment</w:t>
      </w:r>
      <w:r w:rsidR="00792DA5" w:rsidRPr="00BF281D">
        <w:t xml:space="preserve"> plan</w:t>
      </w:r>
      <w:r w:rsidR="00B4096E" w:rsidRPr="00BF281D">
        <w:t>.</w:t>
      </w:r>
      <w:r w:rsidR="00792DA5" w:rsidRPr="00BF281D">
        <w:t xml:space="preserve"> </w:t>
      </w:r>
      <w:r w:rsidR="00B4096E" w:rsidRPr="00BF281D">
        <w:t>This is</w:t>
      </w:r>
      <w:r w:rsidR="00792DA5" w:rsidRPr="00BF281D">
        <w:t xml:space="preserve"> compared to</w:t>
      </w:r>
      <w:r>
        <w:t xml:space="preserve"> the general requirement for ongoing consultation over the life of the operation and</w:t>
      </w:r>
      <w:r w:rsidR="00792DA5" w:rsidRPr="00BF281D">
        <w:t xml:space="preserve"> a consultation report as part of the </w:t>
      </w:r>
      <w:r w:rsidR="004C7722">
        <w:t>EMP</w:t>
      </w:r>
      <w:r w:rsidR="00B4096E" w:rsidRPr="00BF281D">
        <w:t xml:space="preserve"> </w:t>
      </w:r>
      <w:r w:rsidR="00792DA5" w:rsidRPr="00BF281D">
        <w:t xml:space="preserve">under the current </w:t>
      </w:r>
      <w:r w:rsidR="00B81E79">
        <w:t>R</w:t>
      </w:r>
      <w:r w:rsidR="00792DA5" w:rsidRPr="00BF281D">
        <w:t xml:space="preserve">egulations. Industry has the least flexibility </w:t>
      </w:r>
      <w:r w:rsidR="00955C1F" w:rsidRPr="00BF281D">
        <w:t>on its</w:t>
      </w:r>
      <w:r w:rsidR="00792DA5" w:rsidRPr="00BF281D">
        <w:t xml:space="preserve"> engagement process</w:t>
      </w:r>
      <w:r w:rsidR="00955C1F" w:rsidRPr="00BF281D">
        <w:t>es</w:t>
      </w:r>
      <w:r w:rsidR="00792DA5" w:rsidRPr="00BF281D">
        <w:t xml:space="preserve"> under </w:t>
      </w:r>
      <w:r w:rsidR="006A7804" w:rsidRPr="00BF281D">
        <w:t>Option 2</w:t>
      </w:r>
      <w:r w:rsidR="00792DA5" w:rsidRPr="00BF281D">
        <w:t xml:space="preserve"> and</w:t>
      </w:r>
      <w:r w:rsidR="00792DA5" w:rsidRPr="00BF281D" w:rsidDel="00B81E79">
        <w:t xml:space="preserve"> </w:t>
      </w:r>
      <w:r w:rsidR="00B81E79">
        <w:t>could</w:t>
      </w:r>
      <w:r w:rsidR="00B81E79" w:rsidRPr="00BF281D">
        <w:t xml:space="preserve"> </w:t>
      </w:r>
      <w:r w:rsidR="00792DA5" w:rsidRPr="00BF281D">
        <w:t>be held accountable to its commitments by punitive measures such as penalties</w:t>
      </w:r>
      <w:r w:rsidR="00B81E79">
        <w:t>, where applicable</w:t>
      </w:r>
      <w:r w:rsidR="00792DA5" w:rsidRPr="00BF281D">
        <w:t xml:space="preserve">. </w:t>
      </w:r>
    </w:p>
    <w:p w14:paraId="2B408A40" w14:textId="41BF8B12" w:rsidR="00792DA5" w:rsidRPr="00BF281D" w:rsidRDefault="00955C1F" w:rsidP="008356BB">
      <w:r w:rsidRPr="00BF281D">
        <w:t xml:space="preserve">Under </w:t>
      </w:r>
      <w:r w:rsidR="006A7804" w:rsidRPr="00BF281D">
        <w:t>Option 2</w:t>
      </w:r>
      <w:r w:rsidRPr="00BF281D">
        <w:t>, t</w:t>
      </w:r>
      <w:r w:rsidR="005819C8" w:rsidRPr="00BF281D">
        <w:t xml:space="preserve">he engagement requirements would target the stages in the petroleum lifecycle at which consultation is deemed necessary and most effective and would be clear and unambiguous for enforcement purposes. </w:t>
      </w:r>
    </w:p>
    <w:p w14:paraId="55123724" w14:textId="3FF66BF7" w:rsidR="008356BB" w:rsidRPr="00BF281D" w:rsidRDefault="002242BD" w:rsidP="008356BB">
      <w:pPr>
        <w:rPr>
          <w:b/>
          <w:bCs/>
        </w:rPr>
      </w:pPr>
      <w:r>
        <w:rPr>
          <w:b/>
          <w:bCs/>
        </w:rPr>
        <w:t xml:space="preserve">Option 2 - </w:t>
      </w:r>
      <w:r w:rsidR="008356BB" w:rsidRPr="00BF281D">
        <w:rPr>
          <w:b/>
          <w:bCs/>
        </w:rPr>
        <w:t>Protecting social (public safety and amenity) and environmental interests</w:t>
      </w:r>
    </w:p>
    <w:p w14:paraId="3DF82C5B" w14:textId="7ABAAEDC" w:rsidR="004F08E8" w:rsidRDefault="005819C8" w:rsidP="00A772E7">
      <w:r w:rsidRPr="00BF281D">
        <w:t xml:space="preserve">The regulations </w:t>
      </w:r>
      <w:r w:rsidR="002B5B14" w:rsidRPr="00BF281D">
        <w:t xml:space="preserve">under </w:t>
      </w:r>
      <w:r w:rsidR="006A7804" w:rsidRPr="00BF281D">
        <w:t>Option 2</w:t>
      </w:r>
      <w:r w:rsidR="002B5B14" w:rsidRPr="00BF281D">
        <w:t xml:space="preserve"> </w:t>
      </w:r>
      <w:r w:rsidRPr="00BF281D">
        <w:t xml:space="preserve">would specify that </w:t>
      </w:r>
      <w:r w:rsidR="002B5B14" w:rsidRPr="00BF281D">
        <w:t xml:space="preserve">when </w:t>
      </w:r>
      <w:proofErr w:type="gramStart"/>
      <w:r w:rsidR="002B5B14" w:rsidRPr="00BF281D">
        <w:t>making a decision</w:t>
      </w:r>
      <w:proofErr w:type="gramEnd"/>
      <w:r w:rsidR="002B5B14" w:rsidRPr="00BF281D">
        <w:t xml:space="preserve">, </w:t>
      </w:r>
      <w:r w:rsidRPr="00BF281D">
        <w:t xml:space="preserve">certain social, </w:t>
      </w:r>
      <w:r w:rsidR="00361D9C" w:rsidRPr="00BF281D">
        <w:t>environmental,</w:t>
      </w:r>
      <w:r w:rsidRPr="00BF281D">
        <w:t xml:space="preserve"> and economic factors must be taken into account by the Minister. Applications for petroleum </w:t>
      </w:r>
      <w:r w:rsidR="000C0FD8">
        <w:t>authorities</w:t>
      </w:r>
      <w:r w:rsidR="000C0FD8" w:rsidRPr="00BF281D">
        <w:t xml:space="preserve"> </w:t>
      </w:r>
      <w:r w:rsidRPr="00BF281D">
        <w:t>would require detailed and specific information allow</w:t>
      </w:r>
      <w:r w:rsidR="00D00338" w:rsidRPr="00BF281D">
        <w:t>ing</w:t>
      </w:r>
      <w:r w:rsidRPr="00BF281D">
        <w:t xml:space="preserve"> the Minister to consider all the relevant factors above. </w:t>
      </w:r>
    </w:p>
    <w:p w14:paraId="4BB5FBD7" w14:textId="4B3FCEFD" w:rsidR="00C35889" w:rsidRDefault="00D32BBB" w:rsidP="00A772E7">
      <w:r w:rsidRPr="00BF281D">
        <w:t xml:space="preserve">Under </w:t>
      </w:r>
      <w:r w:rsidR="006A7804" w:rsidRPr="00BF281D">
        <w:t>Option 2</w:t>
      </w:r>
      <w:r w:rsidRPr="00BF281D">
        <w:t>, d</w:t>
      </w:r>
      <w:r w:rsidR="00BB3FFF" w:rsidRPr="00BF281D">
        <w:t>ocuments such as operation plans,</w:t>
      </w:r>
      <w:r w:rsidR="000C0FD8">
        <w:t xml:space="preserve"> including</w:t>
      </w:r>
      <w:r w:rsidR="00BB3FFF" w:rsidRPr="00BF281D">
        <w:t xml:space="preserve"> </w:t>
      </w:r>
      <w:r w:rsidR="004C7722">
        <w:t>EMP</w:t>
      </w:r>
      <w:r w:rsidR="00D00338" w:rsidRPr="00BF281D">
        <w:t>s</w:t>
      </w:r>
      <w:r w:rsidR="004F08E8">
        <w:t>,</w:t>
      </w:r>
      <w:r w:rsidR="00C35889">
        <w:t xml:space="preserve"> </w:t>
      </w:r>
      <w:r w:rsidR="004C7722">
        <w:t>WOMP</w:t>
      </w:r>
      <w:r w:rsidRPr="00BF281D">
        <w:t xml:space="preserve">s </w:t>
      </w:r>
      <w:r w:rsidR="004F08E8">
        <w:t>and rehabilitation plans</w:t>
      </w:r>
      <w:r w:rsidRPr="00BF281D">
        <w:t xml:space="preserve"> </w:t>
      </w:r>
      <w:r w:rsidR="00BB3FFF" w:rsidRPr="00BF281D">
        <w:t xml:space="preserve">would need to contain certain </w:t>
      </w:r>
      <w:r w:rsidRPr="00BF281D">
        <w:t xml:space="preserve">prescribed </w:t>
      </w:r>
      <w:r w:rsidR="00BB3FFF" w:rsidRPr="00BF281D">
        <w:t>information</w:t>
      </w:r>
      <w:r w:rsidR="00B75EDC">
        <w:t xml:space="preserve"> and will need to follow a standard risk assessment methodology</w:t>
      </w:r>
      <w:r w:rsidR="00BB3FFF" w:rsidRPr="00BF281D">
        <w:t>.</w:t>
      </w:r>
      <w:r w:rsidR="00B75EDC">
        <w:t xml:space="preserve"> </w:t>
      </w:r>
      <w:r w:rsidR="00C35889">
        <w:t xml:space="preserve">There will be new measures for monitoring and reporting against hydrocarbon emissions and groundwater impacts. There will also be a stronger focus </w:t>
      </w:r>
      <w:r w:rsidR="00E76FC2">
        <w:t xml:space="preserve">on </w:t>
      </w:r>
      <w:r w:rsidR="00C35889">
        <w:t>different petroleum lifecycle stages that different</w:t>
      </w:r>
      <w:r w:rsidR="00E76FC2">
        <w:t>iate</w:t>
      </w:r>
      <w:r w:rsidR="00C35889">
        <w:t xml:space="preserve"> risk and mitigation requirements. There will be stronger incident notification</w:t>
      </w:r>
      <w:r w:rsidR="003E69B4">
        <w:t xml:space="preserve"> and operationa</w:t>
      </w:r>
      <w:r w:rsidR="00F33543">
        <w:t>l reporting</w:t>
      </w:r>
      <w:r w:rsidR="00C35889">
        <w:t xml:space="preserve"> requirements to ensure transparency, support regulation and compliance and continuous improvement in risk management.</w:t>
      </w:r>
    </w:p>
    <w:p w14:paraId="666CDAE7" w14:textId="4D91ABE6" w:rsidR="00BB3FFF" w:rsidRPr="00BF281D" w:rsidRDefault="00BB3FFF" w:rsidP="00A772E7">
      <w:r w:rsidRPr="00BF281D">
        <w:t xml:space="preserve">Regulations would </w:t>
      </w:r>
      <w:r w:rsidR="002434BB" w:rsidRPr="00BF281D">
        <w:t xml:space="preserve">also </w:t>
      </w:r>
      <w:r w:rsidRPr="00BF281D">
        <w:t>be supported by</w:t>
      </w:r>
      <w:r w:rsidR="006806A2" w:rsidRPr="00BF281D">
        <w:t xml:space="preserve"> a Code of Practice made </w:t>
      </w:r>
      <w:r w:rsidR="000C0FD8">
        <w:t>under the Petroleum Act</w:t>
      </w:r>
      <w:r w:rsidR="008B6784">
        <w:t xml:space="preserve"> that will provide increased clarity around what is expected for compliance with the Act and Regulations</w:t>
      </w:r>
      <w:r w:rsidRPr="00BF281D">
        <w:t xml:space="preserve">. </w:t>
      </w:r>
    </w:p>
    <w:p w14:paraId="20DBC876" w14:textId="1C74F169" w:rsidR="008356BB" w:rsidRDefault="00D16AA2" w:rsidP="00A772E7">
      <w:r w:rsidRPr="00BF281D">
        <w:t xml:space="preserve">The decision-making process would also include </w:t>
      </w:r>
      <w:r w:rsidR="00A92F16" w:rsidRPr="00BF281D">
        <w:t xml:space="preserve">an </w:t>
      </w:r>
      <w:r w:rsidRPr="00BF281D">
        <w:t xml:space="preserve">analysis of the benefits and costs under the criteria. A triple bottom line assessment would be informed by several sources, including information provided by authority holders, public </w:t>
      </w:r>
      <w:proofErr w:type="gramStart"/>
      <w:r w:rsidRPr="00BF281D">
        <w:t>submissions</w:t>
      </w:r>
      <w:proofErr w:type="gramEnd"/>
      <w:r w:rsidRPr="00BF281D">
        <w:t xml:space="preserve"> and government data. </w:t>
      </w:r>
    </w:p>
    <w:p w14:paraId="4D5E0FCD" w14:textId="2C911054" w:rsidR="001B40AA" w:rsidRDefault="001B40AA" w:rsidP="00A772E7"/>
    <w:p w14:paraId="542C2CB9" w14:textId="2C6ACB91" w:rsidR="001B40AA" w:rsidRDefault="001B40AA" w:rsidP="00A772E7"/>
    <w:p w14:paraId="181051F2" w14:textId="77777777" w:rsidR="00E4117A" w:rsidRDefault="00E4117A" w:rsidP="00A772E7"/>
    <w:p w14:paraId="06EAE3F9" w14:textId="77777777" w:rsidR="001B40AA" w:rsidRDefault="001B40AA" w:rsidP="00A772E7"/>
    <w:p w14:paraId="11178197" w14:textId="77777777" w:rsidR="00833E9A" w:rsidRPr="00012DD6" w:rsidRDefault="00833E9A" w:rsidP="00833E9A">
      <w:pPr>
        <w:rPr>
          <w:b/>
          <w:bCs/>
          <w:color w:val="767171" w:themeColor="background2" w:themeShade="80"/>
        </w:rPr>
      </w:pPr>
      <w:r w:rsidRPr="00012DD6">
        <w:rPr>
          <w:b/>
          <w:bCs/>
          <w:color w:val="767171" w:themeColor="background2" w:themeShade="80"/>
        </w:rPr>
        <w:lastRenderedPageBreak/>
        <w:t>Status Quo - Fees and charges</w:t>
      </w:r>
    </w:p>
    <w:p w14:paraId="4DD3299D" w14:textId="2478D62E" w:rsidR="00833E9A" w:rsidRPr="00BF281D" w:rsidRDefault="00833E9A" w:rsidP="00833E9A">
      <w:r w:rsidRPr="00BF281D">
        <w:t>The</w:t>
      </w:r>
      <w:r w:rsidRPr="00817682">
        <w:t xml:space="preserve"> </w:t>
      </w:r>
      <w:r>
        <w:t>existing</w:t>
      </w:r>
      <w:r w:rsidRPr="00817682">
        <w:t xml:space="preserve"> regulations contain requirements in relation to </w:t>
      </w:r>
      <w:r w:rsidR="00900A37" w:rsidRPr="00817682">
        <w:t xml:space="preserve">the </w:t>
      </w:r>
      <w:r w:rsidR="00900A37">
        <w:t>payment</w:t>
      </w:r>
      <w:r>
        <w:t xml:space="preserve"> of certain fees and charges.  These are set out below.  (Note that the Petroleum Act itself sets out requirements in relation to royalties).   </w:t>
      </w:r>
      <w:r w:rsidRPr="00817682">
        <w:t xml:space="preserve"> </w:t>
      </w:r>
    </w:p>
    <w:p w14:paraId="38F048DF" w14:textId="77777777" w:rsidR="00833E9A" w:rsidRPr="00BF281D" w:rsidRDefault="00833E9A" w:rsidP="00833E9A">
      <w:pPr>
        <w:pStyle w:val="CaptionTable"/>
      </w:pPr>
      <w:bookmarkStart w:id="111" w:name="_Toc68799768"/>
      <w:r w:rsidRPr="001528D0">
        <w:rPr>
          <w:color w:val="auto"/>
        </w:rPr>
        <w:t>: Fee units payable under the Regulations and FY21 dollar amounts (linked to CPI)</w:t>
      </w:r>
      <w:bookmarkEnd w:id="111"/>
      <w:r w:rsidRPr="001528D0">
        <w:rPr>
          <w:color w:val="auto"/>
        </w:rPr>
        <w:t xml:space="preserve"> </w:t>
      </w:r>
    </w:p>
    <w:tbl>
      <w:tblPr>
        <w:tblStyle w:val="Deloittetable"/>
        <w:tblW w:w="5000" w:type="pct"/>
        <w:tblLook w:val="04A0" w:firstRow="1" w:lastRow="0" w:firstColumn="1" w:lastColumn="0" w:noHBand="0" w:noVBand="1"/>
      </w:tblPr>
      <w:tblGrid>
        <w:gridCol w:w="3544"/>
        <w:gridCol w:w="2840"/>
        <w:gridCol w:w="3283"/>
      </w:tblGrid>
      <w:tr w:rsidR="00833E9A" w:rsidRPr="00BF281D" w14:paraId="7DBF0133" w14:textId="77777777" w:rsidTr="00F20F34">
        <w:trPr>
          <w:cnfStyle w:val="100000000000" w:firstRow="1" w:lastRow="0" w:firstColumn="0" w:lastColumn="0" w:oddVBand="0" w:evenVBand="0" w:oddHBand="0" w:evenHBand="0" w:firstRowFirstColumn="0" w:firstRowLastColumn="0" w:lastRowFirstColumn="0" w:lastRowLastColumn="0"/>
          <w:cantSplit/>
          <w:trHeight w:val="321"/>
          <w:tblHeader/>
        </w:trPr>
        <w:tc>
          <w:tcPr>
            <w:tcW w:w="1833" w:type="pct"/>
          </w:tcPr>
          <w:p w14:paraId="75286EDF" w14:textId="77777777" w:rsidR="00833E9A" w:rsidRPr="00BF281D" w:rsidRDefault="00833E9A" w:rsidP="00F20F34">
            <w:pPr>
              <w:spacing w:after="0" w:line="240" w:lineRule="auto"/>
              <w:rPr>
                <w:rFonts w:asciiTheme="minorHAnsi" w:eastAsia="Times New Roman" w:hAnsiTheme="minorHAnsi" w:cs="Calibri"/>
                <w:b/>
                <w:bCs/>
                <w:color w:val="000000"/>
                <w:sz w:val="16"/>
                <w:szCs w:val="16"/>
                <w:lang w:eastAsia="en-AU"/>
              </w:rPr>
            </w:pPr>
          </w:p>
        </w:tc>
        <w:tc>
          <w:tcPr>
            <w:tcW w:w="1469" w:type="pct"/>
            <w:noWrap/>
            <w:vAlign w:val="center"/>
          </w:tcPr>
          <w:p w14:paraId="2B325561" w14:textId="77777777" w:rsidR="00833E9A" w:rsidRPr="00BF281D" w:rsidRDefault="00833E9A" w:rsidP="00F20F34">
            <w:pPr>
              <w:spacing w:after="0" w:line="240" w:lineRule="auto"/>
              <w:jc w:val="center"/>
              <w:rPr>
                <w:rFonts w:asciiTheme="minorHAnsi" w:eastAsia="Times New Roman" w:hAnsiTheme="minorHAnsi" w:cs="Calibri"/>
                <w:color w:val="000000"/>
                <w:sz w:val="16"/>
                <w:szCs w:val="16"/>
                <w:lang w:eastAsia="en-AU"/>
              </w:rPr>
            </w:pPr>
            <w:r w:rsidRPr="00BF281D">
              <w:rPr>
                <w:rFonts w:asciiTheme="minorHAnsi" w:eastAsia="Times New Roman" w:hAnsiTheme="minorHAnsi" w:cs="Calibri"/>
                <w:color w:val="000000"/>
                <w:sz w:val="16"/>
                <w:szCs w:val="16"/>
                <w:lang w:eastAsia="en-AU"/>
              </w:rPr>
              <w:t>Fee units</w:t>
            </w:r>
          </w:p>
        </w:tc>
        <w:tc>
          <w:tcPr>
            <w:tcW w:w="1698" w:type="pct"/>
            <w:noWrap/>
            <w:vAlign w:val="center"/>
          </w:tcPr>
          <w:p w14:paraId="45022129" w14:textId="77777777" w:rsidR="00833E9A" w:rsidRPr="00BF281D" w:rsidRDefault="00833E9A" w:rsidP="00F20F34">
            <w:pPr>
              <w:spacing w:after="0" w:line="240" w:lineRule="auto"/>
              <w:rPr>
                <w:rFonts w:asciiTheme="minorHAnsi" w:eastAsia="Times New Roman" w:hAnsiTheme="minorHAnsi" w:cs="Calibri"/>
                <w:color w:val="000000"/>
                <w:sz w:val="16"/>
                <w:szCs w:val="16"/>
                <w:lang w:eastAsia="en-AU"/>
              </w:rPr>
            </w:pPr>
            <w:r w:rsidRPr="00BF281D">
              <w:rPr>
                <w:rFonts w:asciiTheme="minorHAnsi" w:eastAsia="Times New Roman" w:hAnsiTheme="minorHAnsi" w:cs="Calibri"/>
                <w:color w:val="000000"/>
                <w:sz w:val="16"/>
                <w:szCs w:val="16"/>
                <w:lang w:eastAsia="en-AU"/>
              </w:rPr>
              <w:t>Dollar amount (FY21, $14.81/fee unit)</w:t>
            </w:r>
          </w:p>
        </w:tc>
      </w:tr>
      <w:tr w:rsidR="00833E9A" w:rsidRPr="00BF281D" w14:paraId="682C4B28" w14:textId="77777777" w:rsidTr="00F20F34">
        <w:trPr>
          <w:cantSplit/>
          <w:trHeight w:val="321"/>
        </w:trPr>
        <w:tc>
          <w:tcPr>
            <w:tcW w:w="1833" w:type="pct"/>
          </w:tcPr>
          <w:p w14:paraId="239E0388" w14:textId="77777777" w:rsidR="00833E9A" w:rsidRPr="00BF281D" w:rsidRDefault="00833E9A" w:rsidP="00F20F34">
            <w:pPr>
              <w:spacing w:after="0" w:line="240" w:lineRule="auto"/>
              <w:rPr>
                <w:rFonts w:asciiTheme="minorHAnsi" w:eastAsia="Times New Roman" w:hAnsiTheme="minorHAnsi" w:cs="Calibri"/>
                <w:b/>
                <w:bCs/>
                <w:color w:val="000000"/>
                <w:sz w:val="16"/>
                <w:szCs w:val="16"/>
                <w:lang w:eastAsia="en-AU"/>
              </w:rPr>
            </w:pPr>
            <w:r w:rsidRPr="00BF281D">
              <w:rPr>
                <w:rFonts w:asciiTheme="minorHAnsi" w:eastAsia="Times New Roman" w:hAnsiTheme="minorHAnsi" w:cs="Calibri"/>
                <w:b/>
                <w:bCs/>
                <w:color w:val="000000"/>
                <w:sz w:val="16"/>
                <w:szCs w:val="16"/>
                <w:lang w:eastAsia="en-AU"/>
              </w:rPr>
              <w:t>Application fees</w:t>
            </w:r>
          </w:p>
        </w:tc>
        <w:tc>
          <w:tcPr>
            <w:tcW w:w="1469" w:type="pct"/>
            <w:noWrap/>
            <w:vAlign w:val="center"/>
          </w:tcPr>
          <w:p w14:paraId="7FFA3193" w14:textId="77777777" w:rsidR="00833E9A" w:rsidRPr="00BF281D" w:rsidRDefault="00833E9A" w:rsidP="00F20F34">
            <w:pPr>
              <w:spacing w:after="0" w:line="240" w:lineRule="auto"/>
              <w:jc w:val="center"/>
              <w:rPr>
                <w:rFonts w:asciiTheme="minorHAnsi" w:eastAsia="Times New Roman" w:hAnsiTheme="minorHAnsi" w:cs="Calibri"/>
                <w:b/>
                <w:bCs/>
                <w:color w:val="000000"/>
                <w:sz w:val="16"/>
                <w:szCs w:val="16"/>
                <w:lang w:eastAsia="en-AU"/>
              </w:rPr>
            </w:pPr>
          </w:p>
        </w:tc>
        <w:tc>
          <w:tcPr>
            <w:tcW w:w="1698" w:type="pct"/>
            <w:noWrap/>
            <w:vAlign w:val="center"/>
          </w:tcPr>
          <w:p w14:paraId="3C4CC4F2" w14:textId="77777777" w:rsidR="00833E9A" w:rsidRPr="00BF281D" w:rsidRDefault="00833E9A" w:rsidP="00F20F34">
            <w:pPr>
              <w:spacing w:after="0" w:line="240" w:lineRule="auto"/>
              <w:rPr>
                <w:rFonts w:asciiTheme="minorHAnsi" w:eastAsia="Times New Roman" w:hAnsiTheme="minorHAnsi" w:cs="Calibri"/>
                <w:b/>
                <w:bCs/>
                <w:color w:val="000000"/>
                <w:sz w:val="16"/>
                <w:szCs w:val="16"/>
                <w:lang w:eastAsia="en-AU"/>
              </w:rPr>
            </w:pPr>
          </w:p>
        </w:tc>
      </w:tr>
      <w:tr w:rsidR="00833E9A" w:rsidRPr="00BF281D" w14:paraId="6ABDABCA" w14:textId="77777777" w:rsidTr="00F20F34">
        <w:trPr>
          <w:cantSplit/>
          <w:trHeight w:val="341"/>
        </w:trPr>
        <w:tc>
          <w:tcPr>
            <w:tcW w:w="1833" w:type="pct"/>
            <w:vAlign w:val="center"/>
          </w:tcPr>
          <w:p w14:paraId="064C362B" w14:textId="77777777" w:rsidR="00833E9A" w:rsidRPr="00BF281D" w:rsidRDefault="00833E9A" w:rsidP="00F20F34">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Exploration permit</w:t>
            </w:r>
          </w:p>
        </w:tc>
        <w:tc>
          <w:tcPr>
            <w:tcW w:w="1469" w:type="pct"/>
            <w:noWrap/>
            <w:vAlign w:val="center"/>
          </w:tcPr>
          <w:p w14:paraId="34C6D408" w14:textId="77777777" w:rsidR="00833E9A" w:rsidRPr="00BF281D" w:rsidRDefault="00833E9A" w:rsidP="00F20F34">
            <w:pPr>
              <w:spacing w:after="0" w:line="240" w:lineRule="auto"/>
              <w:jc w:val="center"/>
              <w:rPr>
                <w:rFonts w:ascii="Calibri" w:eastAsia="Times New Roman" w:hAnsi="Calibri" w:cs="Calibri"/>
                <w:color w:val="000000"/>
                <w:sz w:val="22"/>
                <w:szCs w:val="22"/>
                <w:lang w:eastAsia="en-AU"/>
              </w:rPr>
            </w:pPr>
            <w:r w:rsidRPr="00BF281D">
              <w:rPr>
                <w:rFonts w:eastAsia="Times New Roman" w:cs="Times New Roman"/>
                <w:color w:val="000000"/>
                <w:sz w:val="16"/>
                <w:szCs w:val="16"/>
                <w:lang w:eastAsia="en-AU"/>
              </w:rPr>
              <w:t>700</w:t>
            </w:r>
          </w:p>
        </w:tc>
        <w:tc>
          <w:tcPr>
            <w:tcW w:w="1698" w:type="pct"/>
            <w:noWrap/>
            <w:vAlign w:val="center"/>
          </w:tcPr>
          <w:p w14:paraId="4AC10A87" w14:textId="77777777" w:rsidR="00833E9A" w:rsidRPr="00BF281D" w:rsidRDefault="00833E9A" w:rsidP="00F20F34">
            <w:pPr>
              <w:spacing w:after="0" w:line="240" w:lineRule="auto"/>
              <w:jc w:val="center"/>
              <w:rPr>
                <w:rFonts w:ascii="Calibri" w:eastAsia="Times New Roman" w:hAnsi="Calibri" w:cs="Calibri"/>
                <w:color w:val="000000"/>
                <w:sz w:val="22"/>
                <w:szCs w:val="22"/>
                <w:lang w:eastAsia="en-AU"/>
              </w:rPr>
            </w:pPr>
            <w:r w:rsidRPr="00BF281D">
              <w:rPr>
                <w:rFonts w:eastAsia="Times New Roman" w:cs="Times New Roman"/>
                <w:color w:val="000000"/>
                <w:sz w:val="16"/>
                <w:szCs w:val="16"/>
                <w:lang w:eastAsia="en-AU"/>
              </w:rPr>
              <w:t>$10,367</w:t>
            </w:r>
          </w:p>
        </w:tc>
      </w:tr>
      <w:tr w:rsidR="00833E9A" w:rsidRPr="00BF281D" w14:paraId="420F0898" w14:textId="77777777" w:rsidTr="00F20F34">
        <w:trPr>
          <w:cantSplit/>
          <w:trHeight w:val="427"/>
        </w:trPr>
        <w:tc>
          <w:tcPr>
            <w:tcW w:w="1833" w:type="pct"/>
            <w:vAlign w:val="center"/>
          </w:tcPr>
          <w:p w14:paraId="097460EB" w14:textId="44D67F4B" w:rsidR="00833E9A" w:rsidRPr="00BF281D" w:rsidRDefault="00833E9A" w:rsidP="00F20F34">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Retention </w:t>
            </w:r>
            <w:r w:rsidR="00C8341A">
              <w:rPr>
                <w:rFonts w:eastAsia="Times New Roman" w:cs="Times New Roman"/>
                <w:color w:val="000000"/>
                <w:sz w:val="16"/>
                <w:szCs w:val="16"/>
                <w:lang w:eastAsia="en-AU"/>
              </w:rPr>
              <w:t>lease</w:t>
            </w:r>
          </w:p>
        </w:tc>
        <w:tc>
          <w:tcPr>
            <w:tcW w:w="1469" w:type="pct"/>
            <w:noWrap/>
            <w:vAlign w:val="center"/>
          </w:tcPr>
          <w:p w14:paraId="50B6C680" w14:textId="77777777" w:rsidR="00833E9A" w:rsidRPr="00BF281D" w:rsidRDefault="00833E9A" w:rsidP="00F20F34">
            <w:pPr>
              <w:spacing w:after="0" w:line="240" w:lineRule="auto"/>
              <w:jc w:val="center"/>
              <w:rPr>
                <w:rFonts w:ascii="Calibri" w:eastAsia="Times New Roman" w:hAnsi="Calibri" w:cs="Calibri"/>
                <w:color w:val="000000"/>
                <w:sz w:val="22"/>
                <w:szCs w:val="22"/>
                <w:lang w:eastAsia="en-AU"/>
              </w:rPr>
            </w:pPr>
            <w:r w:rsidRPr="00BF281D">
              <w:rPr>
                <w:rFonts w:eastAsia="Times New Roman" w:cs="Times New Roman"/>
                <w:color w:val="000000"/>
                <w:sz w:val="16"/>
                <w:szCs w:val="16"/>
                <w:lang w:eastAsia="en-AU"/>
              </w:rPr>
              <w:t>500</w:t>
            </w:r>
          </w:p>
        </w:tc>
        <w:tc>
          <w:tcPr>
            <w:tcW w:w="1698" w:type="pct"/>
            <w:noWrap/>
            <w:vAlign w:val="center"/>
          </w:tcPr>
          <w:p w14:paraId="0EEA0002" w14:textId="77777777" w:rsidR="00833E9A" w:rsidRPr="00BF281D" w:rsidRDefault="00833E9A" w:rsidP="00F20F34">
            <w:pPr>
              <w:spacing w:after="0" w:line="240" w:lineRule="auto"/>
              <w:jc w:val="center"/>
              <w:rPr>
                <w:rFonts w:ascii="Calibri" w:eastAsia="Times New Roman" w:hAnsi="Calibri" w:cs="Calibri"/>
                <w:color w:val="000000"/>
                <w:sz w:val="22"/>
                <w:szCs w:val="22"/>
                <w:lang w:eastAsia="en-AU"/>
              </w:rPr>
            </w:pPr>
            <w:r w:rsidRPr="00BF281D">
              <w:rPr>
                <w:rFonts w:eastAsia="Times New Roman" w:cs="Times New Roman"/>
                <w:color w:val="000000"/>
                <w:sz w:val="16"/>
                <w:szCs w:val="16"/>
                <w:lang w:eastAsia="en-AU"/>
              </w:rPr>
              <w:t>$7,405</w:t>
            </w:r>
          </w:p>
        </w:tc>
      </w:tr>
      <w:tr w:rsidR="00833E9A" w:rsidRPr="00BF281D" w14:paraId="7E869E7A" w14:textId="77777777" w:rsidTr="00F20F34">
        <w:trPr>
          <w:cantSplit/>
          <w:trHeight w:val="380"/>
        </w:trPr>
        <w:tc>
          <w:tcPr>
            <w:tcW w:w="1833" w:type="pct"/>
            <w:vAlign w:val="center"/>
          </w:tcPr>
          <w:p w14:paraId="55C98E14" w14:textId="77777777" w:rsidR="00833E9A" w:rsidRPr="00BF281D" w:rsidRDefault="00833E9A" w:rsidP="00F20F34">
            <w:pPr>
              <w:spacing w:after="0" w:line="240" w:lineRule="auto"/>
              <w:rPr>
                <w:rFonts w:ascii="Calibri" w:eastAsia="Times New Roman" w:hAnsi="Calibri" w:cs="Calibri"/>
                <w:b/>
                <w:bCs/>
                <w:color w:val="000000"/>
                <w:sz w:val="22"/>
                <w:szCs w:val="22"/>
                <w:lang w:eastAsia="en-AU"/>
              </w:rPr>
            </w:pPr>
            <w:r w:rsidRPr="00BF281D">
              <w:rPr>
                <w:rFonts w:eastAsia="Times New Roman" w:cs="Times New Roman"/>
                <w:color w:val="000000"/>
                <w:sz w:val="16"/>
                <w:szCs w:val="16"/>
                <w:lang w:eastAsia="en-AU"/>
              </w:rPr>
              <w:t>Production licence</w:t>
            </w:r>
          </w:p>
        </w:tc>
        <w:tc>
          <w:tcPr>
            <w:tcW w:w="1469" w:type="pct"/>
            <w:noWrap/>
            <w:vAlign w:val="center"/>
          </w:tcPr>
          <w:p w14:paraId="305C6D75" w14:textId="77777777" w:rsidR="00833E9A" w:rsidRPr="00BF281D" w:rsidRDefault="00833E9A" w:rsidP="00F20F34">
            <w:pPr>
              <w:spacing w:after="0" w:line="240" w:lineRule="auto"/>
              <w:jc w:val="center"/>
              <w:rPr>
                <w:rFonts w:ascii="Calibri" w:eastAsia="Times New Roman" w:hAnsi="Calibri" w:cs="Calibri"/>
                <w:color w:val="000000"/>
                <w:sz w:val="22"/>
                <w:szCs w:val="22"/>
                <w:lang w:eastAsia="en-AU"/>
              </w:rPr>
            </w:pPr>
            <w:r w:rsidRPr="00BF281D">
              <w:rPr>
                <w:rFonts w:eastAsia="Times New Roman" w:cs="Times New Roman"/>
                <w:color w:val="000000"/>
                <w:sz w:val="16"/>
                <w:szCs w:val="16"/>
                <w:lang w:eastAsia="en-AU"/>
              </w:rPr>
              <w:t>500</w:t>
            </w:r>
          </w:p>
        </w:tc>
        <w:tc>
          <w:tcPr>
            <w:tcW w:w="1698" w:type="pct"/>
            <w:noWrap/>
            <w:vAlign w:val="center"/>
          </w:tcPr>
          <w:p w14:paraId="64DFF353" w14:textId="77777777" w:rsidR="00833E9A" w:rsidRPr="00BF281D" w:rsidRDefault="00833E9A" w:rsidP="00F20F34">
            <w:pPr>
              <w:spacing w:after="0" w:line="240" w:lineRule="auto"/>
              <w:jc w:val="center"/>
              <w:rPr>
                <w:rFonts w:ascii="Calibri" w:eastAsia="Times New Roman" w:hAnsi="Calibri" w:cs="Calibri"/>
                <w:b/>
                <w:bCs/>
                <w:color w:val="000000"/>
                <w:sz w:val="22"/>
                <w:szCs w:val="22"/>
                <w:lang w:eastAsia="en-AU"/>
              </w:rPr>
            </w:pPr>
            <w:r w:rsidRPr="00BF281D">
              <w:rPr>
                <w:rFonts w:eastAsia="Times New Roman" w:cs="Times New Roman"/>
                <w:color w:val="000000"/>
                <w:sz w:val="16"/>
                <w:szCs w:val="16"/>
                <w:lang w:eastAsia="en-AU"/>
              </w:rPr>
              <w:t>$7,405</w:t>
            </w:r>
          </w:p>
        </w:tc>
      </w:tr>
      <w:tr w:rsidR="00833E9A" w:rsidRPr="00BF281D" w14:paraId="04EB2245" w14:textId="77777777" w:rsidTr="00F20F34">
        <w:trPr>
          <w:cantSplit/>
          <w:trHeight w:val="380"/>
        </w:trPr>
        <w:tc>
          <w:tcPr>
            <w:tcW w:w="1833" w:type="pct"/>
            <w:vAlign w:val="center"/>
          </w:tcPr>
          <w:p w14:paraId="0D7A9AAC" w14:textId="77777777" w:rsidR="00833E9A" w:rsidRPr="00BF281D" w:rsidRDefault="00833E9A" w:rsidP="00F20F34">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Special access authorisation</w:t>
            </w:r>
          </w:p>
        </w:tc>
        <w:tc>
          <w:tcPr>
            <w:tcW w:w="1469" w:type="pct"/>
            <w:noWrap/>
            <w:vAlign w:val="center"/>
          </w:tcPr>
          <w:p w14:paraId="338C5EC6"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250</w:t>
            </w:r>
          </w:p>
        </w:tc>
        <w:tc>
          <w:tcPr>
            <w:tcW w:w="1698" w:type="pct"/>
            <w:noWrap/>
            <w:vAlign w:val="center"/>
          </w:tcPr>
          <w:p w14:paraId="2B1CA4CD"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$3,702</w:t>
            </w:r>
          </w:p>
        </w:tc>
      </w:tr>
      <w:tr w:rsidR="00833E9A" w:rsidRPr="00BF281D" w14:paraId="4CCB5816" w14:textId="77777777" w:rsidTr="00F20F34">
        <w:trPr>
          <w:cantSplit/>
          <w:trHeight w:val="380"/>
        </w:trPr>
        <w:tc>
          <w:tcPr>
            <w:tcW w:w="1833" w:type="pct"/>
            <w:vAlign w:val="center"/>
          </w:tcPr>
          <w:p w14:paraId="4B8E63B8" w14:textId="77777777" w:rsidR="00833E9A" w:rsidRPr="00BF281D" w:rsidRDefault="00833E9A" w:rsidP="00F20F34">
            <w:pPr>
              <w:spacing w:after="0" w:line="240" w:lineRule="auto"/>
              <w:rPr>
                <w:rFonts w:eastAsia="Times New Roman" w:cs="Times New Roman"/>
                <w:b/>
                <w:bCs/>
                <w:color w:val="000000"/>
                <w:sz w:val="16"/>
                <w:szCs w:val="16"/>
                <w:lang w:eastAsia="en-AU"/>
              </w:rPr>
            </w:pPr>
            <w:r w:rsidRPr="00BF281D">
              <w:rPr>
                <w:rFonts w:eastAsia="Times New Roman" w:cs="Times New Roman"/>
                <w:b/>
                <w:bCs/>
                <w:color w:val="000000"/>
                <w:sz w:val="16"/>
                <w:szCs w:val="16"/>
                <w:lang w:eastAsia="en-AU"/>
              </w:rPr>
              <w:t>Renewal fees</w:t>
            </w:r>
          </w:p>
        </w:tc>
        <w:tc>
          <w:tcPr>
            <w:tcW w:w="1469" w:type="pct"/>
            <w:noWrap/>
            <w:vAlign w:val="center"/>
          </w:tcPr>
          <w:p w14:paraId="30945B97" w14:textId="77777777" w:rsidR="00833E9A" w:rsidRPr="00BF281D" w:rsidRDefault="00833E9A" w:rsidP="00F20F34">
            <w:pPr>
              <w:spacing w:after="0" w:line="240" w:lineRule="auto"/>
              <w:jc w:val="center"/>
              <w:rPr>
                <w:rFonts w:eastAsia="Times New Roman" w:cs="Times New Roman"/>
                <w:b/>
                <w:bCs/>
                <w:color w:val="000000"/>
                <w:sz w:val="16"/>
                <w:szCs w:val="16"/>
                <w:lang w:eastAsia="en-AU"/>
              </w:rPr>
            </w:pPr>
          </w:p>
        </w:tc>
        <w:tc>
          <w:tcPr>
            <w:tcW w:w="1698" w:type="pct"/>
            <w:noWrap/>
            <w:vAlign w:val="center"/>
          </w:tcPr>
          <w:p w14:paraId="468A9037" w14:textId="77777777" w:rsidR="00833E9A" w:rsidRPr="00BF281D" w:rsidRDefault="00833E9A" w:rsidP="00F20F34">
            <w:pPr>
              <w:spacing w:after="0" w:line="240" w:lineRule="auto"/>
              <w:jc w:val="center"/>
              <w:rPr>
                <w:rFonts w:eastAsia="Times New Roman" w:cs="Times New Roman"/>
                <w:color w:val="000000"/>
                <w:sz w:val="16"/>
                <w:szCs w:val="16"/>
                <w:lang w:eastAsia="en-AU"/>
              </w:rPr>
            </w:pPr>
          </w:p>
        </w:tc>
      </w:tr>
      <w:tr w:rsidR="00833E9A" w:rsidRPr="00BF281D" w14:paraId="4C78E3A7" w14:textId="77777777" w:rsidTr="00F20F34">
        <w:trPr>
          <w:cantSplit/>
          <w:trHeight w:val="380"/>
        </w:trPr>
        <w:tc>
          <w:tcPr>
            <w:tcW w:w="1833" w:type="pct"/>
            <w:vAlign w:val="center"/>
          </w:tcPr>
          <w:p w14:paraId="2FFF101F" w14:textId="77777777" w:rsidR="00833E9A" w:rsidRPr="00BF281D" w:rsidRDefault="00833E9A" w:rsidP="00F20F34">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Renewal of exploration permit</w:t>
            </w:r>
          </w:p>
        </w:tc>
        <w:tc>
          <w:tcPr>
            <w:tcW w:w="1469" w:type="pct"/>
            <w:noWrap/>
            <w:vAlign w:val="center"/>
          </w:tcPr>
          <w:p w14:paraId="671A3DB7"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250</w:t>
            </w:r>
          </w:p>
        </w:tc>
        <w:tc>
          <w:tcPr>
            <w:tcW w:w="1698" w:type="pct"/>
            <w:noWrap/>
            <w:vAlign w:val="center"/>
          </w:tcPr>
          <w:p w14:paraId="74BE881E"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$3,702</w:t>
            </w:r>
          </w:p>
        </w:tc>
      </w:tr>
      <w:tr w:rsidR="00833E9A" w:rsidRPr="00BF281D" w14:paraId="66AA0E27" w14:textId="77777777" w:rsidTr="00F20F34">
        <w:trPr>
          <w:cantSplit/>
          <w:trHeight w:val="380"/>
        </w:trPr>
        <w:tc>
          <w:tcPr>
            <w:tcW w:w="1833" w:type="pct"/>
            <w:vAlign w:val="center"/>
          </w:tcPr>
          <w:p w14:paraId="54C26824" w14:textId="77777777" w:rsidR="00833E9A" w:rsidRPr="00BF281D" w:rsidRDefault="00833E9A" w:rsidP="00F20F34">
            <w:pPr>
              <w:spacing w:after="0" w:line="240" w:lineRule="auto"/>
              <w:rPr>
                <w:rFonts w:eastAsia="Times New Roman" w:cs="Times New Roman"/>
                <w:b/>
                <w:color w:val="000000"/>
                <w:sz w:val="16"/>
                <w:szCs w:val="16"/>
                <w:lang w:eastAsia="en-AU"/>
              </w:rPr>
            </w:pPr>
            <w:r w:rsidRPr="00BF281D">
              <w:rPr>
                <w:rFonts w:eastAsia="Times New Roman" w:cs="Times New Roman"/>
                <w:b/>
                <w:bCs/>
                <w:color w:val="000000"/>
                <w:sz w:val="16"/>
                <w:szCs w:val="16"/>
                <w:lang w:eastAsia="en-AU"/>
              </w:rPr>
              <w:t>Annual fees</w:t>
            </w:r>
          </w:p>
        </w:tc>
        <w:tc>
          <w:tcPr>
            <w:tcW w:w="1469" w:type="pct"/>
            <w:noWrap/>
            <w:vAlign w:val="center"/>
          </w:tcPr>
          <w:p w14:paraId="41220B30" w14:textId="77777777" w:rsidR="00833E9A" w:rsidRPr="00BF281D" w:rsidRDefault="00833E9A" w:rsidP="00F20F34">
            <w:pPr>
              <w:spacing w:after="0" w:line="240" w:lineRule="auto"/>
              <w:jc w:val="center"/>
              <w:rPr>
                <w:rFonts w:eastAsia="Times New Roman" w:cs="Times New Roman"/>
                <w:b/>
                <w:bCs/>
                <w:color w:val="000000"/>
                <w:sz w:val="16"/>
                <w:szCs w:val="16"/>
                <w:lang w:eastAsia="en-AU"/>
              </w:rPr>
            </w:pPr>
          </w:p>
        </w:tc>
        <w:tc>
          <w:tcPr>
            <w:tcW w:w="1698" w:type="pct"/>
            <w:noWrap/>
            <w:vAlign w:val="center"/>
          </w:tcPr>
          <w:p w14:paraId="52140FAC" w14:textId="77777777" w:rsidR="00833E9A" w:rsidRPr="00BF281D" w:rsidRDefault="00833E9A" w:rsidP="00F20F34">
            <w:pPr>
              <w:spacing w:after="0" w:line="240" w:lineRule="auto"/>
              <w:jc w:val="center"/>
              <w:rPr>
                <w:rFonts w:eastAsia="Times New Roman" w:cs="Times New Roman"/>
                <w:color w:val="000000"/>
                <w:sz w:val="16"/>
                <w:szCs w:val="16"/>
                <w:lang w:eastAsia="en-AU"/>
              </w:rPr>
            </w:pPr>
          </w:p>
        </w:tc>
      </w:tr>
      <w:tr w:rsidR="00833E9A" w:rsidRPr="00BF281D" w14:paraId="717A6DFF" w14:textId="77777777" w:rsidTr="00F20F34">
        <w:trPr>
          <w:cantSplit/>
          <w:trHeight w:val="380"/>
        </w:trPr>
        <w:tc>
          <w:tcPr>
            <w:tcW w:w="1833" w:type="pct"/>
            <w:vAlign w:val="center"/>
          </w:tcPr>
          <w:p w14:paraId="24EDD1C0" w14:textId="77777777" w:rsidR="00833E9A" w:rsidRPr="00BF281D" w:rsidRDefault="00833E9A" w:rsidP="00F20F34">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Exploration permit</w:t>
            </w:r>
          </w:p>
        </w:tc>
        <w:tc>
          <w:tcPr>
            <w:tcW w:w="1469" w:type="pct"/>
            <w:noWrap/>
            <w:vAlign w:val="center"/>
          </w:tcPr>
          <w:p w14:paraId="52947596"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500</w:t>
            </w:r>
          </w:p>
        </w:tc>
        <w:tc>
          <w:tcPr>
            <w:tcW w:w="1698" w:type="pct"/>
            <w:noWrap/>
            <w:vAlign w:val="center"/>
          </w:tcPr>
          <w:p w14:paraId="246FD63B"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$7,405</w:t>
            </w:r>
          </w:p>
        </w:tc>
      </w:tr>
      <w:tr w:rsidR="00833E9A" w:rsidRPr="00BF281D" w14:paraId="216678EE" w14:textId="77777777" w:rsidTr="00F20F34">
        <w:trPr>
          <w:cantSplit/>
          <w:trHeight w:val="380"/>
        </w:trPr>
        <w:tc>
          <w:tcPr>
            <w:tcW w:w="1833" w:type="pct"/>
            <w:vAlign w:val="center"/>
          </w:tcPr>
          <w:p w14:paraId="00DAC44E" w14:textId="77777777" w:rsidR="00833E9A" w:rsidRPr="00BF281D" w:rsidRDefault="00833E9A" w:rsidP="00F20F34">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Retention lease</w:t>
            </w:r>
          </w:p>
        </w:tc>
        <w:tc>
          <w:tcPr>
            <w:tcW w:w="1469" w:type="pct"/>
            <w:noWrap/>
            <w:vAlign w:val="center"/>
          </w:tcPr>
          <w:p w14:paraId="63A990C4"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700</w:t>
            </w:r>
          </w:p>
        </w:tc>
        <w:tc>
          <w:tcPr>
            <w:tcW w:w="1698" w:type="pct"/>
            <w:noWrap/>
            <w:vAlign w:val="center"/>
          </w:tcPr>
          <w:p w14:paraId="7B23A464"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$10,367</w:t>
            </w:r>
          </w:p>
        </w:tc>
      </w:tr>
      <w:tr w:rsidR="00833E9A" w:rsidRPr="00BF281D" w14:paraId="1653C43D" w14:textId="77777777" w:rsidTr="00F20F34">
        <w:trPr>
          <w:cantSplit/>
          <w:trHeight w:val="380"/>
        </w:trPr>
        <w:tc>
          <w:tcPr>
            <w:tcW w:w="1833" w:type="pct"/>
            <w:vAlign w:val="center"/>
          </w:tcPr>
          <w:p w14:paraId="733A0BD0" w14:textId="77777777" w:rsidR="00833E9A" w:rsidRPr="00BF281D" w:rsidRDefault="00833E9A" w:rsidP="00F20F34">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Production licence</w:t>
            </w:r>
          </w:p>
        </w:tc>
        <w:tc>
          <w:tcPr>
            <w:tcW w:w="1469" w:type="pct"/>
            <w:noWrap/>
            <w:vAlign w:val="center"/>
          </w:tcPr>
          <w:p w14:paraId="14E42419"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700</w:t>
            </w:r>
          </w:p>
        </w:tc>
        <w:tc>
          <w:tcPr>
            <w:tcW w:w="1698" w:type="pct"/>
            <w:noWrap/>
            <w:vAlign w:val="center"/>
          </w:tcPr>
          <w:p w14:paraId="0F499E8A"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$10,367</w:t>
            </w:r>
          </w:p>
        </w:tc>
      </w:tr>
      <w:tr w:rsidR="00833E9A" w:rsidRPr="00BF281D" w14:paraId="47442D74" w14:textId="77777777" w:rsidTr="00F20F34">
        <w:trPr>
          <w:cantSplit/>
          <w:trHeight w:val="380"/>
        </w:trPr>
        <w:tc>
          <w:tcPr>
            <w:tcW w:w="1833" w:type="pct"/>
            <w:vAlign w:val="center"/>
          </w:tcPr>
          <w:p w14:paraId="269C232A" w14:textId="77777777" w:rsidR="00833E9A" w:rsidRPr="00BF281D" w:rsidRDefault="00833E9A" w:rsidP="00F20F34">
            <w:pPr>
              <w:spacing w:after="0" w:line="240" w:lineRule="auto"/>
              <w:rPr>
                <w:rFonts w:eastAsia="Times New Roman" w:cs="Times New Roman"/>
                <w:b/>
                <w:bCs/>
                <w:color w:val="000000"/>
                <w:sz w:val="16"/>
                <w:szCs w:val="16"/>
                <w:lang w:eastAsia="en-AU"/>
              </w:rPr>
            </w:pPr>
            <w:r w:rsidRPr="00BF281D">
              <w:rPr>
                <w:rFonts w:eastAsia="Times New Roman" w:cs="Times New Roman"/>
                <w:b/>
                <w:bCs/>
                <w:color w:val="000000"/>
                <w:sz w:val="16"/>
                <w:szCs w:val="16"/>
                <w:lang w:eastAsia="en-AU"/>
              </w:rPr>
              <w:t>Transfer fee (partial or full)</w:t>
            </w:r>
          </w:p>
        </w:tc>
        <w:tc>
          <w:tcPr>
            <w:tcW w:w="1469" w:type="pct"/>
            <w:noWrap/>
            <w:vAlign w:val="center"/>
          </w:tcPr>
          <w:p w14:paraId="4EFDD547" w14:textId="77777777" w:rsidR="00833E9A" w:rsidRPr="00BF281D" w:rsidRDefault="00833E9A" w:rsidP="00F20F34">
            <w:pPr>
              <w:spacing w:after="0" w:line="240" w:lineRule="auto"/>
              <w:jc w:val="center"/>
              <w:rPr>
                <w:rFonts w:eastAsia="Times New Roman" w:cs="Times New Roman"/>
                <w:color w:val="000000"/>
                <w:sz w:val="16"/>
                <w:szCs w:val="16"/>
                <w:lang w:eastAsia="en-AU"/>
              </w:rPr>
            </w:pPr>
          </w:p>
        </w:tc>
        <w:tc>
          <w:tcPr>
            <w:tcW w:w="1698" w:type="pct"/>
            <w:noWrap/>
            <w:vAlign w:val="center"/>
          </w:tcPr>
          <w:p w14:paraId="7AEBE885" w14:textId="77777777" w:rsidR="00833E9A" w:rsidRPr="00BF281D" w:rsidRDefault="00833E9A" w:rsidP="00F20F34">
            <w:pPr>
              <w:spacing w:after="0" w:line="240" w:lineRule="auto"/>
              <w:jc w:val="center"/>
              <w:rPr>
                <w:rFonts w:eastAsia="Times New Roman" w:cs="Times New Roman"/>
                <w:color w:val="000000"/>
                <w:sz w:val="16"/>
                <w:szCs w:val="16"/>
                <w:lang w:eastAsia="en-AU"/>
              </w:rPr>
            </w:pPr>
          </w:p>
        </w:tc>
      </w:tr>
      <w:tr w:rsidR="00833E9A" w:rsidRPr="00BF281D" w14:paraId="30A7290A" w14:textId="77777777" w:rsidTr="00F20F34">
        <w:trPr>
          <w:cantSplit/>
          <w:trHeight w:val="380"/>
        </w:trPr>
        <w:tc>
          <w:tcPr>
            <w:tcW w:w="1833" w:type="pct"/>
            <w:vAlign w:val="center"/>
          </w:tcPr>
          <w:p w14:paraId="1D908DCA" w14:textId="77777777" w:rsidR="00833E9A" w:rsidRPr="00BF281D" w:rsidRDefault="00833E9A" w:rsidP="00F20F34">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Exploration permit</w:t>
            </w:r>
          </w:p>
        </w:tc>
        <w:tc>
          <w:tcPr>
            <w:tcW w:w="1469" w:type="pct"/>
            <w:noWrap/>
            <w:vAlign w:val="center"/>
          </w:tcPr>
          <w:p w14:paraId="4D9C3F45"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250</w:t>
            </w:r>
          </w:p>
        </w:tc>
        <w:tc>
          <w:tcPr>
            <w:tcW w:w="1698" w:type="pct"/>
            <w:noWrap/>
            <w:vAlign w:val="center"/>
          </w:tcPr>
          <w:p w14:paraId="7E341F71"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$3,702</w:t>
            </w:r>
          </w:p>
        </w:tc>
      </w:tr>
      <w:tr w:rsidR="00833E9A" w:rsidRPr="00BF281D" w14:paraId="6F650260" w14:textId="77777777" w:rsidTr="00F20F34">
        <w:trPr>
          <w:cantSplit/>
          <w:trHeight w:val="380"/>
        </w:trPr>
        <w:tc>
          <w:tcPr>
            <w:tcW w:w="1833" w:type="pct"/>
            <w:vAlign w:val="center"/>
          </w:tcPr>
          <w:p w14:paraId="17DE2932" w14:textId="77777777" w:rsidR="00833E9A" w:rsidRPr="00BF281D" w:rsidRDefault="00833E9A" w:rsidP="00F20F34">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Retention lease</w:t>
            </w:r>
          </w:p>
        </w:tc>
        <w:tc>
          <w:tcPr>
            <w:tcW w:w="1469" w:type="pct"/>
            <w:noWrap/>
            <w:vAlign w:val="center"/>
          </w:tcPr>
          <w:p w14:paraId="40DF1E5C"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150</w:t>
            </w:r>
          </w:p>
        </w:tc>
        <w:tc>
          <w:tcPr>
            <w:tcW w:w="1698" w:type="pct"/>
            <w:noWrap/>
            <w:vAlign w:val="center"/>
          </w:tcPr>
          <w:p w14:paraId="4A9C75EE"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$2,222</w:t>
            </w:r>
          </w:p>
        </w:tc>
      </w:tr>
      <w:tr w:rsidR="00833E9A" w:rsidRPr="00BF281D" w14:paraId="2AD53810" w14:textId="77777777" w:rsidTr="00F20F34">
        <w:trPr>
          <w:cantSplit/>
          <w:trHeight w:val="380"/>
        </w:trPr>
        <w:tc>
          <w:tcPr>
            <w:tcW w:w="1833" w:type="pct"/>
            <w:vAlign w:val="center"/>
          </w:tcPr>
          <w:p w14:paraId="111911B1" w14:textId="77777777" w:rsidR="00833E9A" w:rsidRPr="00BF281D" w:rsidRDefault="00833E9A" w:rsidP="00F20F34">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Production licence</w:t>
            </w:r>
          </w:p>
        </w:tc>
        <w:tc>
          <w:tcPr>
            <w:tcW w:w="1469" w:type="pct"/>
            <w:noWrap/>
            <w:vAlign w:val="center"/>
          </w:tcPr>
          <w:p w14:paraId="09C86DAC"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250</w:t>
            </w:r>
          </w:p>
        </w:tc>
        <w:tc>
          <w:tcPr>
            <w:tcW w:w="1698" w:type="pct"/>
            <w:noWrap/>
            <w:vAlign w:val="center"/>
          </w:tcPr>
          <w:p w14:paraId="69242611"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$3,702</w:t>
            </w:r>
          </w:p>
        </w:tc>
      </w:tr>
      <w:tr w:rsidR="00833E9A" w:rsidRPr="00BF281D" w14:paraId="28BECFE4" w14:textId="77777777" w:rsidTr="00F20F34">
        <w:trPr>
          <w:cantSplit/>
          <w:trHeight w:val="380"/>
        </w:trPr>
        <w:tc>
          <w:tcPr>
            <w:tcW w:w="1833" w:type="pct"/>
            <w:vAlign w:val="center"/>
          </w:tcPr>
          <w:p w14:paraId="50D48824" w14:textId="77777777" w:rsidR="00833E9A" w:rsidRPr="00BF281D" w:rsidRDefault="00833E9A" w:rsidP="00F20F34">
            <w:pPr>
              <w:spacing w:after="0" w:line="240" w:lineRule="auto"/>
              <w:rPr>
                <w:rFonts w:eastAsia="Times New Roman" w:cs="Times New Roman"/>
                <w:b/>
                <w:color w:val="000000"/>
                <w:sz w:val="16"/>
                <w:szCs w:val="16"/>
                <w:lang w:eastAsia="en-AU"/>
              </w:rPr>
            </w:pPr>
            <w:r w:rsidRPr="00BF281D">
              <w:rPr>
                <w:rFonts w:eastAsia="Times New Roman" w:cs="Times New Roman"/>
                <w:b/>
                <w:bCs/>
                <w:color w:val="000000"/>
                <w:sz w:val="16"/>
                <w:szCs w:val="16"/>
                <w:lang w:eastAsia="en-AU"/>
              </w:rPr>
              <w:t>Suspension or variation of conditions</w:t>
            </w:r>
          </w:p>
        </w:tc>
        <w:tc>
          <w:tcPr>
            <w:tcW w:w="1469" w:type="pct"/>
            <w:noWrap/>
            <w:vAlign w:val="center"/>
          </w:tcPr>
          <w:p w14:paraId="0477AE1D" w14:textId="77777777" w:rsidR="00833E9A" w:rsidRPr="00BF281D" w:rsidRDefault="00833E9A" w:rsidP="00F20F34">
            <w:pPr>
              <w:spacing w:after="0" w:line="240" w:lineRule="auto"/>
              <w:jc w:val="center"/>
              <w:rPr>
                <w:rFonts w:eastAsia="Times New Roman" w:cs="Times New Roman"/>
                <w:color w:val="000000"/>
                <w:sz w:val="16"/>
                <w:szCs w:val="16"/>
                <w:lang w:eastAsia="en-AU"/>
              </w:rPr>
            </w:pPr>
          </w:p>
        </w:tc>
        <w:tc>
          <w:tcPr>
            <w:tcW w:w="1698" w:type="pct"/>
            <w:noWrap/>
            <w:vAlign w:val="center"/>
          </w:tcPr>
          <w:p w14:paraId="7E5F4AA0" w14:textId="77777777" w:rsidR="00833E9A" w:rsidRPr="00BF281D" w:rsidRDefault="00833E9A" w:rsidP="00F20F34">
            <w:pPr>
              <w:spacing w:after="0" w:line="240" w:lineRule="auto"/>
              <w:jc w:val="center"/>
              <w:rPr>
                <w:rFonts w:eastAsia="Times New Roman" w:cs="Times New Roman"/>
                <w:color w:val="000000"/>
                <w:sz w:val="16"/>
                <w:szCs w:val="16"/>
                <w:lang w:eastAsia="en-AU"/>
              </w:rPr>
            </w:pPr>
          </w:p>
        </w:tc>
      </w:tr>
      <w:tr w:rsidR="00833E9A" w:rsidRPr="00BF281D" w14:paraId="7A4CA439" w14:textId="77777777" w:rsidTr="00F20F34">
        <w:trPr>
          <w:cantSplit/>
          <w:trHeight w:val="380"/>
        </w:trPr>
        <w:tc>
          <w:tcPr>
            <w:tcW w:w="1833" w:type="pct"/>
            <w:vAlign w:val="center"/>
          </w:tcPr>
          <w:p w14:paraId="3B3A29BB" w14:textId="77777777" w:rsidR="00833E9A" w:rsidRPr="00BF281D" w:rsidRDefault="00833E9A" w:rsidP="00F20F34">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Exploration permit</w:t>
            </w:r>
          </w:p>
        </w:tc>
        <w:tc>
          <w:tcPr>
            <w:tcW w:w="1469" w:type="pct"/>
            <w:noWrap/>
            <w:vAlign w:val="center"/>
          </w:tcPr>
          <w:p w14:paraId="415FC4D9"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150</w:t>
            </w:r>
          </w:p>
        </w:tc>
        <w:tc>
          <w:tcPr>
            <w:tcW w:w="1698" w:type="pct"/>
            <w:noWrap/>
            <w:vAlign w:val="center"/>
          </w:tcPr>
          <w:p w14:paraId="120F917A"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$2,222</w:t>
            </w:r>
          </w:p>
        </w:tc>
      </w:tr>
      <w:tr w:rsidR="00833E9A" w:rsidRPr="00BF281D" w14:paraId="4A4749A0" w14:textId="77777777" w:rsidTr="00F20F34">
        <w:trPr>
          <w:cantSplit/>
          <w:trHeight w:val="380"/>
        </w:trPr>
        <w:tc>
          <w:tcPr>
            <w:tcW w:w="1833" w:type="pct"/>
            <w:vAlign w:val="center"/>
          </w:tcPr>
          <w:p w14:paraId="694513AB" w14:textId="77777777" w:rsidR="00833E9A" w:rsidRPr="00BF281D" w:rsidRDefault="00833E9A" w:rsidP="00F20F34">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Retention lease</w:t>
            </w:r>
          </w:p>
        </w:tc>
        <w:tc>
          <w:tcPr>
            <w:tcW w:w="1469" w:type="pct"/>
            <w:noWrap/>
            <w:vAlign w:val="center"/>
          </w:tcPr>
          <w:p w14:paraId="1A1075CB"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150</w:t>
            </w:r>
          </w:p>
        </w:tc>
        <w:tc>
          <w:tcPr>
            <w:tcW w:w="1698" w:type="pct"/>
            <w:noWrap/>
            <w:vAlign w:val="center"/>
          </w:tcPr>
          <w:p w14:paraId="0483AB17"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$2,222</w:t>
            </w:r>
          </w:p>
        </w:tc>
      </w:tr>
      <w:tr w:rsidR="00833E9A" w:rsidRPr="00BF281D" w14:paraId="168B0B36" w14:textId="77777777" w:rsidTr="00F20F34">
        <w:trPr>
          <w:cantSplit/>
          <w:trHeight w:val="380"/>
        </w:trPr>
        <w:tc>
          <w:tcPr>
            <w:tcW w:w="1833" w:type="pct"/>
            <w:vAlign w:val="center"/>
          </w:tcPr>
          <w:p w14:paraId="2BE068C7" w14:textId="77777777" w:rsidR="00833E9A" w:rsidRPr="00BF281D" w:rsidRDefault="00833E9A" w:rsidP="00F20F34">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Production licence</w:t>
            </w:r>
          </w:p>
        </w:tc>
        <w:tc>
          <w:tcPr>
            <w:tcW w:w="1469" w:type="pct"/>
            <w:noWrap/>
            <w:vAlign w:val="center"/>
          </w:tcPr>
          <w:p w14:paraId="5B20521D"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150</w:t>
            </w:r>
          </w:p>
        </w:tc>
        <w:tc>
          <w:tcPr>
            <w:tcW w:w="1698" w:type="pct"/>
            <w:noWrap/>
            <w:vAlign w:val="center"/>
          </w:tcPr>
          <w:p w14:paraId="01FB08BE" w14:textId="77777777" w:rsidR="00833E9A" w:rsidRPr="00BF281D" w:rsidRDefault="00833E9A" w:rsidP="00F20F34">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$2,222</w:t>
            </w:r>
          </w:p>
        </w:tc>
      </w:tr>
    </w:tbl>
    <w:p w14:paraId="6F39D435" w14:textId="3CA43719" w:rsidR="00833E9A" w:rsidRDefault="00833E9A" w:rsidP="00833E9A">
      <w:r w:rsidRPr="00BF281D">
        <w:br/>
      </w:r>
      <w:r w:rsidRPr="00B57963">
        <w:t>Fees were set</w:t>
      </w:r>
      <w:r w:rsidRPr="00BF281D">
        <w:t xml:space="preserve"> when the Regulations were made in 2011 to reflect full cost recovery at the time. </w:t>
      </w:r>
      <w:r w:rsidRPr="00817682">
        <w:t xml:space="preserve">Because </w:t>
      </w:r>
      <w:r w:rsidR="008C108B">
        <w:t xml:space="preserve">fees </w:t>
      </w:r>
      <w:r>
        <w:t>are set</w:t>
      </w:r>
      <w:r w:rsidRPr="00817682">
        <w:t xml:space="preserve"> in </w:t>
      </w:r>
      <w:r>
        <w:t>fee</w:t>
      </w:r>
      <w:r w:rsidRPr="00817682">
        <w:t xml:space="preserve"> units, they </w:t>
      </w:r>
      <w:r>
        <w:t>have been indexed</w:t>
      </w:r>
      <w:r w:rsidRPr="00817682">
        <w:t xml:space="preserve"> to reflect</w:t>
      </w:r>
      <w:r>
        <w:t xml:space="preserve"> the </w:t>
      </w:r>
      <w:r w:rsidRPr="00B57963">
        <w:t xml:space="preserve">increasing cost recovery requirements for government, reflecting the growth in cost to government in regulating the industry.  The fees rate was not indexed by the Victorian Treasurer for FY 2020-21, due to the COVID-19 pandemic, therefore fees remained at the same level as for FY2019-20. </w:t>
      </w:r>
    </w:p>
    <w:p w14:paraId="3EE44141" w14:textId="2C37F68E" w:rsidR="00833E9A" w:rsidRPr="00BF281D" w:rsidRDefault="00833E9A" w:rsidP="00833E9A">
      <w:r>
        <w:lastRenderedPageBreak/>
        <w:t>At a later point in time, a broader review of the existing fees and charges will be completed to consider their appropriateness and whether any changes need to be made (such as the introduction or removal of any fees / charges). It is therefore proposed that the existing fees and charges will remain unchanged under the proposed regulations.</w:t>
      </w:r>
    </w:p>
    <w:p w14:paraId="59DD1265" w14:textId="77777777" w:rsidR="00833E9A" w:rsidRPr="00BF281D" w:rsidRDefault="00833E9A" w:rsidP="00A772E7"/>
    <w:p w14:paraId="0AA35928" w14:textId="6EE16F58" w:rsidR="007543C4" w:rsidRPr="00BF281D" w:rsidRDefault="0028216B" w:rsidP="00101F6E">
      <w:pPr>
        <w:pStyle w:val="Heading1"/>
        <w:numPr>
          <w:ilvl w:val="0"/>
          <w:numId w:val="1"/>
        </w:numPr>
      </w:pPr>
      <w:bookmarkStart w:id="112" w:name="_Ref64634182"/>
      <w:bookmarkStart w:id="113" w:name="_Toc69839581"/>
      <w:r w:rsidRPr="00BF281D">
        <w:lastRenderedPageBreak/>
        <w:t xml:space="preserve">Options </w:t>
      </w:r>
      <w:r w:rsidR="00101F6E" w:rsidRPr="00BF281D">
        <w:t>analysis</w:t>
      </w:r>
      <w:bookmarkEnd w:id="112"/>
      <w:bookmarkEnd w:id="113"/>
      <w:r w:rsidR="00101F6E" w:rsidRPr="00BF281D">
        <w:t xml:space="preserve"> </w:t>
      </w:r>
    </w:p>
    <w:p w14:paraId="663389D9" w14:textId="3ACB7A1E" w:rsidR="007B3F68" w:rsidRPr="00BF281D" w:rsidRDefault="007B3F68" w:rsidP="007B3F68">
      <w:pPr>
        <w:pStyle w:val="Heading2"/>
        <w:spacing w:line="240" w:lineRule="atLeast"/>
        <w:ind w:left="576" w:hanging="576"/>
      </w:pPr>
      <w:bookmarkStart w:id="114" w:name="_Toc68799697"/>
      <w:bookmarkStart w:id="115" w:name="_Toc68799742"/>
      <w:bookmarkStart w:id="116" w:name="_Toc68799698"/>
      <w:bookmarkStart w:id="117" w:name="_Toc68799743"/>
      <w:bookmarkStart w:id="118" w:name="_Toc68799699"/>
      <w:bookmarkStart w:id="119" w:name="_Toc68799744"/>
      <w:bookmarkStart w:id="120" w:name="_Toc68799700"/>
      <w:bookmarkStart w:id="121" w:name="_Toc68799745"/>
      <w:bookmarkStart w:id="122" w:name="_Toc68799702"/>
      <w:bookmarkStart w:id="123" w:name="_Toc68799747"/>
      <w:bookmarkStart w:id="124" w:name="_Toc68799703"/>
      <w:bookmarkStart w:id="125" w:name="_Toc68799748"/>
      <w:bookmarkStart w:id="126" w:name="_Toc68799704"/>
      <w:bookmarkStart w:id="127" w:name="_Toc68799749"/>
      <w:bookmarkStart w:id="128" w:name="_Toc68799705"/>
      <w:bookmarkStart w:id="129" w:name="_Toc68799750"/>
      <w:bookmarkStart w:id="130" w:name="_Toc68799706"/>
      <w:bookmarkStart w:id="131" w:name="_Toc68799751"/>
      <w:bookmarkStart w:id="132" w:name="_Toc17892136"/>
      <w:bookmarkStart w:id="133" w:name="_Toc19092414"/>
      <w:bookmarkStart w:id="134" w:name="_Toc69839582"/>
      <w:bookmarkStart w:id="135" w:name="_Toc67663764"/>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1528D0">
        <w:rPr>
          <w:color w:val="012169" w:themeColor="accent4"/>
        </w:rPr>
        <w:t>Method of assessment</w:t>
      </w:r>
      <w:bookmarkEnd w:id="132"/>
      <w:bookmarkEnd w:id="133"/>
      <w:bookmarkEnd w:id="134"/>
      <w:bookmarkEnd w:id="135"/>
    </w:p>
    <w:p w14:paraId="3B2B0CE3" w14:textId="05A4F66E" w:rsidR="007B3F68" w:rsidRPr="00BF281D" w:rsidRDefault="007B3F68" w:rsidP="007B3F68">
      <w:pPr>
        <w:pStyle w:val="BodyText"/>
        <w:spacing w:after="120"/>
        <w:rPr>
          <w:rFonts w:asciiTheme="minorHAnsi" w:hAnsiTheme="minorHAnsi" w:cstheme="minorHAnsi"/>
        </w:rPr>
      </w:pPr>
      <w:r w:rsidRPr="00BF281D">
        <w:rPr>
          <w:rFonts w:asciiTheme="minorHAnsi" w:hAnsiTheme="minorHAnsi" w:cstheme="minorHAnsi"/>
        </w:rPr>
        <w:t>The options in this RIS have been assessed using Multi-Criteria Analysis (MCA)</w:t>
      </w:r>
      <w:r w:rsidR="006F7D93">
        <w:rPr>
          <w:rFonts w:asciiTheme="minorHAnsi" w:hAnsiTheme="minorHAnsi" w:cstheme="minorHAnsi"/>
        </w:rPr>
        <w:t>.</w:t>
      </w:r>
      <w:r w:rsidRPr="00BF281D">
        <w:t xml:space="preserve"> This approach has been chosen because it provides a robust way of evaluating the disparate and qualitative data that is available. The MCA provides a structured and transparent approach that can balance the different impacts, for example safety versus amenity/environment.</w:t>
      </w:r>
    </w:p>
    <w:p w14:paraId="7D9A27F1" w14:textId="1B93ED64" w:rsidR="00F72B17" w:rsidRPr="00BF281D" w:rsidRDefault="007B3F68" w:rsidP="007B3F68">
      <w:pPr>
        <w:pStyle w:val="BodyText"/>
        <w:spacing w:after="120"/>
        <w:rPr>
          <w:rFonts w:cs="Segoe UI Light"/>
          <w:szCs w:val="20"/>
        </w:rPr>
      </w:pPr>
      <w:r w:rsidRPr="00BF281D">
        <w:rPr>
          <w:rFonts w:cs="Segoe UI Light"/>
          <w:szCs w:val="20"/>
        </w:rPr>
        <w:t xml:space="preserve">MCA requires judgement of how the proposed options will contribute to a series of criteria that are chosen to reflect the benefits and costs associated with each option. Each criterion is assigned a weight reflecting its importance to the policy decision, and a weighted score is then derived for each option. The option with the highest weighted score is the preferred option. </w:t>
      </w:r>
    </w:p>
    <w:p w14:paraId="1DFB53B2" w14:textId="3FA7560D" w:rsidR="007B3F68" w:rsidRPr="00817682" w:rsidRDefault="007B3F68" w:rsidP="007B3F68">
      <w:pPr>
        <w:pStyle w:val="BodyText"/>
        <w:spacing w:after="120"/>
        <w:rPr>
          <w:rFonts w:cs="Segoe UI Light"/>
          <w:szCs w:val="20"/>
        </w:rPr>
      </w:pPr>
    </w:p>
    <w:p w14:paraId="4DC692FA" w14:textId="77777777" w:rsidR="007B3F68" w:rsidRPr="00BF281D" w:rsidRDefault="007B3F68" w:rsidP="007B3F68">
      <w:pPr>
        <w:ind w:left="720"/>
        <w:rPr>
          <w:b/>
          <w:bCs/>
          <w:i/>
          <w:iCs/>
        </w:rPr>
      </w:pPr>
      <w:bookmarkStart w:id="136" w:name="_Toc343800661"/>
      <w:bookmarkStart w:id="137" w:name="_Toc463522724"/>
      <w:bookmarkStart w:id="138" w:name="_Toc466973118"/>
      <w:r w:rsidRPr="00BF281D">
        <w:rPr>
          <w:b/>
          <w:bCs/>
          <w:i/>
          <w:iCs/>
        </w:rPr>
        <w:t xml:space="preserve">What is an MCA approach? </w:t>
      </w:r>
    </w:p>
    <w:p w14:paraId="56016D51" w14:textId="77777777" w:rsidR="007B3F68" w:rsidRPr="00BF281D" w:rsidRDefault="007B3F68" w:rsidP="007B3F68">
      <w:pPr>
        <w:ind w:left="720"/>
        <w:rPr>
          <w:i/>
          <w:iCs/>
        </w:rPr>
      </w:pPr>
      <w:r w:rsidRPr="00BF281D">
        <w:rPr>
          <w:i/>
          <w:iCs/>
        </w:rPr>
        <w:t>MCA refers to a range of techniques to assess policy options against decision criteria. MCA enables options to be compared in a way that utilises quantitative and qualitative evidence fully. The approach enables the inclusion of a wider range of criteria — including social and environmental considerations for example — than those used in a typical financial analysis. In addition, the approach is transparent — necessary subjective judgements and assumptions made to determine options and criteria, and to assign scores and weights are made explicitly. The preferences of the decision maker reflected in these judgements and assumptions can be readily changed in a sensitivity analysis or to incorporate alternative indicators of community preference.</w:t>
      </w:r>
    </w:p>
    <w:bookmarkEnd w:id="136"/>
    <w:bookmarkEnd w:id="137"/>
    <w:bookmarkEnd w:id="138"/>
    <w:p w14:paraId="0FCB96DE" w14:textId="77777777" w:rsidR="007B3F68" w:rsidRPr="00BF281D" w:rsidRDefault="007B3F68" w:rsidP="007B3F68">
      <w:pPr>
        <w:rPr>
          <w:rFonts w:eastAsia="Verdana" w:cs="Times New Roman"/>
        </w:rPr>
      </w:pPr>
      <w:r w:rsidRPr="00BF281D">
        <w:rPr>
          <w:rFonts w:eastAsia="Verdana" w:cs="Times New Roman"/>
        </w:rPr>
        <w:br/>
        <w:t>MCA involves:</w:t>
      </w:r>
    </w:p>
    <w:p w14:paraId="10677F58" w14:textId="77777777" w:rsidR="007B3F68" w:rsidRPr="00BF281D" w:rsidRDefault="007B3F68" w:rsidP="007B3F68">
      <w:pPr>
        <w:numPr>
          <w:ilvl w:val="0"/>
          <w:numId w:val="29"/>
        </w:numPr>
        <w:contextualSpacing/>
        <w:rPr>
          <w:rFonts w:eastAsia="Verdana" w:cs="Times New Roman"/>
        </w:rPr>
      </w:pPr>
      <w:r w:rsidRPr="00BF281D">
        <w:rPr>
          <w:rFonts w:eastAsia="Verdana" w:cs="Times New Roman"/>
        </w:rPr>
        <w:t>specifying several assessment criteria informed by policy strategy and objectives</w:t>
      </w:r>
    </w:p>
    <w:p w14:paraId="6D8D0B63" w14:textId="77777777" w:rsidR="007B3F68" w:rsidRPr="00BF281D" w:rsidRDefault="007B3F68" w:rsidP="007B3F68">
      <w:pPr>
        <w:numPr>
          <w:ilvl w:val="0"/>
          <w:numId w:val="29"/>
        </w:numPr>
        <w:contextualSpacing/>
        <w:rPr>
          <w:rFonts w:eastAsia="Verdana" w:cs="Times New Roman"/>
        </w:rPr>
      </w:pPr>
      <w:r w:rsidRPr="00BF281D">
        <w:rPr>
          <w:rFonts w:eastAsia="Verdana" w:cs="Times New Roman"/>
        </w:rPr>
        <w:t>assigning a weighting to each criterion</w:t>
      </w:r>
    </w:p>
    <w:p w14:paraId="56FACC8D" w14:textId="77777777" w:rsidR="007B3F68" w:rsidRPr="00BF281D" w:rsidRDefault="007B3F68" w:rsidP="007B3F68">
      <w:pPr>
        <w:numPr>
          <w:ilvl w:val="0"/>
          <w:numId w:val="29"/>
        </w:numPr>
        <w:contextualSpacing/>
        <w:rPr>
          <w:rFonts w:eastAsia="Verdana" w:cs="Times New Roman"/>
        </w:rPr>
      </w:pPr>
      <w:r w:rsidRPr="00BF281D">
        <w:rPr>
          <w:rFonts w:eastAsia="Verdana" w:cs="Times New Roman"/>
        </w:rPr>
        <w:t>assigning scores for each option in relation to each criterion</w:t>
      </w:r>
    </w:p>
    <w:p w14:paraId="6E86132A" w14:textId="77777777" w:rsidR="007B3F68" w:rsidRPr="00BF281D" w:rsidRDefault="007B3F68" w:rsidP="007B3F68">
      <w:pPr>
        <w:numPr>
          <w:ilvl w:val="0"/>
          <w:numId w:val="29"/>
        </w:numPr>
        <w:contextualSpacing/>
        <w:rPr>
          <w:rFonts w:eastAsia="Verdana" w:cs="Times New Roman"/>
        </w:rPr>
      </w:pPr>
      <w:r w:rsidRPr="00BF281D">
        <w:rPr>
          <w:rFonts w:eastAsia="Verdana" w:cs="Times New Roman"/>
        </w:rPr>
        <w:t>calculating a weighted score for each option.</w:t>
      </w:r>
      <w:r w:rsidRPr="00BF281D">
        <w:rPr>
          <w:rFonts w:eastAsia="Verdana" w:cs="Times New Roman"/>
        </w:rPr>
        <w:br/>
      </w:r>
    </w:p>
    <w:p w14:paraId="289A1936" w14:textId="77777777" w:rsidR="007B3F68" w:rsidRPr="00BF281D" w:rsidRDefault="007B3F68" w:rsidP="007B3F68">
      <w:pPr>
        <w:rPr>
          <w:rFonts w:eastAsia="Verdana" w:cs="Times New Roman"/>
        </w:rPr>
      </w:pPr>
      <w:r w:rsidRPr="00BF281D">
        <w:rPr>
          <w:rFonts w:eastAsia="Verdana" w:cs="Times New Roman"/>
        </w:rPr>
        <w:t>The preferred option is then chosen as the option with the highest weighted score.</w:t>
      </w:r>
    </w:p>
    <w:p w14:paraId="3AC5F646" w14:textId="77777777" w:rsidR="007B3F68" w:rsidRPr="00BF281D" w:rsidRDefault="007B3F68" w:rsidP="007B3F68">
      <w:pPr>
        <w:rPr>
          <w:b/>
          <w:bCs/>
        </w:rPr>
      </w:pPr>
      <w:r w:rsidRPr="00BF281D">
        <w:rPr>
          <w:rFonts w:eastAsia="Verdana" w:cs="Times New Roman"/>
        </w:rPr>
        <w:t xml:space="preserve">To avoid bias, the total weight for cost and benefit criteria is 50% each. The specific weights for each criterion are chosen based on the relative importance of the criteria. </w:t>
      </w:r>
    </w:p>
    <w:p w14:paraId="5785A41C" w14:textId="77777777" w:rsidR="007B3F68" w:rsidRPr="00BF281D" w:rsidRDefault="007B3F68" w:rsidP="007B3F68">
      <w:pPr>
        <w:spacing w:after="240"/>
        <w:rPr>
          <w:rFonts w:asciiTheme="minorHAnsi" w:hAnsiTheme="minorHAnsi" w:cstheme="minorHAnsi"/>
        </w:rPr>
      </w:pPr>
      <w:r w:rsidRPr="00BF281D">
        <w:rPr>
          <w:rFonts w:asciiTheme="minorHAnsi" w:hAnsiTheme="minorHAnsi" w:cstheme="minorHAnsi"/>
        </w:rPr>
        <w:t xml:space="preserve">The criterion rating scale has a range of –10 to +10, where a score of zero represents no change from the reference case. </w:t>
      </w:r>
    </w:p>
    <w:p w14:paraId="3CF5A75B" w14:textId="77777777" w:rsidR="007B3F68" w:rsidRPr="00BF281D" w:rsidRDefault="007B3F68" w:rsidP="007B3F68">
      <w:pPr>
        <w:pStyle w:val="CaptionTable"/>
        <w:rPr>
          <w:iCs/>
        </w:rPr>
      </w:pPr>
      <w:bookmarkStart w:id="139" w:name="_Toc68799769"/>
      <w:bookmarkStart w:id="140" w:name="_Toc67663779"/>
      <w:r w:rsidRPr="001528D0">
        <w:rPr>
          <w:color w:val="auto"/>
        </w:rPr>
        <w:t xml:space="preserve">: </w:t>
      </w:r>
      <w:r w:rsidRPr="001528D0">
        <w:rPr>
          <w:iCs/>
          <w:color w:val="auto"/>
        </w:rPr>
        <w:t>MCA Scale</w:t>
      </w:r>
      <w:bookmarkEnd w:id="139"/>
      <w:bookmarkEnd w:id="140"/>
    </w:p>
    <w:tbl>
      <w:tblPr>
        <w:tblStyle w:val="Deloittetable"/>
        <w:tblW w:w="0" w:type="auto"/>
        <w:tblLayout w:type="fixed"/>
        <w:tblLook w:val="04A0" w:firstRow="1" w:lastRow="0" w:firstColumn="1" w:lastColumn="0" w:noHBand="0" w:noVBand="1"/>
      </w:tblPr>
      <w:tblGrid>
        <w:gridCol w:w="993"/>
        <w:gridCol w:w="5103"/>
      </w:tblGrid>
      <w:tr w:rsidR="007B3F68" w:rsidRPr="00BF281D" w14:paraId="35AB6788" w14:textId="77777777" w:rsidTr="00853D09">
        <w:trPr>
          <w:cnfStyle w:val="100000000000" w:firstRow="1" w:lastRow="0" w:firstColumn="0" w:lastColumn="0" w:oddVBand="0" w:evenVBand="0" w:oddHBand="0" w:evenHBand="0" w:firstRowFirstColumn="0" w:firstRowLastColumn="0" w:lastRowFirstColumn="0" w:lastRowLastColumn="0"/>
        </w:trPr>
        <w:tc>
          <w:tcPr>
            <w:tcW w:w="993" w:type="dxa"/>
          </w:tcPr>
          <w:p w14:paraId="37221817" w14:textId="77777777" w:rsidR="007B3F68" w:rsidRPr="00012DD6" w:rsidRDefault="007B3F68" w:rsidP="00853D09">
            <w:pPr>
              <w:spacing w:after="0" w:line="240" w:lineRule="auto"/>
              <w:rPr>
                <w:rFonts w:eastAsia="Times New Roman" w:cs="Arial"/>
                <w:b/>
                <w:sz w:val="18"/>
                <w:szCs w:val="20"/>
              </w:rPr>
            </w:pPr>
            <w:r w:rsidRPr="00012DD6">
              <w:rPr>
                <w:rFonts w:eastAsia="Times New Roman" w:cs="Arial"/>
                <w:b/>
                <w:szCs w:val="20"/>
              </w:rPr>
              <w:t>Score</w:t>
            </w:r>
          </w:p>
        </w:tc>
        <w:tc>
          <w:tcPr>
            <w:tcW w:w="5103" w:type="dxa"/>
          </w:tcPr>
          <w:p w14:paraId="3202EF84" w14:textId="77777777" w:rsidR="007B3F68" w:rsidRPr="00012DD6" w:rsidRDefault="007B3F68" w:rsidP="00853D09">
            <w:pPr>
              <w:keepNext/>
              <w:keepLines/>
              <w:spacing w:after="0" w:line="240" w:lineRule="auto"/>
              <w:jc w:val="center"/>
              <w:rPr>
                <w:rFonts w:eastAsia="Times New Roman" w:cs="Arial"/>
                <w:b/>
                <w:sz w:val="18"/>
                <w:szCs w:val="20"/>
              </w:rPr>
            </w:pPr>
            <w:r w:rsidRPr="00012DD6">
              <w:rPr>
                <w:rFonts w:eastAsia="Times New Roman" w:cs="Arial"/>
                <w:b/>
                <w:szCs w:val="20"/>
              </w:rPr>
              <w:t>Description</w:t>
            </w:r>
          </w:p>
        </w:tc>
      </w:tr>
      <w:tr w:rsidR="007B3F68" w:rsidRPr="00BF281D" w14:paraId="5552A7AD" w14:textId="77777777" w:rsidTr="00853D09">
        <w:tc>
          <w:tcPr>
            <w:tcW w:w="993" w:type="dxa"/>
          </w:tcPr>
          <w:p w14:paraId="0BAF9850" w14:textId="77777777" w:rsidR="007B3F68" w:rsidRPr="00BF281D" w:rsidRDefault="007B3F68" w:rsidP="00853D09">
            <w:pPr>
              <w:tabs>
                <w:tab w:val="left" w:pos="3011"/>
              </w:tabs>
              <w:spacing w:after="0" w:line="240" w:lineRule="auto"/>
              <w:ind w:right="-249"/>
              <w:jc w:val="both"/>
              <w:rPr>
                <w:sz w:val="18"/>
                <w:szCs w:val="20"/>
              </w:rPr>
            </w:pPr>
            <w:r w:rsidRPr="00BF281D">
              <w:rPr>
                <w:sz w:val="18"/>
                <w:szCs w:val="20"/>
              </w:rPr>
              <w:t>-10</w:t>
            </w:r>
          </w:p>
        </w:tc>
        <w:tc>
          <w:tcPr>
            <w:tcW w:w="5103" w:type="dxa"/>
          </w:tcPr>
          <w:p w14:paraId="6A72E89C" w14:textId="77777777" w:rsidR="007B3F68" w:rsidRPr="00BF281D" w:rsidRDefault="007B3F68" w:rsidP="00853D09">
            <w:pPr>
              <w:spacing w:after="0" w:line="240" w:lineRule="auto"/>
              <w:ind w:left="1168"/>
              <w:rPr>
                <w:sz w:val="18"/>
                <w:szCs w:val="20"/>
              </w:rPr>
            </w:pPr>
            <w:r w:rsidRPr="00BF281D">
              <w:rPr>
                <w:sz w:val="18"/>
                <w:szCs w:val="20"/>
              </w:rPr>
              <w:t>Much worse than the reference case</w:t>
            </w:r>
          </w:p>
        </w:tc>
      </w:tr>
      <w:tr w:rsidR="007B3F68" w:rsidRPr="00BF281D" w14:paraId="109484BC" w14:textId="77777777" w:rsidTr="00853D09">
        <w:tc>
          <w:tcPr>
            <w:tcW w:w="993" w:type="dxa"/>
          </w:tcPr>
          <w:p w14:paraId="5EF76D1D" w14:textId="77777777" w:rsidR="007B3F68" w:rsidRPr="00BF281D" w:rsidRDefault="007B3F68" w:rsidP="00853D09">
            <w:pPr>
              <w:tabs>
                <w:tab w:val="left" w:pos="3011"/>
              </w:tabs>
              <w:spacing w:after="0" w:line="240" w:lineRule="auto"/>
              <w:ind w:right="-249"/>
              <w:jc w:val="both"/>
              <w:rPr>
                <w:sz w:val="18"/>
                <w:szCs w:val="20"/>
              </w:rPr>
            </w:pPr>
            <w:r w:rsidRPr="00BF281D">
              <w:rPr>
                <w:sz w:val="18"/>
                <w:szCs w:val="20"/>
              </w:rPr>
              <w:t>-5</w:t>
            </w:r>
          </w:p>
        </w:tc>
        <w:tc>
          <w:tcPr>
            <w:tcW w:w="5103" w:type="dxa"/>
          </w:tcPr>
          <w:p w14:paraId="5521E67F" w14:textId="77777777" w:rsidR="007B3F68" w:rsidRPr="00BF281D" w:rsidRDefault="007B3F68" w:rsidP="00853D09">
            <w:pPr>
              <w:spacing w:after="0" w:line="240" w:lineRule="auto"/>
              <w:ind w:left="1168"/>
              <w:rPr>
                <w:sz w:val="18"/>
                <w:szCs w:val="20"/>
              </w:rPr>
            </w:pPr>
            <w:r w:rsidRPr="00BF281D">
              <w:rPr>
                <w:sz w:val="18"/>
                <w:szCs w:val="20"/>
              </w:rPr>
              <w:t>Somewhat worse than the reference case</w:t>
            </w:r>
          </w:p>
        </w:tc>
      </w:tr>
      <w:tr w:rsidR="007B3F68" w:rsidRPr="00BF281D" w14:paraId="352F83A6" w14:textId="77777777" w:rsidTr="00853D09">
        <w:tc>
          <w:tcPr>
            <w:tcW w:w="993" w:type="dxa"/>
          </w:tcPr>
          <w:p w14:paraId="2CB4D7AC" w14:textId="77777777" w:rsidR="007B3F68" w:rsidRPr="00BF281D" w:rsidRDefault="007B3F68" w:rsidP="00853D09">
            <w:pPr>
              <w:tabs>
                <w:tab w:val="left" w:pos="3011"/>
              </w:tabs>
              <w:spacing w:after="0" w:line="240" w:lineRule="auto"/>
              <w:ind w:right="-249"/>
              <w:jc w:val="both"/>
              <w:rPr>
                <w:sz w:val="18"/>
                <w:szCs w:val="20"/>
              </w:rPr>
            </w:pPr>
            <w:r w:rsidRPr="00BF281D">
              <w:rPr>
                <w:sz w:val="18"/>
                <w:szCs w:val="20"/>
              </w:rPr>
              <w:t>0</w:t>
            </w:r>
          </w:p>
        </w:tc>
        <w:tc>
          <w:tcPr>
            <w:tcW w:w="5103" w:type="dxa"/>
          </w:tcPr>
          <w:p w14:paraId="30C29DE1" w14:textId="77777777" w:rsidR="007B3F68" w:rsidRPr="00BF281D" w:rsidRDefault="007B3F68" w:rsidP="00853D09">
            <w:pPr>
              <w:spacing w:after="0" w:line="240" w:lineRule="auto"/>
              <w:ind w:left="1168"/>
              <w:rPr>
                <w:sz w:val="18"/>
                <w:szCs w:val="20"/>
              </w:rPr>
            </w:pPr>
            <w:r w:rsidRPr="00BF281D">
              <w:rPr>
                <w:sz w:val="18"/>
                <w:szCs w:val="20"/>
              </w:rPr>
              <w:t>No change from the reference case</w:t>
            </w:r>
          </w:p>
        </w:tc>
      </w:tr>
      <w:tr w:rsidR="007B3F68" w:rsidRPr="00BF281D" w14:paraId="77A30284" w14:textId="77777777" w:rsidTr="00853D09">
        <w:tc>
          <w:tcPr>
            <w:tcW w:w="993" w:type="dxa"/>
          </w:tcPr>
          <w:p w14:paraId="7ADA5902" w14:textId="77777777" w:rsidR="007B3F68" w:rsidRPr="00BF281D" w:rsidRDefault="007B3F68" w:rsidP="00853D09">
            <w:pPr>
              <w:tabs>
                <w:tab w:val="left" w:pos="3011"/>
              </w:tabs>
              <w:spacing w:after="0" w:line="240" w:lineRule="auto"/>
              <w:ind w:right="-249"/>
              <w:jc w:val="both"/>
              <w:rPr>
                <w:sz w:val="18"/>
                <w:szCs w:val="20"/>
              </w:rPr>
            </w:pPr>
            <w:r w:rsidRPr="00BF281D">
              <w:rPr>
                <w:sz w:val="18"/>
                <w:szCs w:val="20"/>
              </w:rPr>
              <w:t>+5</w:t>
            </w:r>
          </w:p>
        </w:tc>
        <w:tc>
          <w:tcPr>
            <w:tcW w:w="5103" w:type="dxa"/>
          </w:tcPr>
          <w:p w14:paraId="25959C89" w14:textId="77777777" w:rsidR="007B3F68" w:rsidRPr="00BF281D" w:rsidRDefault="007B3F68" w:rsidP="00853D09">
            <w:pPr>
              <w:spacing w:after="0" w:line="240" w:lineRule="auto"/>
              <w:ind w:left="1168"/>
              <w:rPr>
                <w:sz w:val="18"/>
                <w:szCs w:val="20"/>
              </w:rPr>
            </w:pPr>
            <w:r w:rsidRPr="00BF281D">
              <w:rPr>
                <w:sz w:val="18"/>
                <w:szCs w:val="20"/>
              </w:rPr>
              <w:t xml:space="preserve">Somewhat better than the reference case </w:t>
            </w:r>
          </w:p>
        </w:tc>
      </w:tr>
      <w:tr w:rsidR="007B3F68" w:rsidRPr="00BF281D" w14:paraId="2E79C161" w14:textId="77777777" w:rsidTr="00853D09">
        <w:tc>
          <w:tcPr>
            <w:tcW w:w="993" w:type="dxa"/>
          </w:tcPr>
          <w:p w14:paraId="43A47E7C" w14:textId="77777777" w:rsidR="007B3F68" w:rsidRPr="00BF281D" w:rsidRDefault="007B3F68" w:rsidP="00853D09">
            <w:pPr>
              <w:tabs>
                <w:tab w:val="left" w:pos="3011"/>
              </w:tabs>
              <w:spacing w:after="0" w:line="240" w:lineRule="auto"/>
              <w:ind w:right="-249"/>
              <w:jc w:val="both"/>
              <w:rPr>
                <w:sz w:val="18"/>
                <w:szCs w:val="20"/>
              </w:rPr>
            </w:pPr>
            <w:r w:rsidRPr="00BF281D">
              <w:rPr>
                <w:sz w:val="18"/>
                <w:szCs w:val="20"/>
              </w:rPr>
              <w:t>+10</w:t>
            </w:r>
          </w:p>
        </w:tc>
        <w:tc>
          <w:tcPr>
            <w:tcW w:w="5103" w:type="dxa"/>
          </w:tcPr>
          <w:p w14:paraId="189530B1" w14:textId="77777777" w:rsidR="007B3F68" w:rsidRPr="00BF281D" w:rsidRDefault="007B3F68" w:rsidP="00853D09">
            <w:pPr>
              <w:spacing w:after="0" w:line="240" w:lineRule="auto"/>
              <w:ind w:left="1168"/>
              <w:rPr>
                <w:sz w:val="18"/>
                <w:szCs w:val="20"/>
              </w:rPr>
            </w:pPr>
            <w:r w:rsidRPr="00BF281D">
              <w:rPr>
                <w:sz w:val="18"/>
                <w:szCs w:val="20"/>
              </w:rPr>
              <w:t xml:space="preserve">Much better than the reference case </w:t>
            </w:r>
          </w:p>
        </w:tc>
      </w:tr>
    </w:tbl>
    <w:p w14:paraId="0FFC803B" w14:textId="77777777" w:rsidR="007B3F68" w:rsidRPr="00BF281D" w:rsidRDefault="007B3F68" w:rsidP="007B3F68"/>
    <w:p w14:paraId="1D1CB45C" w14:textId="22FBBF5A" w:rsidR="007B3F68" w:rsidRPr="00BF281D" w:rsidRDefault="007B3F68" w:rsidP="007B3F68">
      <w:r w:rsidRPr="00BF281D">
        <w:t>Costs and benefits captured in this chapter include the items that are directly relevant and attributable to the Petroleum Regulations.</w:t>
      </w:r>
    </w:p>
    <w:p w14:paraId="461B149C" w14:textId="1462C743" w:rsidR="00FD6C73" w:rsidRDefault="007B3F68" w:rsidP="001426ED">
      <w:r w:rsidRPr="00BF281D">
        <w:lastRenderedPageBreak/>
        <w:t>This RIS identifies costs and benefits that are difficult to quantify. In such circumstances, survey data, stakeholder consultations and relevant literature are used to inform a qualitative discussion of the cost or benefit.</w:t>
      </w:r>
    </w:p>
    <w:p w14:paraId="0302CA1D" w14:textId="77777777" w:rsidR="009A3163" w:rsidRPr="00BF281D" w:rsidRDefault="009A3163" w:rsidP="009A3163">
      <w:pPr>
        <w:pStyle w:val="Heading2"/>
        <w:spacing w:line="240" w:lineRule="atLeast"/>
        <w:ind w:left="576" w:hanging="576"/>
      </w:pPr>
      <w:bookmarkStart w:id="141" w:name="_Toc69839583"/>
      <w:bookmarkStart w:id="142" w:name="_Toc67663765"/>
      <w:r w:rsidRPr="001528D0">
        <w:rPr>
          <w:color w:val="012169" w:themeColor="accent4"/>
        </w:rPr>
        <w:t>Criteria</w:t>
      </w:r>
      <w:bookmarkEnd w:id="141"/>
      <w:bookmarkEnd w:id="142"/>
      <w:r w:rsidRPr="001528D0">
        <w:rPr>
          <w:color w:val="012169" w:themeColor="accent4"/>
        </w:rPr>
        <w:t xml:space="preserve"> </w:t>
      </w:r>
    </w:p>
    <w:p w14:paraId="1D107129" w14:textId="77777777" w:rsidR="009A3163" w:rsidRPr="00BF281D" w:rsidRDefault="009A3163" w:rsidP="009A3163">
      <w:r w:rsidRPr="00BF281D">
        <w:t>The options have been assessed based on a framework that considers the following criteria:</w:t>
      </w:r>
    </w:p>
    <w:p w14:paraId="1AD1F556" w14:textId="77777777" w:rsidR="009A3163" w:rsidRPr="00BF281D" w:rsidRDefault="009A3163" w:rsidP="009A3163">
      <w:pPr>
        <w:pStyle w:val="CaptionTable"/>
      </w:pPr>
      <w:bookmarkStart w:id="143" w:name="_Toc68799770"/>
      <w:bookmarkStart w:id="144" w:name="_Toc67663780"/>
      <w:r w:rsidRPr="001528D0">
        <w:rPr>
          <w:color w:val="auto"/>
        </w:rPr>
        <w:t>: MCA criteria and weights</w:t>
      </w:r>
      <w:bookmarkEnd w:id="143"/>
      <w:bookmarkEnd w:id="144"/>
    </w:p>
    <w:tbl>
      <w:tblPr>
        <w:tblStyle w:val="Deloittetable"/>
        <w:tblW w:w="5000" w:type="pct"/>
        <w:tblLook w:val="04A0" w:firstRow="1" w:lastRow="0" w:firstColumn="1" w:lastColumn="0" w:noHBand="0" w:noVBand="1"/>
      </w:tblPr>
      <w:tblGrid>
        <w:gridCol w:w="5630"/>
        <w:gridCol w:w="2916"/>
        <w:gridCol w:w="1121"/>
      </w:tblGrid>
      <w:tr w:rsidR="009A3163" w:rsidRPr="00BF281D" w14:paraId="34B12A1A" w14:textId="77777777" w:rsidTr="005030E8">
        <w:trPr>
          <w:cnfStyle w:val="100000000000" w:firstRow="1" w:lastRow="0" w:firstColumn="0" w:lastColumn="0" w:oddVBand="0" w:evenVBand="0" w:oddHBand="0" w:evenHBand="0" w:firstRowFirstColumn="0" w:firstRowLastColumn="0" w:lastRowFirstColumn="0" w:lastRowLastColumn="0"/>
          <w:trHeight w:val="321"/>
          <w:tblHeader/>
        </w:trPr>
        <w:tc>
          <w:tcPr>
            <w:tcW w:w="3080" w:type="pct"/>
          </w:tcPr>
          <w:p w14:paraId="03BD9AA5" w14:textId="77777777" w:rsidR="009A3163" w:rsidRPr="00BF281D" w:rsidRDefault="009A3163" w:rsidP="005030E8">
            <w:pPr>
              <w:spacing w:after="0" w:line="240" w:lineRule="auto"/>
              <w:rPr>
                <w:rFonts w:eastAsia="Times New Roman" w:cs="Calibri"/>
                <w:b/>
                <w:bCs/>
                <w:color w:val="000000"/>
                <w:sz w:val="16"/>
                <w:szCs w:val="16"/>
                <w:lang w:eastAsia="en-AU"/>
              </w:rPr>
            </w:pPr>
            <w:r w:rsidRPr="00BF281D">
              <w:rPr>
                <w:rFonts w:eastAsia="Times New Roman" w:cs="Calibri"/>
                <w:b/>
                <w:bCs/>
                <w:color w:val="000000"/>
                <w:sz w:val="16"/>
                <w:szCs w:val="16"/>
                <w:lang w:eastAsia="en-AU"/>
              </w:rPr>
              <w:t>Benefit criteria</w:t>
            </w:r>
          </w:p>
        </w:tc>
        <w:tc>
          <w:tcPr>
            <w:tcW w:w="1172" w:type="pct"/>
            <w:noWrap/>
            <w:vAlign w:val="center"/>
          </w:tcPr>
          <w:p w14:paraId="1BE25A79" w14:textId="77777777" w:rsidR="009A3163" w:rsidRPr="00BF281D" w:rsidRDefault="009A3163" w:rsidP="005030E8">
            <w:pPr>
              <w:spacing w:after="0" w:line="240" w:lineRule="auto"/>
              <w:rPr>
                <w:rFonts w:eastAsia="Times New Roman" w:cs="Calibri"/>
                <w:b/>
                <w:bCs/>
                <w:color w:val="000000"/>
                <w:sz w:val="16"/>
                <w:szCs w:val="16"/>
                <w:lang w:eastAsia="en-AU"/>
              </w:rPr>
            </w:pPr>
            <w:r w:rsidRPr="00BF281D">
              <w:rPr>
                <w:rFonts w:eastAsia="Times New Roman" w:cs="Calibri"/>
                <w:b/>
                <w:bCs/>
                <w:color w:val="000000"/>
                <w:sz w:val="16"/>
                <w:szCs w:val="16"/>
                <w:lang w:eastAsia="en-AU"/>
              </w:rPr>
              <w:t>Primarily relates to problem(s)</w:t>
            </w:r>
          </w:p>
        </w:tc>
        <w:tc>
          <w:tcPr>
            <w:tcW w:w="749" w:type="pct"/>
            <w:noWrap/>
            <w:vAlign w:val="center"/>
          </w:tcPr>
          <w:p w14:paraId="55B5A614" w14:textId="77777777" w:rsidR="009A3163" w:rsidRPr="00BF281D" w:rsidRDefault="009A3163" w:rsidP="005030E8">
            <w:pPr>
              <w:spacing w:after="0" w:line="240" w:lineRule="auto"/>
              <w:rPr>
                <w:rFonts w:eastAsia="Times New Roman" w:cs="Calibri"/>
                <w:b/>
                <w:bCs/>
                <w:color w:val="000000"/>
                <w:sz w:val="16"/>
                <w:szCs w:val="16"/>
                <w:lang w:eastAsia="en-AU"/>
              </w:rPr>
            </w:pPr>
            <w:r w:rsidRPr="00BF281D">
              <w:rPr>
                <w:rFonts w:eastAsia="Times New Roman" w:cs="Calibri"/>
                <w:b/>
                <w:bCs/>
                <w:color w:val="000000"/>
                <w:sz w:val="16"/>
                <w:szCs w:val="16"/>
                <w:lang w:eastAsia="en-AU"/>
              </w:rPr>
              <w:t>Weighting</w:t>
            </w:r>
          </w:p>
        </w:tc>
      </w:tr>
      <w:tr w:rsidR="009A3163" w:rsidRPr="00BF281D" w14:paraId="6DB2BF80" w14:textId="77777777" w:rsidTr="005030E8">
        <w:trPr>
          <w:trHeight w:val="341"/>
        </w:trPr>
        <w:tc>
          <w:tcPr>
            <w:tcW w:w="3080" w:type="pct"/>
            <w:vAlign w:val="center"/>
          </w:tcPr>
          <w:p w14:paraId="0BA90350" w14:textId="77777777" w:rsidR="009A3163" w:rsidRPr="00BF281D" w:rsidRDefault="009A3163" w:rsidP="005030E8">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Encourage onshore conventional petroleum resource exploration and development in Victoria. </w:t>
            </w:r>
          </w:p>
        </w:tc>
        <w:tc>
          <w:tcPr>
            <w:tcW w:w="1172" w:type="pct"/>
            <w:noWrap/>
            <w:vAlign w:val="center"/>
          </w:tcPr>
          <w:p w14:paraId="6DF0BBB2" w14:textId="77777777" w:rsidR="009A3163" w:rsidRPr="00BF281D" w:rsidRDefault="009A3163" w:rsidP="005030E8">
            <w:pPr>
              <w:spacing w:after="0" w:line="240" w:lineRule="auto"/>
              <w:jc w:val="center"/>
              <w:rPr>
                <w:rFonts w:ascii="Calibri" w:eastAsia="Times New Roman" w:hAnsi="Calibri" w:cs="Calibri"/>
                <w:color w:val="000000"/>
                <w:lang w:eastAsia="en-AU"/>
              </w:rPr>
            </w:pPr>
            <w:r w:rsidRPr="00BF281D">
              <w:rPr>
                <w:rFonts w:eastAsia="Times New Roman" w:cs="Times New Roman"/>
                <w:color w:val="000000"/>
                <w:sz w:val="16"/>
                <w:szCs w:val="16"/>
                <w:lang w:eastAsia="en-AU"/>
              </w:rPr>
              <w:t>1, 3</w:t>
            </w:r>
          </w:p>
        </w:tc>
        <w:tc>
          <w:tcPr>
            <w:tcW w:w="749" w:type="pct"/>
            <w:noWrap/>
            <w:vAlign w:val="center"/>
          </w:tcPr>
          <w:p w14:paraId="475D9F3D" w14:textId="77777777" w:rsidR="009A3163" w:rsidRPr="00BF281D" w:rsidRDefault="009A3163" w:rsidP="005030E8">
            <w:pPr>
              <w:spacing w:after="0" w:line="240" w:lineRule="auto"/>
              <w:jc w:val="center"/>
              <w:rPr>
                <w:rFonts w:ascii="Calibri" w:eastAsia="Times New Roman" w:hAnsi="Calibri" w:cs="Calibri"/>
                <w:color w:val="000000"/>
                <w:lang w:eastAsia="en-AU"/>
              </w:rPr>
            </w:pPr>
            <w:r w:rsidRPr="00BF281D">
              <w:rPr>
                <w:rFonts w:eastAsia="Times New Roman" w:cs="Times New Roman"/>
                <w:color w:val="000000"/>
                <w:sz w:val="16"/>
                <w:szCs w:val="16"/>
                <w:lang w:eastAsia="en-AU"/>
              </w:rPr>
              <w:t>16.67%</w:t>
            </w:r>
          </w:p>
        </w:tc>
      </w:tr>
      <w:tr w:rsidR="009A3163" w:rsidRPr="00BF281D" w14:paraId="12E9BFF9" w14:textId="77777777" w:rsidTr="005030E8">
        <w:trPr>
          <w:trHeight w:val="427"/>
        </w:trPr>
        <w:tc>
          <w:tcPr>
            <w:tcW w:w="3080" w:type="pct"/>
            <w:vAlign w:val="center"/>
          </w:tcPr>
          <w:p w14:paraId="7D697141" w14:textId="164AA939" w:rsidR="009A3163" w:rsidRPr="00BF281D" w:rsidRDefault="009A3163" w:rsidP="005030E8">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Build community </w:t>
            </w:r>
            <w:r w:rsidR="0054704E">
              <w:rPr>
                <w:rFonts w:eastAsia="Times New Roman" w:cs="Times New Roman"/>
                <w:color w:val="000000"/>
                <w:sz w:val="16"/>
                <w:szCs w:val="16"/>
                <w:lang w:eastAsia="en-AU"/>
              </w:rPr>
              <w:t>social license</w:t>
            </w:r>
            <w:r w:rsidRPr="00BF281D">
              <w:rPr>
                <w:rFonts w:eastAsia="Times New Roman" w:cs="Times New Roman"/>
                <w:color w:val="000000"/>
                <w:sz w:val="16"/>
                <w:szCs w:val="16"/>
                <w:lang w:eastAsia="en-AU"/>
              </w:rPr>
              <w:t xml:space="preserve"> in the onshore conventional petroleum resource sector. </w:t>
            </w:r>
          </w:p>
        </w:tc>
        <w:tc>
          <w:tcPr>
            <w:tcW w:w="1172" w:type="pct"/>
            <w:noWrap/>
            <w:vAlign w:val="center"/>
          </w:tcPr>
          <w:p w14:paraId="512AD036" w14:textId="77777777" w:rsidR="009A3163" w:rsidRPr="00BF281D" w:rsidRDefault="009A3163" w:rsidP="005030E8">
            <w:pPr>
              <w:spacing w:after="0" w:line="240" w:lineRule="auto"/>
              <w:jc w:val="center"/>
              <w:rPr>
                <w:rFonts w:ascii="Calibri" w:eastAsia="Times New Roman" w:hAnsi="Calibri" w:cs="Calibri"/>
                <w:color w:val="000000"/>
                <w:lang w:eastAsia="en-AU"/>
              </w:rPr>
            </w:pPr>
            <w:r w:rsidRPr="00BF281D">
              <w:rPr>
                <w:rFonts w:eastAsia="Times New Roman" w:cs="Times New Roman"/>
                <w:color w:val="000000"/>
                <w:sz w:val="16"/>
                <w:szCs w:val="16"/>
                <w:lang w:eastAsia="en-AU"/>
              </w:rPr>
              <w:t>2, 3</w:t>
            </w:r>
          </w:p>
        </w:tc>
        <w:tc>
          <w:tcPr>
            <w:tcW w:w="749" w:type="pct"/>
            <w:noWrap/>
            <w:vAlign w:val="center"/>
          </w:tcPr>
          <w:p w14:paraId="72827C5C" w14:textId="77777777" w:rsidR="009A3163" w:rsidRPr="00BF281D" w:rsidRDefault="009A3163" w:rsidP="005030E8">
            <w:pPr>
              <w:spacing w:after="0" w:line="240" w:lineRule="auto"/>
              <w:jc w:val="center"/>
              <w:rPr>
                <w:rFonts w:ascii="Calibri" w:eastAsia="Times New Roman" w:hAnsi="Calibri" w:cs="Calibri"/>
                <w:color w:val="000000"/>
                <w:lang w:eastAsia="en-AU"/>
              </w:rPr>
            </w:pPr>
            <w:r w:rsidRPr="00BF281D">
              <w:rPr>
                <w:rFonts w:eastAsia="Times New Roman" w:cs="Times New Roman"/>
                <w:color w:val="000000"/>
                <w:sz w:val="16"/>
                <w:szCs w:val="16"/>
                <w:lang w:eastAsia="en-AU"/>
              </w:rPr>
              <w:t>16.67%</w:t>
            </w:r>
          </w:p>
        </w:tc>
      </w:tr>
      <w:tr w:rsidR="009A3163" w:rsidRPr="00BF281D" w14:paraId="35349517" w14:textId="77777777" w:rsidTr="005030E8">
        <w:trPr>
          <w:trHeight w:val="380"/>
        </w:trPr>
        <w:tc>
          <w:tcPr>
            <w:tcW w:w="3080" w:type="pct"/>
            <w:vAlign w:val="center"/>
          </w:tcPr>
          <w:p w14:paraId="2C767253" w14:textId="77777777" w:rsidR="009A3163" w:rsidRPr="00BF281D" w:rsidRDefault="009A3163" w:rsidP="005030E8">
            <w:pPr>
              <w:spacing w:after="0" w:line="240" w:lineRule="auto"/>
              <w:rPr>
                <w:rFonts w:ascii="Calibri" w:eastAsia="Times New Roman" w:hAnsi="Calibri" w:cs="Calibri"/>
                <w:b/>
                <w:bCs/>
                <w:color w:val="000000"/>
                <w:lang w:eastAsia="en-AU"/>
              </w:rPr>
            </w:pPr>
            <w:r w:rsidRPr="00BF281D">
              <w:rPr>
                <w:rFonts w:eastAsia="Times New Roman" w:cs="Times New Roman"/>
                <w:color w:val="000000"/>
                <w:sz w:val="16"/>
                <w:szCs w:val="16"/>
                <w:lang w:eastAsia="en-AU"/>
              </w:rPr>
              <w:t xml:space="preserve">Minimise risk to improve outcomes for the environment, public </w:t>
            </w:r>
            <w:proofErr w:type="gramStart"/>
            <w:r w:rsidRPr="00BF281D">
              <w:rPr>
                <w:rFonts w:eastAsia="Times New Roman" w:cs="Times New Roman"/>
                <w:color w:val="000000"/>
                <w:sz w:val="16"/>
                <w:szCs w:val="16"/>
                <w:lang w:eastAsia="en-AU"/>
              </w:rPr>
              <w:t>safety</w:t>
            </w:r>
            <w:proofErr w:type="gramEnd"/>
            <w:r w:rsidRPr="00BF281D">
              <w:rPr>
                <w:rFonts w:eastAsia="Times New Roman" w:cs="Times New Roman"/>
                <w:color w:val="000000"/>
                <w:sz w:val="16"/>
                <w:szCs w:val="16"/>
                <w:lang w:eastAsia="en-AU"/>
              </w:rPr>
              <w:t xml:space="preserve"> and amenity as they relate to petroleum development in Victoria</w:t>
            </w:r>
          </w:p>
        </w:tc>
        <w:tc>
          <w:tcPr>
            <w:tcW w:w="1172" w:type="pct"/>
            <w:noWrap/>
            <w:vAlign w:val="center"/>
          </w:tcPr>
          <w:p w14:paraId="570C9CD6" w14:textId="77777777" w:rsidR="009A3163" w:rsidRPr="00BF281D" w:rsidRDefault="009A3163" w:rsidP="005030E8">
            <w:pPr>
              <w:spacing w:after="0" w:line="240" w:lineRule="auto"/>
              <w:jc w:val="center"/>
              <w:rPr>
                <w:rFonts w:ascii="Calibri" w:eastAsia="Times New Roman" w:hAnsi="Calibri" w:cs="Calibri"/>
                <w:color w:val="000000"/>
                <w:lang w:eastAsia="en-AU"/>
              </w:rPr>
            </w:pPr>
            <w:r w:rsidRPr="00BF281D">
              <w:rPr>
                <w:rFonts w:eastAsia="Times New Roman" w:cs="Times New Roman"/>
                <w:color w:val="000000"/>
                <w:sz w:val="16"/>
                <w:szCs w:val="16"/>
                <w:lang w:eastAsia="en-AU"/>
              </w:rPr>
              <w:t>2, 3</w:t>
            </w:r>
          </w:p>
        </w:tc>
        <w:tc>
          <w:tcPr>
            <w:tcW w:w="749" w:type="pct"/>
            <w:noWrap/>
            <w:vAlign w:val="center"/>
          </w:tcPr>
          <w:p w14:paraId="19E9B0E9" w14:textId="77777777" w:rsidR="009A3163" w:rsidRPr="00BF281D" w:rsidRDefault="009A3163" w:rsidP="005030E8">
            <w:pPr>
              <w:spacing w:after="0" w:line="240" w:lineRule="auto"/>
              <w:jc w:val="center"/>
              <w:rPr>
                <w:rFonts w:ascii="Calibri" w:eastAsia="Times New Roman" w:hAnsi="Calibri" w:cs="Calibri"/>
                <w:b/>
                <w:bCs/>
                <w:color w:val="000000"/>
                <w:lang w:eastAsia="en-AU"/>
              </w:rPr>
            </w:pPr>
            <w:r w:rsidRPr="00BF281D">
              <w:rPr>
                <w:rFonts w:eastAsia="Times New Roman" w:cs="Times New Roman"/>
                <w:color w:val="000000"/>
                <w:sz w:val="16"/>
                <w:szCs w:val="16"/>
                <w:lang w:eastAsia="en-AU"/>
              </w:rPr>
              <w:t>16.67%</w:t>
            </w:r>
          </w:p>
        </w:tc>
      </w:tr>
      <w:tr w:rsidR="009A3163" w:rsidRPr="00BF281D" w14:paraId="59390C52" w14:textId="77777777" w:rsidTr="005030E8">
        <w:trPr>
          <w:trHeight w:val="380"/>
        </w:trPr>
        <w:tc>
          <w:tcPr>
            <w:tcW w:w="3080" w:type="pct"/>
            <w:vAlign w:val="center"/>
          </w:tcPr>
          <w:p w14:paraId="3D4860E8" w14:textId="77777777" w:rsidR="009A3163" w:rsidRPr="00BF281D" w:rsidRDefault="009A3163" w:rsidP="005030E8">
            <w:pPr>
              <w:spacing w:after="0" w:line="240" w:lineRule="auto"/>
              <w:rPr>
                <w:rFonts w:eastAsia="Times New Roman" w:cs="Times New Roman"/>
                <w:b/>
                <w:bCs/>
                <w:color w:val="000000"/>
                <w:sz w:val="16"/>
                <w:szCs w:val="16"/>
                <w:lang w:eastAsia="en-AU"/>
              </w:rPr>
            </w:pPr>
            <w:r w:rsidRPr="00BF281D">
              <w:rPr>
                <w:rFonts w:eastAsia="Times New Roman" w:cs="Times New Roman"/>
                <w:b/>
                <w:bCs/>
                <w:color w:val="000000"/>
                <w:sz w:val="16"/>
                <w:szCs w:val="16"/>
                <w:lang w:eastAsia="en-AU"/>
              </w:rPr>
              <w:t>Cost criteria</w:t>
            </w:r>
          </w:p>
        </w:tc>
        <w:tc>
          <w:tcPr>
            <w:tcW w:w="1172" w:type="pct"/>
            <w:noWrap/>
            <w:vAlign w:val="center"/>
          </w:tcPr>
          <w:p w14:paraId="1CBA7E0C" w14:textId="77777777" w:rsidR="009A3163" w:rsidRPr="00BF281D" w:rsidRDefault="009A3163" w:rsidP="005030E8">
            <w:pPr>
              <w:spacing w:after="0" w:line="240" w:lineRule="auto"/>
              <w:jc w:val="center"/>
              <w:rPr>
                <w:rFonts w:eastAsia="Times New Roman" w:cs="Times New Roman"/>
                <w:b/>
                <w:bCs/>
                <w:color w:val="000000"/>
                <w:sz w:val="16"/>
                <w:szCs w:val="16"/>
                <w:lang w:eastAsia="en-AU"/>
              </w:rPr>
            </w:pPr>
            <w:r w:rsidRPr="00BF281D">
              <w:rPr>
                <w:rFonts w:eastAsia="Times New Roman" w:cs="Times New Roman"/>
                <w:b/>
                <w:bCs/>
                <w:color w:val="000000"/>
                <w:sz w:val="16"/>
                <w:szCs w:val="16"/>
                <w:lang w:eastAsia="en-AU"/>
              </w:rPr>
              <w:t>-</w:t>
            </w:r>
          </w:p>
        </w:tc>
        <w:tc>
          <w:tcPr>
            <w:tcW w:w="749" w:type="pct"/>
            <w:noWrap/>
            <w:vAlign w:val="center"/>
          </w:tcPr>
          <w:p w14:paraId="39825D10" w14:textId="77777777" w:rsidR="009A3163" w:rsidRPr="00BF281D" w:rsidRDefault="009A3163" w:rsidP="005030E8">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w:t>
            </w:r>
          </w:p>
        </w:tc>
      </w:tr>
      <w:tr w:rsidR="009A3163" w:rsidRPr="00BF281D" w14:paraId="3F8E88DC" w14:textId="77777777" w:rsidTr="005030E8">
        <w:trPr>
          <w:trHeight w:val="380"/>
        </w:trPr>
        <w:tc>
          <w:tcPr>
            <w:tcW w:w="3080" w:type="pct"/>
            <w:vAlign w:val="center"/>
          </w:tcPr>
          <w:p w14:paraId="7C9A9A00" w14:textId="3A407310" w:rsidR="009A3163" w:rsidRPr="00BF281D" w:rsidRDefault="009A3163" w:rsidP="005030E8">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Cost to industry. This primarily reflects the compliance </w:t>
            </w:r>
            <w:r w:rsidR="00F972A0" w:rsidRPr="00BF281D">
              <w:rPr>
                <w:rFonts w:eastAsia="Times New Roman" w:cs="Times New Roman"/>
                <w:color w:val="000000"/>
                <w:sz w:val="16"/>
                <w:szCs w:val="16"/>
                <w:lang w:eastAsia="en-AU"/>
              </w:rPr>
              <w:t>c</w:t>
            </w:r>
            <w:r w:rsidR="00F972A0" w:rsidRPr="00BF281D">
              <w:rPr>
                <w:rFonts w:eastAsia="Times New Roman" w:cs="Times New Roman"/>
                <w:color w:val="000000"/>
                <w:lang w:eastAsia="en-AU"/>
              </w:rPr>
              <w:t>osts</w:t>
            </w:r>
            <w:r w:rsidR="00F972A0" w:rsidRPr="00BF281D">
              <w:rPr>
                <w:rFonts w:eastAsia="Times New Roman" w:cs="Times New Roman"/>
                <w:color w:val="000000"/>
                <w:sz w:val="16"/>
                <w:szCs w:val="16"/>
                <w:lang w:eastAsia="en-AU"/>
              </w:rPr>
              <w:t xml:space="preserve"> </w:t>
            </w:r>
            <w:r w:rsidRPr="00BF281D">
              <w:rPr>
                <w:rFonts w:eastAsia="Times New Roman" w:cs="Times New Roman"/>
                <w:color w:val="000000"/>
                <w:sz w:val="16"/>
                <w:szCs w:val="16"/>
                <w:lang w:eastAsia="en-AU"/>
              </w:rPr>
              <w:t xml:space="preserve">of the proposed options on petroleum firms. This includes costs of preparing materials to gain approval of plans prior to commencement of operations, and similar costs incurred during operations. </w:t>
            </w:r>
          </w:p>
        </w:tc>
        <w:tc>
          <w:tcPr>
            <w:tcW w:w="1172" w:type="pct"/>
            <w:noWrap/>
            <w:vAlign w:val="center"/>
          </w:tcPr>
          <w:p w14:paraId="5212E7A3" w14:textId="77777777" w:rsidR="009A3163" w:rsidRPr="00BF281D" w:rsidRDefault="009A3163" w:rsidP="005030E8">
            <w:pPr>
              <w:spacing w:after="0" w:line="240" w:lineRule="auto"/>
              <w:jc w:val="center"/>
              <w:rPr>
                <w:rFonts w:eastAsia="Times New Roman" w:cs="Times New Roman"/>
                <w:b/>
                <w:bCs/>
                <w:color w:val="000000"/>
                <w:sz w:val="16"/>
                <w:szCs w:val="16"/>
                <w:lang w:eastAsia="en-AU"/>
              </w:rPr>
            </w:pPr>
            <w:r w:rsidRPr="00BF281D">
              <w:rPr>
                <w:rFonts w:eastAsia="Times New Roman" w:cs="Times New Roman"/>
                <w:b/>
                <w:bCs/>
                <w:color w:val="000000"/>
                <w:sz w:val="16"/>
                <w:szCs w:val="16"/>
                <w:lang w:eastAsia="en-AU"/>
              </w:rPr>
              <w:t>-</w:t>
            </w:r>
          </w:p>
        </w:tc>
        <w:tc>
          <w:tcPr>
            <w:tcW w:w="749" w:type="pct"/>
            <w:noWrap/>
            <w:vAlign w:val="center"/>
          </w:tcPr>
          <w:p w14:paraId="3A4D38F3" w14:textId="77777777" w:rsidR="009A3163" w:rsidRPr="00BF281D" w:rsidRDefault="009A3163" w:rsidP="005030E8">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25%</w:t>
            </w:r>
          </w:p>
        </w:tc>
      </w:tr>
      <w:tr w:rsidR="009A3163" w:rsidRPr="00BF281D" w14:paraId="1FD99F5C" w14:textId="77777777" w:rsidTr="005030E8">
        <w:trPr>
          <w:trHeight w:val="380"/>
        </w:trPr>
        <w:tc>
          <w:tcPr>
            <w:tcW w:w="3080" w:type="pct"/>
            <w:vAlign w:val="center"/>
          </w:tcPr>
          <w:p w14:paraId="5A253DCE" w14:textId="77777777" w:rsidR="009A3163" w:rsidRPr="00BF281D" w:rsidRDefault="009A3163" w:rsidP="005030E8">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Cost to government. This primarily reflects the resourcing requirements of government administering the different options. This includes costs incurred in assessing approval </w:t>
            </w:r>
            <w:proofErr w:type="gramStart"/>
            <w:r w:rsidRPr="00BF281D">
              <w:rPr>
                <w:rFonts w:eastAsia="Times New Roman" w:cs="Times New Roman"/>
                <w:color w:val="000000"/>
                <w:sz w:val="16"/>
                <w:szCs w:val="16"/>
                <w:lang w:eastAsia="en-AU"/>
              </w:rPr>
              <w:t>plans, and</w:t>
            </w:r>
            <w:proofErr w:type="gramEnd"/>
            <w:r w:rsidRPr="00BF281D">
              <w:rPr>
                <w:rFonts w:eastAsia="Times New Roman" w:cs="Times New Roman"/>
                <w:color w:val="000000"/>
                <w:sz w:val="16"/>
                <w:szCs w:val="16"/>
                <w:lang w:eastAsia="en-AU"/>
              </w:rPr>
              <w:t xml:space="preserve"> administering inspections. </w:t>
            </w:r>
          </w:p>
        </w:tc>
        <w:tc>
          <w:tcPr>
            <w:tcW w:w="1172" w:type="pct"/>
            <w:noWrap/>
            <w:vAlign w:val="center"/>
          </w:tcPr>
          <w:p w14:paraId="61C0F887" w14:textId="77777777" w:rsidR="009A3163" w:rsidRPr="00BF281D" w:rsidRDefault="009A3163" w:rsidP="005030E8">
            <w:pPr>
              <w:spacing w:after="0" w:line="240" w:lineRule="auto"/>
              <w:jc w:val="center"/>
              <w:rPr>
                <w:rFonts w:eastAsia="Times New Roman" w:cs="Times New Roman"/>
                <w:b/>
                <w:bCs/>
                <w:color w:val="000000"/>
                <w:sz w:val="16"/>
                <w:szCs w:val="16"/>
                <w:lang w:eastAsia="en-AU"/>
              </w:rPr>
            </w:pPr>
            <w:r w:rsidRPr="00BF281D">
              <w:rPr>
                <w:rFonts w:eastAsia="Times New Roman" w:cs="Times New Roman"/>
                <w:b/>
                <w:bCs/>
                <w:color w:val="000000"/>
                <w:sz w:val="16"/>
                <w:szCs w:val="16"/>
                <w:lang w:eastAsia="en-AU"/>
              </w:rPr>
              <w:t>-</w:t>
            </w:r>
          </w:p>
        </w:tc>
        <w:tc>
          <w:tcPr>
            <w:tcW w:w="749" w:type="pct"/>
            <w:noWrap/>
            <w:vAlign w:val="center"/>
          </w:tcPr>
          <w:p w14:paraId="430B3413" w14:textId="77777777" w:rsidR="009A3163" w:rsidRPr="00BF281D" w:rsidRDefault="009A3163" w:rsidP="005030E8">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25%</w:t>
            </w:r>
          </w:p>
        </w:tc>
      </w:tr>
    </w:tbl>
    <w:p w14:paraId="7B699DA0" w14:textId="27B740C4" w:rsidR="00293DC7" w:rsidRPr="00BF281D" w:rsidRDefault="007D1B7E" w:rsidP="007D1B7E">
      <w:pPr>
        <w:pStyle w:val="Heading2"/>
      </w:pPr>
      <w:bookmarkStart w:id="145" w:name="_Toc69839584"/>
      <w:bookmarkStart w:id="146" w:name="_Toc67663766"/>
      <w:r w:rsidRPr="001528D0">
        <w:rPr>
          <w:color w:val="012169" w:themeColor="accent4"/>
        </w:rPr>
        <w:t>MCA Scoring</w:t>
      </w:r>
      <w:bookmarkEnd w:id="145"/>
      <w:bookmarkEnd w:id="146"/>
    </w:p>
    <w:p w14:paraId="70A7FC94" w14:textId="3F3DC3CA" w:rsidR="009C75B0" w:rsidRPr="00BF281D" w:rsidRDefault="00C812D6" w:rsidP="009C75B0">
      <w:r w:rsidRPr="00BF281D">
        <w:t xml:space="preserve">Table 4.3 </w:t>
      </w:r>
      <w:r w:rsidR="008463B1" w:rsidRPr="00BF281D">
        <w:t>presents the results of the MCA.</w:t>
      </w:r>
      <w:r w:rsidR="003774D1" w:rsidRPr="00BF281D">
        <w:t xml:space="preserve"> </w:t>
      </w:r>
      <w:r w:rsidR="00586EBC" w:rsidRPr="00BF281D">
        <w:t>As per the</w:t>
      </w:r>
      <w:r w:rsidR="006335E9" w:rsidRPr="00BF281D">
        <w:t xml:space="preserve"> </w:t>
      </w:r>
      <w:r w:rsidR="00CE2E7A" w:rsidRPr="00BF281D">
        <w:t>Better Regulation</w:t>
      </w:r>
      <w:r w:rsidR="00BB6008" w:rsidRPr="00BF281D">
        <w:t xml:space="preserve"> Victorians</w:t>
      </w:r>
      <w:r w:rsidR="00CE2E7A" w:rsidRPr="00BF281D">
        <w:t xml:space="preserve"> Guidance </w:t>
      </w:r>
      <w:r w:rsidR="00513E2A" w:rsidRPr="00BF281D">
        <w:t>N</w:t>
      </w:r>
      <w:r w:rsidR="00CE2E7A" w:rsidRPr="00BF281D">
        <w:t>ote</w:t>
      </w:r>
      <w:r w:rsidR="00DB6CC7" w:rsidRPr="00BF281D">
        <w:t>,</w:t>
      </w:r>
      <w:r w:rsidR="00513E2A" w:rsidRPr="00817682">
        <w:rPr>
          <w:rStyle w:val="FootnoteReference"/>
        </w:rPr>
        <w:footnoteReference w:id="12"/>
      </w:r>
      <w:r w:rsidR="00CE2E7A" w:rsidRPr="00817682">
        <w:t xml:space="preserve"> an option that is more costly than the base case</w:t>
      </w:r>
      <w:r w:rsidR="00311631" w:rsidRPr="00BF281D">
        <w:t xml:space="preserve"> </w:t>
      </w:r>
      <w:r w:rsidR="00355451" w:rsidRPr="00BF281D">
        <w:t>should</w:t>
      </w:r>
      <w:r w:rsidR="00311631" w:rsidRPr="00BF281D">
        <w:t xml:space="preserve"> receive a negative score. As the </w:t>
      </w:r>
      <w:r w:rsidR="007D4961">
        <w:t>B</w:t>
      </w:r>
      <w:r w:rsidR="00311631" w:rsidRPr="00BF281D">
        <w:t xml:space="preserve">ase </w:t>
      </w:r>
      <w:r w:rsidR="007D4961">
        <w:t>C</w:t>
      </w:r>
      <w:r w:rsidR="00311631" w:rsidRPr="00BF281D">
        <w:t xml:space="preserve">ase </w:t>
      </w:r>
      <w:r w:rsidR="007D4961">
        <w:t>in this assessment</w:t>
      </w:r>
      <w:r w:rsidR="00311631" w:rsidRPr="00BF281D">
        <w:t xml:space="preserve"> </w:t>
      </w:r>
      <w:proofErr w:type="gramStart"/>
      <w:r w:rsidR="00311631" w:rsidRPr="00BF281D">
        <w:t>is considered to be</w:t>
      </w:r>
      <w:proofErr w:type="gramEnd"/>
      <w:r w:rsidR="00311631" w:rsidRPr="00BF281D">
        <w:t xml:space="preserve"> the most expensive</w:t>
      </w:r>
      <w:r w:rsidR="00355451" w:rsidRPr="00BF281D">
        <w:t xml:space="preserve"> o</w:t>
      </w:r>
      <w:r w:rsidR="005A44F7" w:rsidRPr="00BF281D">
        <w:t>ption</w:t>
      </w:r>
      <w:r w:rsidR="00311631" w:rsidRPr="00BF281D">
        <w:t xml:space="preserve"> to industry and government, </w:t>
      </w:r>
      <w:r w:rsidR="005A44F7" w:rsidRPr="00BF281D">
        <w:t xml:space="preserve">all other </w:t>
      </w:r>
      <w:r w:rsidR="00311631" w:rsidRPr="00BF281D">
        <w:t>costs receive a positive score.</w:t>
      </w:r>
      <w:r w:rsidR="005A44F7" w:rsidRPr="00BF281D">
        <w:t xml:space="preserve"> As such, a higher score for costs indicates a lower </w:t>
      </w:r>
      <w:r w:rsidR="008A696C" w:rsidRPr="00BF281D">
        <w:t>cost to industry</w:t>
      </w:r>
      <w:r w:rsidR="00C56377">
        <w:t xml:space="preserve"> or the Government</w:t>
      </w:r>
      <w:r w:rsidR="008A696C" w:rsidRPr="00BF281D">
        <w:t xml:space="preserve"> </w:t>
      </w:r>
      <w:r w:rsidR="00E34732">
        <w:t>(relative to</w:t>
      </w:r>
      <w:r w:rsidR="008A696C" w:rsidRPr="00BF281D">
        <w:t xml:space="preserve"> the </w:t>
      </w:r>
      <w:r w:rsidR="007D4961">
        <w:t>B</w:t>
      </w:r>
      <w:r w:rsidR="008A696C" w:rsidRPr="00BF281D">
        <w:t xml:space="preserve">ase </w:t>
      </w:r>
      <w:r w:rsidR="007D4961">
        <w:t>C</w:t>
      </w:r>
      <w:r w:rsidR="008A696C" w:rsidRPr="00BF281D">
        <w:t>ase</w:t>
      </w:r>
      <w:r w:rsidR="00E34732">
        <w:t>)</w:t>
      </w:r>
      <w:r w:rsidR="008A696C" w:rsidRPr="00BF281D">
        <w:t xml:space="preserve">. </w:t>
      </w:r>
      <w:r w:rsidR="00311631" w:rsidRPr="00BF281D">
        <w:t xml:space="preserve"> </w:t>
      </w:r>
      <w:r w:rsidR="00586EBC" w:rsidRPr="00BF281D">
        <w:t xml:space="preserve"> </w:t>
      </w:r>
      <w:r w:rsidR="009C75B0" w:rsidRPr="00BF281D">
        <w:t xml:space="preserve"> </w:t>
      </w:r>
    </w:p>
    <w:p w14:paraId="6DB8D035" w14:textId="0AEE3592" w:rsidR="009C75B0" w:rsidRPr="00BF281D" w:rsidRDefault="009C75B0" w:rsidP="009C75B0">
      <w:r w:rsidRPr="00BF281D">
        <w:t xml:space="preserve">Additionally, as the Base Case is used as the reference case, it receives a score of zero for each criterion, and therefore a weighted score of zero. The scoring for the other options will be relative to the Base Case. </w:t>
      </w:r>
    </w:p>
    <w:p w14:paraId="0107623C" w14:textId="029A94F0" w:rsidR="009C75B0" w:rsidRPr="00BF281D" w:rsidRDefault="009C75B0" w:rsidP="009C75B0">
      <w:r w:rsidRPr="00BF281D">
        <w:t xml:space="preserve">As shown in </w:t>
      </w:r>
      <w:r w:rsidRPr="00BF281D">
        <w:fldChar w:fldCharType="begin"/>
      </w:r>
      <w:r w:rsidRPr="00BF281D">
        <w:instrText xml:space="preserve"> REF _Ref61015604 \w \h </w:instrText>
      </w:r>
      <w:r w:rsidRPr="00BF281D">
        <w:fldChar w:fldCharType="separate"/>
      </w:r>
      <w:r w:rsidR="009B3538">
        <w:t>Table 4.3</w:t>
      </w:r>
      <w:r w:rsidRPr="00BF281D">
        <w:fldChar w:fldCharType="end"/>
      </w:r>
      <w:r w:rsidRPr="00817682">
        <w:t xml:space="preserve">, </w:t>
      </w:r>
      <w:r w:rsidRPr="00BF281D">
        <w:t xml:space="preserve">Option 2 has the highest weighted score, and is therefore the preferred option. </w:t>
      </w:r>
    </w:p>
    <w:p w14:paraId="0580558F" w14:textId="275F0653" w:rsidR="00735179" w:rsidRPr="00BF281D" w:rsidRDefault="00735179" w:rsidP="009C75B0"/>
    <w:p w14:paraId="03825A8C" w14:textId="13AAE3E0" w:rsidR="00735179" w:rsidRPr="00BF281D" w:rsidRDefault="00735179" w:rsidP="009C75B0"/>
    <w:p w14:paraId="1DF4D70D" w14:textId="589AF076" w:rsidR="00735179" w:rsidRPr="00BF281D" w:rsidRDefault="00735179" w:rsidP="009C75B0"/>
    <w:p w14:paraId="4B07C49F" w14:textId="1B360F61" w:rsidR="00735179" w:rsidRPr="00BF281D" w:rsidRDefault="00735179" w:rsidP="009C75B0"/>
    <w:p w14:paraId="03F8B124" w14:textId="59CE9607" w:rsidR="00735179" w:rsidRPr="00BF281D" w:rsidRDefault="00735179" w:rsidP="009C75B0"/>
    <w:p w14:paraId="655E601C" w14:textId="2839E5F5" w:rsidR="00735179" w:rsidRPr="00BF281D" w:rsidRDefault="00735179" w:rsidP="009C75B0"/>
    <w:p w14:paraId="5037BCAC" w14:textId="77777777" w:rsidR="00735179" w:rsidRPr="00BF281D" w:rsidRDefault="00735179" w:rsidP="009C75B0"/>
    <w:p w14:paraId="194C84A5" w14:textId="41122A31" w:rsidR="0007231F" w:rsidRPr="00817682" w:rsidRDefault="00327E85" w:rsidP="0007231F">
      <w:pPr>
        <w:pStyle w:val="CaptionTable"/>
      </w:pPr>
      <w:bookmarkStart w:id="147" w:name="_Ref61015604"/>
      <w:bookmarkStart w:id="148" w:name="_Toc68799771"/>
      <w:bookmarkStart w:id="149" w:name="_Toc67663781"/>
      <w:r w:rsidRPr="001528D0">
        <w:rPr>
          <w:color w:val="auto"/>
        </w:rPr>
        <w:lastRenderedPageBreak/>
        <w:t xml:space="preserve">: </w:t>
      </w:r>
      <w:r w:rsidR="0007231F" w:rsidRPr="001528D0">
        <w:rPr>
          <w:color w:val="auto"/>
        </w:rPr>
        <w:t>MCA results</w:t>
      </w:r>
      <w:bookmarkEnd w:id="147"/>
      <w:bookmarkEnd w:id="148"/>
      <w:bookmarkEnd w:id="149"/>
    </w:p>
    <w:tbl>
      <w:tblPr>
        <w:tblStyle w:val="Deloittetable"/>
        <w:tblW w:w="5198" w:type="pct"/>
        <w:tblLook w:val="04A0" w:firstRow="1" w:lastRow="0" w:firstColumn="1" w:lastColumn="0" w:noHBand="0" w:noVBand="1"/>
      </w:tblPr>
      <w:tblGrid>
        <w:gridCol w:w="6379"/>
        <w:gridCol w:w="953"/>
        <w:gridCol w:w="953"/>
        <w:gridCol w:w="814"/>
        <w:gridCol w:w="951"/>
      </w:tblGrid>
      <w:tr w:rsidR="00121158" w:rsidRPr="00BF281D" w14:paraId="613962E7" w14:textId="77777777" w:rsidTr="00C73B72">
        <w:trPr>
          <w:cnfStyle w:val="100000000000" w:firstRow="1" w:lastRow="0" w:firstColumn="0" w:lastColumn="0" w:oddVBand="0" w:evenVBand="0" w:oddHBand="0" w:evenHBand="0" w:firstRowFirstColumn="0" w:firstRowLastColumn="0" w:lastRowFirstColumn="0" w:lastRowLastColumn="0"/>
          <w:trHeight w:val="307"/>
          <w:tblHeader/>
        </w:trPr>
        <w:tc>
          <w:tcPr>
            <w:tcW w:w="3174" w:type="pct"/>
          </w:tcPr>
          <w:p w14:paraId="70044335" w14:textId="77777777" w:rsidR="00121158" w:rsidRPr="00BF281D" w:rsidRDefault="00121158" w:rsidP="00504D47">
            <w:pPr>
              <w:spacing w:after="0" w:line="240" w:lineRule="auto"/>
              <w:jc w:val="center"/>
              <w:rPr>
                <w:rFonts w:asciiTheme="minorHAnsi" w:eastAsia="Times New Roman" w:hAnsiTheme="minorHAnsi" w:cs="Calibri"/>
                <w:b/>
                <w:bCs/>
                <w:color w:val="000000"/>
                <w:sz w:val="16"/>
                <w:szCs w:val="16"/>
                <w:lang w:eastAsia="en-AU"/>
              </w:rPr>
            </w:pPr>
            <w:r w:rsidRPr="00BF281D">
              <w:rPr>
                <w:rFonts w:asciiTheme="minorHAnsi" w:eastAsia="Times New Roman" w:hAnsiTheme="minorHAnsi" w:cs="Calibri"/>
                <w:b/>
                <w:bCs/>
                <w:color w:val="000000"/>
                <w:sz w:val="16"/>
                <w:szCs w:val="16"/>
                <w:lang w:eastAsia="en-AU"/>
              </w:rPr>
              <w:t>Criteria</w:t>
            </w:r>
          </w:p>
        </w:tc>
        <w:tc>
          <w:tcPr>
            <w:tcW w:w="474" w:type="pct"/>
          </w:tcPr>
          <w:p w14:paraId="6E934B60" w14:textId="77777777" w:rsidR="00121158" w:rsidRPr="00BF281D" w:rsidRDefault="00121158" w:rsidP="00504D47">
            <w:pPr>
              <w:spacing w:after="0" w:line="240" w:lineRule="auto"/>
              <w:jc w:val="center"/>
              <w:rPr>
                <w:rFonts w:eastAsia="Times New Roman" w:cs="Times New Roman"/>
                <w:b/>
                <w:bCs/>
                <w:color w:val="000000"/>
                <w:sz w:val="16"/>
                <w:szCs w:val="16"/>
                <w:lang w:eastAsia="en-AU"/>
              </w:rPr>
            </w:pPr>
            <w:r w:rsidRPr="00BF281D">
              <w:rPr>
                <w:rFonts w:eastAsia="Times New Roman" w:cs="Times New Roman"/>
                <w:b/>
                <w:bCs/>
                <w:color w:val="000000"/>
                <w:sz w:val="16"/>
                <w:szCs w:val="16"/>
                <w:lang w:eastAsia="en-AU"/>
              </w:rPr>
              <w:t>Base Case</w:t>
            </w:r>
          </w:p>
        </w:tc>
        <w:tc>
          <w:tcPr>
            <w:tcW w:w="474" w:type="pct"/>
          </w:tcPr>
          <w:p w14:paraId="23BF9D49" w14:textId="77777777" w:rsidR="00121158" w:rsidRPr="00BF281D" w:rsidRDefault="00121158" w:rsidP="00504D47">
            <w:pPr>
              <w:spacing w:after="0" w:line="240" w:lineRule="auto"/>
              <w:jc w:val="center"/>
              <w:rPr>
                <w:rFonts w:asciiTheme="minorHAnsi" w:eastAsia="Times New Roman" w:hAnsiTheme="minorHAnsi" w:cs="Calibri"/>
                <w:color w:val="000000"/>
                <w:sz w:val="16"/>
                <w:szCs w:val="16"/>
                <w:lang w:eastAsia="en-AU"/>
              </w:rPr>
            </w:pPr>
            <w:r w:rsidRPr="00BF281D">
              <w:rPr>
                <w:rFonts w:eastAsia="Times New Roman" w:cs="Times New Roman"/>
                <w:b/>
                <w:bCs/>
                <w:color w:val="000000"/>
                <w:sz w:val="16"/>
                <w:szCs w:val="16"/>
                <w:lang w:eastAsia="en-AU"/>
              </w:rPr>
              <w:t>Status Quo</w:t>
            </w:r>
          </w:p>
        </w:tc>
        <w:tc>
          <w:tcPr>
            <w:tcW w:w="405" w:type="pct"/>
          </w:tcPr>
          <w:p w14:paraId="0901B34B" w14:textId="77777777" w:rsidR="00121158" w:rsidRPr="00BF281D" w:rsidRDefault="00121158" w:rsidP="00504D47">
            <w:pPr>
              <w:spacing w:after="0" w:line="240" w:lineRule="auto"/>
              <w:ind w:left="0"/>
              <w:jc w:val="center"/>
              <w:rPr>
                <w:rFonts w:eastAsia="Times New Roman" w:cs="Times New Roman"/>
                <w:b/>
                <w:bCs/>
                <w:color w:val="000000"/>
                <w:sz w:val="16"/>
                <w:szCs w:val="16"/>
                <w:lang w:eastAsia="en-AU"/>
              </w:rPr>
            </w:pPr>
            <w:r w:rsidRPr="00BF281D">
              <w:rPr>
                <w:rFonts w:eastAsia="Times New Roman" w:cs="Times New Roman"/>
                <w:b/>
                <w:bCs/>
                <w:color w:val="000000"/>
                <w:sz w:val="16"/>
                <w:szCs w:val="16"/>
                <w:lang w:eastAsia="en-AU"/>
              </w:rPr>
              <w:t>Option 1</w:t>
            </w:r>
          </w:p>
        </w:tc>
        <w:tc>
          <w:tcPr>
            <w:tcW w:w="473" w:type="pct"/>
          </w:tcPr>
          <w:p w14:paraId="2147F973" w14:textId="77777777" w:rsidR="00121158" w:rsidRPr="00BF281D" w:rsidRDefault="00121158" w:rsidP="00504D47">
            <w:pPr>
              <w:spacing w:after="0" w:line="240" w:lineRule="auto"/>
              <w:jc w:val="center"/>
              <w:rPr>
                <w:rFonts w:eastAsia="Times New Roman" w:cs="Times New Roman"/>
                <w:b/>
                <w:bCs/>
                <w:color w:val="000000"/>
                <w:sz w:val="16"/>
                <w:szCs w:val="16"/>
                <w:lang w:eastAsia="en-AU"/>
              </w:rPr>
            </w:pPr>
            <w:r w:rsidRPr="00BF281D">
              <w:rPr>
                <w:rFonts w:eastAsia="Times New Roman" w:cs="Times New Roman"/>
                <w:b/>
                <w:bCs/>
                <w:color w:val="000000"/>
                <w:sz w:val="16"/>
                <w:szCs w:val="16"/>
                <w:lang w:eastAsia="en-AU"/>
              </w:rPr>
              <w:t>Option 2</w:t>
            </w:r>
          </w:p>
        </w:tc>
      </w:tr>
      <w:tr w:rsidR="00121158" w:rsidRPr="00BF281D" w14:paraId="097E7005" w14:textId="77777777" w:rsidTr="00C73B72">
        <w:trPr>
          <w:trHeight w:val="894"/>
        </w:trPr>
        <w:tc>
          <w:tcPr>
            <w:tcW w:w="3174" w:type="pct"/>
            <w:vAlign w:val="center"/>
          </w:tcPr>
          <w:p w14:paraId="7194259C" w14:textId="77777777" w:rsidR="00121158" w:rsidRPr="00BF281D" w:rsidRDefault="00121158" w:rsidP="00504D47">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Encourage onshore conventional petroleum resource exploration and development in Victoria. </w:t>
            </w:r>
            <w:r>
              <w:rPr>
                <w:rFonts w:eastAsia="Times New Roman" w:cs="Times New Roman"/>
                <w:color w:val="000000"/>
                <w:sz w:val="16"/>
                <w:szCs w:val="16"/>
                <w:lang w:eastAsia="en-AU"/>
              </w:rPr>
              <w:t>(16.67% weighting)</w:t>
            </w:r>
          </w:p>
        </w:tc>
        <w:tc>
          <w:tcPr>
            <w:tcW w:w="474" w:type="pct"/>
          </w:tcPr>
          <w:p w14:paraId="5B73CEE0"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0</w:t>
            </w:r>
          </w:p>
        </w:tc>
        <w:tc>
          <w:tcPr>
            <w:tcW w:w="474" w:type="pct"/>
          </w:tcPr>
          <w:p w14:paraId="04D4554C"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w:t>
            </w:r>
          </w:p>
        </w:tc>
        <w:tc>
          <w:tcPr>
            <w:tcW w:w="405" w:type="pct"/>
          </w:tcPr>
          <w:p w14:paraId="60D909FE"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4</w:t>
            </w:r>
          </w:p>
        </w:tc>
        <w:tc>
          <w:tcPr>
            <w:tcW w:w="473" w:type="pct"/>
          </w:tcPr>
          <w:p w14:paraId="016136C2"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5</w:t>
            </w:r>
          </w:p>
        </w:tc>
      </w:tr>
      <w:tr w:rsidR="00121158" w:rsidRPr="00BF281D" w14:paraId="47FCDEFB" w14:textId="77777777" w:rsidTr="00C73B72">
        <w:trPr>
          <w:trHeight w:val="380"/>
        </w:trPr>
        <w:tc>
          <w:tcPr>
            <w:tcW w:w="3174" w:type="pct"/>
            <w:vAlign w:val="center"/>
          </w:tcPr>
          <w:p w14:paraId="529C247E" w14:textId="494AA74E" w:rsidR="00121158" w:rsidRPr="00BF281D" w:rsidRDefault="00121158" w:rsidP="00504D47">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Build community </w:t>
            </w:r>
            <w:r>
              <w:rPr>
                <w:rFonts w:eastAsia="Times New Roman" w:cs="Times New Roman"/>
                <w:color w:val="000000"/>
                <w:sz w:val="16"/>
                <w:szCs w:val="16"/>
                <w:lang w:eastAsia="en-AU"/>
              </w:rPr>
              <w:t>social license</w:t>
            </w:r>
            <w:r w:rsidRPr="00BF281D">
              <w:rPr>
                <w:rFonts w:eastAsia="Times New Roman" w:cs="Times New Roman"/>
                <w:color w:val="000000"/>
                <w:sz w:val="16"/>
                <w:szCs w:val="16"/>
                <w:lang w:eastAsia="en-AU"/>
              </w:rPr>
              <w:t xml:space="preserve"> in the onshore conventional petroleum resource sector. </w:t>
            </w:r>
            <w:r>
              <w:rPr>
                <w:rFonts w:eastAsia="Times New Roman" w:cs="Times New Roman"/>
                <w:color w:val="000000"/>
                <w:sz w:val="16"/>
                <w:szCs w:val="16"/>
                <w:lang w:eastAsia="en-AU"/>
              </w:rPr>
              <w:t>(16.67% weighting)</w:t>
            </w:r>
          </w:p>
        </w:tc>
        <w:tc>
          <w:tcPr>
            <w:tcW w:w="474" w:type="pct"/>
          </w:tcPr>
          <w:p w14:paraId="4B30CF5A"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0</w:t>
            </w:r>
          </w:p>
        </w:tc>
        <w:tc>
          <w:tcPr>
            <w:tcW w:w="474" w:type="pct"/>
          </w:tcPr>
          <w:p w14:paraId="2A8F7C20"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1</w:t>
            </w:r>
          </w:p>
        </w:tc>
        <w:tc>
          <w:tcPr>
            <w:tcW w:w="405" w:type="pct"/>
          </w:tcPr>
          <w:p w14:paraId="5D999597"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4</w:t>
            </w:r>
          </w:p>
        </w:tc>
        <w:tc>
          <w:tcPr>
            <w:tcW w:w="473" w:type="pct"/>
          </w:tcPr>
          <w:p w14:paraId="680CA402"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7</w:t>
            </w:r>
          </w:p>
        </w:tc>
      </w:tr>
      <w:tr w:rsidR="00121158" w:rsidRPr="00BF281D" w14:paraId="2DD0DB79" w14:textId="77777777" w:rsidTr="00C73B72">
        <w:trPr>
          <w:trHeight w:val="363"/>
        </w:trPr>
        <w:tc>
          <w:tcPr>
            <w:tcW w:w="3174" w:type="pct"/>
            <w:vAlign w:val="center"/>
          </w:tcPr>
          <w:p w14:paraId="4B031F7F" w14:textId="77777777" w:rsidR="00121158" w:rsidRPr="00BF281D" w:rsidRDefault="00121158" w:rsidP="00504D47">
            <w:pPr>
              <w:spacing w:after="0" w:line="240" w:lineRule="auto"/>
              <w:rPr>
                <w:rFonts w:ascii="Calibri" w:eastAsia="Times New Roman" w:hAnsi="Calibri" w:cs="Calibri"/>
                <w:b/>
                <w:bCs/>
                <w:color w:val="000000"/>
                <w:sz w:val="22"/>
                <w:szCs w:val="22"/>
                <w:lang w:eastAsia="en-AU"/>
              </w:rPr>
            </w:pPr>
            <w:r w:rsidRPr="00BF281D">
              <w:rPr>
                <w:rFonts w:eastAsia="Times New Roman" w:cs="Times New Roman"/>
                <w:color w:val="000000"/>
                <w:sz w:val="16"/>
                <w:szCs w:val="16"/>
                <w:lang w:eastAsia="en-AU"/>
              </w:rPr>
              <w:t>Minimise risk to improve outcomes for the environment, public safety, and amenity as they relate to petroleum development in Victoria.</w:t>
            </w:r>
            <w:r>
              <w:rPr>
                <w:rFonts w:eastAsia="Times New Roman" w:cs="Times New Roman"/>
                <w:color w:val="000000"/>
                <w:sz w:val="16"/>
                <w:szCs w:val="16"/>
                <w:lang w:eastAsia="en-AU"/>
              </w:rPr>
              <w:t xml:space="preserve"> </w:t>
            </w:r>
            <w:r>
              <w:rPr>
                <w:rFonts w:eastAsia="Times New Roman" w:cs="Times New Roman"/>
                <w:color w:val="000000"/>
                <w:sz w:val="16"/>
                <w:szCs w:val="16"/>
                <w:lang w:eastAsia="en-AU"/>
              </w:rPr>
              <w:br/>
              <w:t>(16.67% weighting)</w:t>
            </w:r>
          </w:p>
        </w:tc>
        <w:tc>
          <w:tcPr>
            <w:tcW w:w="474" w:type="pct"/>
          </w:tcPr>
          <w:p w14:paraId="51DC1C95"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0</w:t>
            </w:r>
          </w:p>
        </w:tc>
        <w:tc>
          <w:tcPr>
            <w:tcW w:w="474" w:type="pct"/>
          </w:tcPr>
          <w:p w14:paraId="04416AFB"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3</w:t>
            </w:r>
          </w:p>
        </w:tc>
        <w:tc>
          <w:tcPr>
            <w:tcW w:w="405" w:type="pct"/>
          </w:tcPr>
          <w:p w14:paraId="5CB1D368"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4</w:t>
            </w:r>
          </w:p>
        </w:tc>
        <w:tc>
          <w:tcPr>
            <w:tcW w:w="473" w:type="pct"/>
          </w:tcPr>
          <w:p w14:paraId="2D082DC6"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7</w:t>
            </w:r>
          </w:p>
        </w:tc>
      </w:tr>
      <w:tr w:rsidR="00121158" w:rsidRPr="00BF281D" w14:paraId="6B00D2AF" w14:textId="77777777" w:rsidTr="00C73B72">
        <w:trPr>
          <w:trHeight w:val="363"/>
        </w:trPr>
        <w:tc>
          <w:tcPr>
            <w:tcW w:w="3174" w:type="pct"/>
            <w:vAlign w:val="center"/>
          </w:tcPr>
          <w:p w14:paraId="408082EE" w14:textId="77777777" w:rsidR="00121158" w:rsidRPr="00BF281D" w:rsidRDefault="00121158" w:rsidP="00504D47">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Cost to industry (positive score is lower cost than </w:t>
            </w:r>
            <w:r>
              <w:rPr>
                <w:rFonts w:eastAsia="Times New Roman" w:cs="Times New Roman"/>
                <w:color w:val="000000"/>
                <w:sz w:val="16"/>
                <w:szCs w:val="16"/>
                <w:lang w:eastAsia="en-AU"/>
              </w:rPr>
              <w:t>B</w:t>
            </w:r>
            <w:r w:rsidRPr="00BF281D">
              <w:rPr>
                <w:rFonts w:eastAsia="Times New Roman" w:cs="Times New Roman"/>
                <w:color w:val="000000"/>
                <w:sz w:val="16"/>
                <w:szCs w:val="16"/>
                <w:lang w:eastAsia="en-AU"/>
              </w:rPr>
              <w:t xml:space="preserve">ase </w:t>
            </w:r>
            <w:r>
              <w:rPr>
                <w:rFonts w:eastAsia="Times New Roman" w:cs="Times New Roman"/>
                <w:color w:val="000000"/>
                <w:sz w:val="16"/>
                <w:szCs w:val="16"/>
                <w:lang w:eastAsia="en-AU"/>
              </w:rPr>
              <w:t>C</w:t>
            </w:r>
            <w:r w:rsidRPr="00BF281D">
              <w:rPr>
                <w:rFonts w:eastAsia="Times New Roman" w:cs="Times New Roman"/>
                <w:color w:val="000000"/>
                <w:sz w:val="16"/>
                <w:szCs w:val="16"/>
                <w:lang w:eastAsia="en-AU"/>
              </w:rPr>
              <w:t>ase</w:t>
            </w:r>
            <w:r w:rsidRPr="00817682">
              <w:rPr>
                <w:rFonts w:eastAsia="Times New Roman" w:cs="Times New Roman"/>
                <w:color w:val="000000"/>
                <w:sz w:val="16"/>
                <w:szCs w:val="16"/>
                <w:lang w:eastAsia="en-AU"/>
              </w:rPr>
              <w:t>)</w:t>
            </w:r>
            <w:r>
              <w:rPr>
                <w:rFonts w:eastAsia="Times New Roman" w:cs="Times New Roman"/>
                <w:color w:val="000000"/>
                <w:sz w:val="16"/>
                <w:szCs w:val="16"/>
                <w:lang w:eastAsia="en-AU"/>
              </w:rPr>
              <w:t xml:space="preserve"> </w:t>
            </w:r>
            <w:r>
              <w:rPr>
                <w:rFonts w:eastAsia="Times New Roman" w:cs="Times New Roman"/>
                <w:color w:val="000000"/>
                <w:sz w:val="16"/>
                <w:szCs w:val="16"/>
                <w:lang w:eastAsia="en-AU"/>
              </w:rPr>
              <w:br/>
              <w:t>(25% weighting)</w:t>
            </w:r>
          </w:p>
        </w:tc>
        <w:tc>
          <w:tcPr>
            <w:tcW w:w="474" w:type="pct"/>
          </w:tcPr>
          <w:p w14:paraId="1D2BB35D"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0</w:t>
            </w:r>
          </w:p>
        </w:tc>
        <w:tc>
          <w:tcPr>
            <w:tcW w:w="474" w:type="pct"/>
          </w:tcPr>
          <w:p w14:paraId="308CB487"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w:t>
            </w:r>
          </w:p>
        </w:tc>
        <w:tc>
          <w:tcPr>
            <w:tcW w:w="405" w:type="pct"/>
          </w:tcPr>
          <w:p w14:paraId="20F66C4C"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5</w:t>
            </w:r>
          </w:p>
        </w:tc>
        <w:tc>
          <w:tcPr>
            <w:tcW w:w="473" w:type="pct"/>
          </w:tcPr>
          <w:p w14:paraId="28A55D80"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3</w:t>
            </w:r>
          </w:p>
        </w:tc>
      </w:tr>
      <w:tr w:rsidR="00121158" w:rsidRPr="00BF281D" w14:paraId="06A98C65" w14:textId="77777777" w:rsidTr="00C73B72">
        <w:trPr>
          <w:trHeight w:val="363"/>
        </w:trPr>
        <w:tc>
          <w:tcPr>
            <w:tcW w:w="3174" w:type="pct"/>
            <w:vAlign w:val="center"/>
          </w:tcPr>
          <w:p w14:paraId="199F85F4" w14:textId="77777777" w:rsidR="00121158" w:rsidRPr="00BF281D" w:rsidRDefault="00121158" w:rsidP="00504D47">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Cost to government (positive score is lower cost than </w:t>
            </w:r>
            <w:r>
              <w:rPr>
                <w:rFonts w:eastAsia="Times New Roman" w:cs="Times New Roman"/>
                <w:color w:val="000000"/>
                <w:sz w:val="16"/>
                <w:szCs w:val="16"/>
                <w:lang w:eastAsia="en-AU"/>
              </w:rPr>
              <w:t>B</w:t>
            </w:r>
            <w:r w:rsidRPr="00BF281D">
              <w:rPr>
                <w:rFonts w:eastAsia="Times New Roman" w:cs="Times New Roman"/>
                <w:color w:val="000000"/>
                <w:sz w:val="16"/>
                <w:szCs w:val="16"/>
                <w:lang w:eastAsia="en-AU"/>
              </w:rPr>
              <w:t xml:space="preserve">ase </w:t>
            </w:r>
            <w:r>
              <w:rPr>
                <w:rFonts w:eastAsia="Times New Roman" w:cs="Times New Roman"/>
                <w:color w:val="000000"/>
                <w:sz w:val="16"/>
                <w:szCs w:val="16"/>
                <w:lang w:eastAsia="en-AU"/>
              </w:rPr>
              <w:t>C</w:t>
            </w:r>
            <w:r w:rsidRPr="00BF281D">
              <w:rPr>
                <w:rFonts w:eastAsia="Times New Roman" w:cs="Times New Roman"/>
                <w:color w:val="000000"/>
                <w:sz w:val="16"/>
                <w:szCs w:val="16"/>
                <w:lang w:eastAsia="en-AU"/>
              </w:rPr>
              <w:t>ase)</w:t>
            </w:r>
            <w:r>
              <w:rPr>
                <w:rFonts w:eastAsia="Times New Roman" w:cs="Times New Roman"/>
                <w:color w:val="000000"/>
                <w:sz w:val="16"/>
                <w:szCs w:val="16"/>
                <w:lang w:eastAsia="en-AU"/>
              </w:rPr>
              <w:t xml:space="preserve"> </w:t>
            </w:r>
            <w:r>
              <w:rPr>
                <w:rFonts w:eastAsia="Times New Roman" w:cs="Times New Roman"/>
                <w:color w:val="000000"/>
                <w:sz w:val="16"/>
                <w:szCs w:val="16"/>
                <w:lang w:eastAsia="en-AU"/>
              </w:rPr>
              <w:br/>
              <w:t xml:space="preserve">(25% weighting) </w:t>
            </w:r>
          </w:p>
        </w:tc>
        <w:tc>
          <w:tcPr>
            <w:tcW w:w="474" w:type="pct"/>
          </w:tcPr>
          <w:p w14:paraId="17E29738"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0</w:t>
            </w:r>
          </w:p>
        </w:tc>
        <w:tc>
          <w:tcPr>
            <w:tcW w:w="474" w:type="pct"/>
          </w:tcPr>
          <w:p w14:paraId="6ACFEDF2"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w:t>
            </w:r>
          </w:p>
        </w:tc>
        <w:tc>
          <w:tcPr>
            <w:tcW w:w="405" w:type="pct"/>
          </w:tcPr>
          <w:p w14:paraId="45E85C5E"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3</w:t>
            </w:r>
          </w:p>
        </w:tc>
        <w:tc>
          <w:tcPr>
            <w:tcW w:w="473" w:type="pct"/>
          </w:tcPr>
          <w:p w14:paraId="7E2C5AEF" w14:textId="77777777" w:rsidR="00121158" w:rsidRPr="00BF281D" w:rsidRDefault="00121158" w:rsidP="00504D47">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4</w:t>
            </w:r>
          </w:p>
        </w:tc>
      </w:tr>
      <w:tr w:rsidR="00121158" w:rsidRPr="00BF281D" w14:paraId="3AE1C121" w14:textId="77777777" w:rsidTr="00C73B72">
        <w:trPr>
          <w:trHeight w:val="363"/>
        </w:trPr>
        <w:tc>
          <w:tcPr>
            <w:tcW w:w="3174" w:type="pct"/>
            <w:vAlign w:val="center"/>
          </w:tcPr>
          <w:p w14:paraId="317BC50D" w14:textId="77777777" w:rsidR="00121158" w:rsidRPr="00BF281D" w:rsidRDefault="00121158" w:rsidP="00504D47">
            <w:pPr>
              <w:spacing w:after="0" w:line="240" w:lineRule="auto"/>
              <w:rPr>
                <w:rFonts w:eastAsia="Times New Roman" w:cs="Times New Roman"/>
                <w:b/>
                <w:bCs/>
                <w:color w:val="000000"/>
                <w:sz w:val="16"/>
                <w:szCs w:val="16"/>
                <w:lang w:eastAsia="en-AU"/>
              </w:rPr>
            </w:pPr>
            <w:r w:rsidRPr="00BF281D">
              <w:rPr>
                <w:rFonts w:eastAsia="Times New Roman" w:cs="Times New Roman"/>
                <w:b/>
                <w:bCs/>
                <w:color w:val="000000"/>
                <w:sz w:val="16"/>
                <w:szCs w:val="16"/>
                <w:lang w:eastAsia="en-AU"/>
              </w:rPr>
              <w:t>Weighted score</w:t>
            </w:r>
          </w:p>
        </w:tc>
        <w:tc>
          <w:tcPr>
            <w:tcW w:w="474" w:type="pct"/>
          </w:tcPr>
          <w:p w14:paraId="74434CB3" w14:textId="77777777" w:rsidR="00121158" w:rsidRPr="00BF281D" w:rsidRDefault="00121158" w:rsidP="00504D47">
            <w:pPr>
              <w:spacing w:after="0" w:line="240" w:lineRule="auto"/>
              <w:jc w:val="center"/>
              <w:rPr>
                <w:rFonts w:eastAsia="Times New Roman" w:cs="Times New Roman"/>
                <w:b/>
                <w:color w:val="000000"/>
                <w:sz w:val="16"/>
                <w:szCs w:val="16"/>
                <w:lang w:eastAsia="en-AU"/>
              </w:rPr>
            </w:pPr>
            <w:r w:rsidRPr="00BF281D">
              <w:rPr>
                <w:rFonts w:eastAsia="Times New Roman" w:cs="Times New Roman"/>
                <w:b/>
                <w:color w:val="000000"/>
                <w:sz w:val="16"/>
                <w:szCs w:val="16"/>
                <w:lang w:eastAsia="en-AU"/>
              </w:rPr>
              <w:t>0</w:t>
            </w:r>
            <w:r>
              <w:rPr>
                <w:rFonts w:eastAsia="Times New Roman" w:cs="Times New Roman"/>
                <w:b/>
                <w:color w:val="000000"/>
                <w:sz w:val="16"/>
                <w:szCs w:val="16"/>
                <w:lang w:eastAsia="en-AU"/>
              </w:rPr>
              <w:t>.00</w:t>
            </w:r>
          </w:p>
        </w:tc>
        <w:tc>
          <w:tcPr>
            <w:tcW w:w="474" w:type="pct"/>
          </w:tcPr>
          <w:p w14:paraId="54E26C15" w14:textId="77777777" w:rsidR="00121158" w:rsidRPr="00BF281D" w:rsidRDefault="00121158" w:rsidP="00504D47">
            <w:pPr>
              <w:spacing w:after="0" w:line="240" w:lineRule="auto"/>
              <w:jc w:val="center"/>
              <w:rPr>
                <w:rFonts w:eastAsia="Times New Roman" w:cs="Times New Roman"/>
                <w:b/>
                <w:color w:val="000000"/>
                <w:sz w:val="16"/>
                <w:szCs w:val="16"/>
                <w:lang w:eastAsia="en-AU"/>
              </w:rPr>
            </w:pPr>
            <w:r w:rsidRPr="00BF281D">
              <w:rPr>
                <w:rFonts w:eastAsia="Times New Roman" w:cs="Times New Roman"/>
                <w:b/>
                <w:color w:val="000000"/>
                <w:sz w:val="16"/>
                <w:szCs w:val="16"/>
                <w:lang w:eastAsia="en-AU"/>
              </w:rPr>
              <w:t>2.</w:t>
            </w:r>
            <w:r>
              <w:rPr>
                <w:rFonts w:eastAsia="Times New Roman" w:cs="Times New Roman"/>
                <w:b/>
                <w:color w:val="000000"/>
                <w:sz w:val="16"/>
                <w:szCs w:val="16"/>
                <w:lang w:eastAsia="en-AU"/>
              </w:rPr>
              <w:t>00</w:t>
            </w:r>
          </w:p>
        </w:tc>
        <w:tc>
          <w:tcPr>
            <w:tcW w:w="405" w:type="pct"/>
          </w:tcPr>
          <w:p w14:paraId="0D59419E" w14:textId="77777777" w:rsidR="00121158" w:rsidRPr="00BF281D" w:rsidRDefault="00121158" w:rsidP="00504D47">
            <w:pPr>
              <w:spacing w:after="0" w:line="240" w:lineRule="auto"/>
              <w:jc w:val="center"/>
              <w:rPr>
                <w:rFonts w:eastAsia="Times New Roman" w:cs="Times New Roman"/>
                <w:b/>
                <w:color w:val="000000"/>
                <w:sz w:val="16"/>
                <w:szCs w:val="16"/>
                <w:lang w:eastAsia="en-AU"/>
              </w:rPr>
            </w:pPr>
            <w:r w:rsidRPr="00BF281D">
              <w:rPr>
                <w:rFonts w:eastAsia="Times New Roman" w:cs="Times New Roman"/>
                <w:b/>
                <w:color w:val="000000"/>
                <w:sz w:val="16"/>
                <w:szCs w:val="16"/>
                <w:lang w:eastAsia="en-AU"/>
              </w:rPr>
              <w:t>4</w:t>
            </w:r>
            <w:r>
              <w:rPr>
                <w:rFonts w:eastAsia="Times New Roman" w:cs="Times New Roman"/>
                <w:b/>
                <w:color w:val="000000"/>
                <w:sz w:val="16"/>
                <w:szCs w:val="16"/>
                <w:lang w:eastAsia="en-AU"/>
              </w:rPr>
              <w:t>.00</w:t>
            </w:r>
          </w:p>
        </w:tc>
        <w:tc>
          <w:tcPr>
            <w:tcW w:w="473" w:type="pct"/>
          </w:tcPr>
          <w:p w14:paraId="3436F1A9" w14:textId="77777777" w:rsidR="00121158" w:rsidRPr="00BF281D" w:rsidRDefault="00121158" w:rsidP="00504D47">
            <w:pPr>
              <w:spacing w:after="0" w:line="240" w:lineRule="auto"/>
              <w:jc w:val="center"/>
              <w:rPr>
                <w:rFonts w:eastAsia="Times New Roman" w:cs="Times New Roman"/>
                <w:b/>
                <w:color w:val="000000"/>
                <w:sz w:val="16"/>
                <w:szCs w:val="16"/>
                <w:lang w:eastAsia="en-AU"/>
              </w:rPr>
            </w:pPr>
            <w:r w:rsidRPr="00BF281D">
              <w:rPr>
                <w:rFonts w:eastAsia="Times New Roman" w:cs="Times New Roman"/>
                <w:b/>
                <w:color w:val="000000"/>
                <w:sz w:val="16"/>
                <w:szCs w:val="16"/>
                <w:lang w:eastAsia="en-AU"/>
              </w:rPr>
              <w:t>4.92</w:t>
            </w:r>
          </w:p>
        </w:tc>
      </w:tr>
    </w:tbl>
    <w:p w14:paraId="53AFA820" w14:textId="77777777" w:rsidR="00F20866" w:rsidRPr="00BF281D" w:rsidRDefault="00F20866" w:rsidP="007543C4"/>
    <w:p w14:paraId="08970732" w14:textId="3419D24A" w:rsidR="00BA50BC" w:rsidRPr="00817682" w:rsidRDefault="00A16AA5" w:rsidP="006D1F0C">
      <w:pPr>
        <w:pStyle w:val="Heading2"/>
      </w:pPr>
      <w:bookmarkStart w:id="150" w:name="_Toc69839585"/>
      <w:bookmarkStart w:id="151" w:name="_Toc67663767"/>
      <w:r w:rsidRPr="001528D0">
        <w:rPr>
          <w:color w:val="012169" w:themeColor="accent4"/>
        </w:rPr>
        <w:t>Detail</w:t>
      </w:r>
      <w:r w:rsidR="00C136D9" w:rsidRPr="001528D0">
        <w:rPr>
          <w:color w:val="012169" w:themeColor="accent4"/>
        </w:rPr>
        <w:t>ed assessment of the c</w:t>
      </w:r>
      <w:r w:rsidR="00E774C0" w:rsidRPr="001528D0">
        <w:rPr>
          <w:color w:val="012169" w:themeColor="accent4"/>
        </w:rPr>
        <w:t xml:space="preserve">osts and </w:t>
      </w:r>
      <w:r w:rsidR="00C136D9" w:rsidRPr="001528D0">
        <w:rPr>
          <w:color w:val="012169" w:themeColor="accent4"/>
        </w:rPr>
        <w:t>b</w:t>
      </w:r>
      <w:r w:rsidR="00E774C0" w:rsidRPr="001528D0">
        <w:rPr>
          <w:color w:val="012169" w:themeColor="accent4"/>
        </w:rPr>
        <w:t>enefits of the Options – mapped to the key amendments</w:t>
      </w:r>
      <w:bookmarkEnd w:id="150"/>
      <w:bookmarkEnd w:id="151"/>
      <w:r w:rsidR="00E774C0" w:rsidRPr="001528D0">
        <w:rPr>
          <w:color w:val="012169" w:themeColor="accent4"/>
        </w:rPr>
        <w:t xml:space="preserve"> </w:t>
      </w:r>
    </w:p>
    <w:p w14:paraId="441829FB" w14:textId="581A1FC3" w:rsidR="00385DA7" w:rsidRPr="00BF281D" w:rsidRDefault="00C44C78" w:rsidP="004C237A">
      <w:r w:rsidRPr="00BF281D">
        <w:t xml:space="preserve">The following section discusses the major benefits associated with the </w:t>
      </w:r>
      <w:r w:rsidR="00E96BAA">
        <w:t>proposed options</w:t>
      </w:r>
      <w:r w:rsidRPr="00BF281D">
        <w:t xml:space="preserve"> as they relate to the three benefit criteria outlined in the MCA framework. </w:t>
      </w:r>
    </w:p>
    <w:p w14:paraId="713CCAFB" w14:textId="4CE5BC24" w:rsidR="009449DC" w:rsidRDefault="009D0709" w:rsidP="004C237A">
      <w:r>
        <w:t xml:space="preserve">The </w:t>
      </w:r>
      <w:r w:rsidR="002F0FF8">
        <w:t xml:space="preserve">assessment below </w:t>
      </w:r>
      <w:r>
        <w:t>follow</w:t>
      </w:r>
      <w:r w:rsidR="002F0FF8">
        <w:t>s</w:t>
      </w:r>
      <w:r>
        <w:t xml:space="preserve"> the same structure</w:t>
      </w:r>
      <w:r w:rsidR="002F0FF8">
        <w:t xml:space="preserve">, looking at each benefit criteria in turn, assessing </w:t>
      </w:r>
      <w:r>
        <w:t xml:space="preserve">the Status Quo, Option </w:t>
      </w:r>
      <w:proofErr w:type="gramStart"/>
      <w:r>
        <w:t>1</w:t>
      </w:r>
      <w:proofErr w:type="gramEnd"/>
      <w:r>
        <w:t xml:space="preserve"> and Option 2</w:t>
      </w:r>
      <w:r w:rsidR="00F74AA8">
        <w:t xml:space="preserve">. This is then broken into </w:t>
      </w:r>
      <w:r>
        <w:t>the key amendments to the regulations</w:t>
      </w:r>
      <w:r w:rsidR="009449DC">
        <w:t xml:space="preserve"> as follows: </w:t>
      </w:r>
    </w:p>
    <w:p w14:paraId="246F4FAA" w14:textId="6E9BA33A" w:rsidR="009449DC" w:rsidRDefault="009449DC" w:rsidP="009449DC">
      <w:pPr>
        <w:pStyle w:val="ListParagraph"/>
        <w:numPr>
          <w:ilvl w:val="0"/>
          <w:numId w:val="78"/>
        </w:numPr>
      </w:pPr>
      <w:r>
        <w:t xml:space="preserve">Benefit criteria </w:t>
      </w:r>
      <w:r w:rsidR="00A77D28">
        <w:t>1</w:t>
      </w:r>
    </w:p>
    <w:p w14:paraId="5BA3C43B" w14:textId="67DC2C29" w:rsidR="009449DC" w:rsidRDefault="009449DC" w:rsidP="009449DC">
      <w:pPr>
        <w:pStyle w:val="ListParagraph"/>
        <w:numPr>
          <w:ilvl w:val="1"/>
          <w:numId w:val="78"/>
        </w:numPr>
      </w:pPr>
      <w:r>
        <w:t xml:space="preserve">Status </w:t>
      </w:r>
      <w:r w:rsidR="005B6575">
        <w:t>Q</w:t>
      </w:r>
      <w:r>
        <w:t xml:space="preserve">uo </w:t>
      </w:r>
    </w:p>
    <w:p w14:paraId="4164DA83" w14:textId="4470CE77" w:rsidR="009449DC" w:rsidRDefault="009449DC" w:rsidP="009449DC">
      <w:pPr>
        <w:pStyle w:val="ListParagraph"/>
        <w:numPr>
          <w:ilvl w:val="2"/>
          <w:numId w:val="78"/>
        </w:numPr>
      </w:pPr>
      <w:r>
        <w:t xml:space="preserve">Authority, </w:t>
      </w:r>
      <w:proofErr w:type="gramStart"/>
      <w:r>
        <w:t>applications</w:t>
      </w:r>
      <w:proofErr w:type="gramEnd"/>
      <w:r>
        <w:t xml:space="preserve"> and grants </w:t>
      </w:r>
    </w:p>
    <w:p w14:paraId="2D753353" w14:textId="1CB6C059" w:rsidR="009449DC" w:rsidRDefault="00BC3A70" w:rsidP="00D55251">
      <w:pPr>
        <w:pStyle w:val="ListParagraph"/>
        <w:numPr>
          <w:ilvl w:val="2"/>
          <w:numId w:val="78"/>
        </w:numPr>
      </w:pPr>
      <w:r>
        <w:t xml:space="preserve">Conduct of operations </w:t>
      </w:r>
    </w:p>
    <w:p w14:paraId="08C95526" w14:textId="669EEC99" w:rsidR="00BC3A70" w:rsidRDefault="00BC3A70" w:rsidP="009449DC">
      <w:pPr>
        <w:pStyle w:val="ListParagraph"/>
        <w:numPr>
          <w:ilvl w:val="2"/>
          <w:numId w:val="78"/>
        </w:numPr>
      </w:pPr>
      <w:r>
        <w:t xml:space="preserve">Information and reporting </w:t>
      </w:r>
    </w:p>
    <w:p w14:paraId="208E0AF3" w14:textId="24D60FC8" w:rsidR="00BC3A70" w:rsidRDefault="00BC3A70" w:rsidP="00BC3A70">
      <w:pPr>
        <w:pStyle w:val="ListParagraph"/>
        <w:numPr>
          <w:ilvl w:val="1"/>
          <w:numId w:val="78"/>
        </w:numPr>
      </w:pPr>
      <w:r>
        <w:t xml:space="preserve">Option 1 </w:t>
      </w:r>
    </w:p>
    <w:p w14:paraId="085066C1" w14:textId="77777777" w:rsidR="00BC3A70" w:rsidRDefault="00BC3A70" w:rsidP="00BC3A70">
      <w:pPr>
        <w:pStyle w:val="ListParagraph"/>
        <w:numPr>
          <w:ilvl w:val="2"/>
          <w:numId w:val="78"/>
        </w:numPr>
      </w:pPr>
      <w:r>
        <w:t xml:space="preserve">Authority, </w:t>
      </w:r>
      <w:proofErr w:type="gramStart"/>
      <w:r>
        <w:t>applications</w:t>
      </w:r>
      <w:proofErr w:type="gramEnd"/>
      <w:r>
        <w:t xml:space="preserve"> and grants </w:t>
      </w:r>
    </w:p>
    <w:p w14:paraId="0F82A49A" w14:textId="77777777" w:rsidR="00BC3A70" w:rsidRDefault="00BC3A70" w:rsidP="00BC3A70">
      <w:pPr>
        <w:pStyle w:val="ListParagraph"/>
        <w:numPr>
          <w:ilvl w:val="2"/>
          <w:numId w:val="78"/>
        </w:numPr>
      </w:pPr>
      <w:r>
        <w:t xml:space="preserve">Conduct of operations </w:t>
      </w:r>
    </w:p>
    <w:p w14:paraId="21F15B0C" w14:textId="77777777" w:rsidR="00BC3A70" w:rsidRDefault="00BC3A70" w:rsidP="00BC3A70">
      <w:pPr>
        <w:pStyle w:val="ListParagraph"/>
        <w:numPr>
          <w:ilvl w:val="2"/>
          <w:numId w:val="78"/>
        </w:numPr>
      </w:pPr>
      <w:r>
        <w:t xml:space="preserve">Information and reporting </w:t>
      </w:r>
    </w:p>
    <w:p w14:paraId="2A325B5A" w14:textId="098C2E60" w:rsidR="00BC3A70" w:rsidRDefault="00BC3A70" w:rsidP="00BC3A70">
      <w:pPr>
        <w:pStyle w:val="ListParagraph"/>
        <w:numPr>
          <w:ilvl w:val="1"/>
          <w:numId w:val="78"/>
        </w:numPr>
      </w:pPr>
      <w:r>
        <w:t xml:space="preserve">Option 2 </w:t>
      </w:r>
    </w:p>
    <w:p w14:paraId="3A25461E" w14:textId="77777777" w:rsidR="00BC3A70" w:rsidRDefault="00BC3A70" w:rsidP="00BC3A70">
      <w:pPr>
        <w:pStyle w:val="ListParagraph"/>
        <w:numPr>
          <w:ilvl w:val="2"/>
          <w:numId w:val="78"/>
        </w:numPr>
      </w:pPr>
      <w:r>
        <w:t xml:space="preserve">Authority, </w:t>
      </w:r>
      <w:proofErr w:type="gramStart"/>
      <w:r>
        <w:t>applications</w:t>
      </w:r>
      <w:proofErr w:type="gramEnd"/>
      <w:r>
        <w:t xml:space="preserve"> and grants </w:t>
      </w:r>
    </w:p>
    <w:p w14:paraId="42FFC0D1" w14:textId="77777777" w:rsidR="00BC3A70" w:rsidRDefault="00BC3A70" w:rsidP="00BC3A70">
      <w:pPr>
        <w:pStyle w:val="ListParagraph"/>
        <w:numPr>
          <w:ilvl w:val="2"/>
          <w:numId w:val="78"/>
        </w:numPr>
      </w:pPr>
      <w:r>
        <w:t xml:space="preserve">Conduct of operations </w:t>
      </w:r>
    </w:p>
    <w:p w14:paraId="6894FC8C" w14:textId="77777777" w:rsidR="00BC3A70" w:rsidRDefault="00BC3A70" w:rsidP="00BC3A70">
      <w:pPr>
        <w:pStyle w:val="ListParagraph"/>
        <w:numPr>
          <w:ilvl w:val="2"/>
          <w:numId w:val="78"/>
        </w:numPr>
      </w:pPr>
      <w:r>
        <w:t xml:space="preserve">Information and reporting </w:t>
      </w:r>
    </w:p>
    <w:p w14:paraId="61EC0109" w14:textId="06CA8C47" w:rsidR="00BC3A70" w:rsidRDefault="00A77D28" w:rsidP="00D55251">
      <w:pPr>
        <w:pStyle w:val="ListParagraph"/>
        <w:numPr>
          <w:ilvl w:val="1"/>
          <w:numId w:val="78"/>
        </w:numPr>
      </w:pPr>
      <w:r>
        <w:t xml:space="preserve">Conclusion </w:t>
      </w:r>
    </w:p>
    <w:p w14:paraId="6023C55B" w14:textId="06AD2927" w:rsidR="00A77D28" w:rsidRDefault="00A77D28" w:rsidP="00A77D28">
      <w:r>
        <w:t xml:space="preserve">This </w:t>
      </w:r>
      <w:r w:rsidR="008F5399">
        <w:t>assessment</w:t>
      </w:r>
      <w:r>
        <w:t xml:space="preserve"> is then repeated for </w:t>
      </w:r>
      <w:r w:rsidR="00BF101A">
        <w:t xml:space="preserve">each of the </w:t>
      </w:r>
      <w:r w:rsidR="00BD0EC2">
        <w:t>remaining</w:t>
      </w:r>
      <w:r w:rsidR="00BF101A">
        <w:t xml:space="preserve"> two benefit criteria. </w:t>
      </w:r>
    </w:p>
    <w:p w14:paraId="3C1075AA" w14:textId="5E7ED2F2" w:rsidR="008E6326" w:rsidRDefault="008E6326" w:rsidP="00A77D28"/>
    <w:p w14:paraId="426F8619" w14:textId="7336EC7D" w:rsidR="008E6326" w:rsidRDefault="008E6326" w:rsidP="00A77D28"/>
    <w:p w14:paraId="1D1B62B6" w14:textId="3764D118" w:rsidR="008E6326" w:rsidRDefault="008E6326" w:rsidP="00A77D28"/>
    <w:p w14:paraId="31B668ED" w14:textId="77777777" w:rsidR="008E6326" w:rsidRDefault="008E6326" w:rsidP="00A77D28"/>
    <w:p w14:paraId="2FA6E7C9" w14:textId="174B4391" w:rsidR="00CD33B8" w:rsidRPr="00817682" w:rsidRDefault="00755AAD" w:rsidP="00CD33B8">
      <w:pPr>
        <w:pStyle w:val="Heading2"/>
      </w:pPr>
      <w:bookmarkStart w:id="152" w:name="_Toc69839586"/>
      <w:bookmarkStart w:id="153" w:name="_Toc67663768"/>
      <w:r w:rsidRPr="001528D0">
        <w:rPr>
          <w:color w:val="012169" w:themeColor="accent4"/>
        </w:rPr>
        <w:lastRenderedPageBreak/>
        <w:t xml:space="preserve">Criteria </w:t>
      </w:r>
      <w:r w:rsidR="00D244A7" w:rsidRPr="001528D0">
        <w:rPr>
          <w:color w:val="012169" w:themeColor="accent4"/>
        </w:rPr>
        <w:t>mapped to Status Quo, Options 1 and 2</w:t>
      </w:r>
      <w:bookmarkEnd w:id="152"/>
      <w:bookmarkEnd w:id="153"/>
      <w:r w:rsidR="00D244A7" w:rsidRPr="001528D0">
        <w:rPr>
          <w:color w:val="012169" w:themeColor="accent4"/>
        </w:rPr>
        <w:t xml:space="preserve"> </w:t>
      </w:r>
    </w:p>
    <w:p w14:paraId="256FF035" w14:textId="77777777" w:rsidR="00B62DBD" w:rsidRDefault="00755AAD" w:rsidP="00CD33B8">
      <w:pPr>
        <w:pStyle w:val="Heading3"/>
      </w:pPr>
      <w:r>
        <w:t>Encouraging the petroleum industry</w:t>
      </w:r>
    </w:p>
    <w:tbl>
      <w:tblPr>
        <w:tblStyle w:val="Deloittetable"/>
        <w:tblW w:w="5167" w:type="pct"/>
        <w:tblLook w:val="04A0" w:firstRow="1" w:lastRow="0" w:firstColumn="1" w:lastColumn="0" w:noHBand="0" w:noVBand="1"/>
      </w:tblPr>
      <w:tblGrid>
        <w:gridCol w:w="2054"/>
        <w:gridCol w:w="1984"/>
        <w:gridCol w:w="1984"/>
        <w:gridCol w:w="1984"/>
        <w:gridCol w:w="1984"/>
      </w:tblGrid>
      <w:tr w:rsidR="00B4657C" w:rsidRPr="00BF281D" w14:paraId="782560B6" w14:textId="77777777" w:rsidTr="00FB1544">
        <w:trPr>
          <w:cnfStyle w:val="100000000000" w:firstRow="1" w:lastRow="0" w:firstColumn="0" w:lastColumn="0" w:oddVBand="0" w:evenVBand="0" w:oddHBand="0" w:evenHBand="0" w:firstRowFirstColumn="0" w:firstRowLastColumn="0" w:lastRowFirstColumn="0" w:lastRowLastColumn="0"/>
          <w:trHeight w:val="359"/>
        </w:trPr>
        <w:tc>
          <w:tcPr>
            <w:tcW w:w="0" w:type="pct"/>
          </w:tcPr>
          <w:p w14:paraId="1D628352" w14:textId="77777777" w:rsidR="00B4657C" w:rsidRPr="00BF281D" w:rsidRDefault="00B4657C" w:rsidP="00764265">
            <w:pPr>
              <w:spacing w:after="0" w:line="240" w:lineRule="auto"/>
              <w:rPr>
                <w:rFonts w:eastAsia="Times New Roman" w:cs="Times New Roman"/>
                <w:color w:val="000000"/>
                <w:sz w:val="16"/>
                <w:szCs w:val="16"/>
                <w:lang w:eastAsia="en-AU"/>
              </w:rPr>
            </w:pPr>
            <w:r w:rsidRPr="00BF281D">
              <w:rPr>
                <w:rFonts w:asciiTheme="minorHAnsi" w:eastAsia="Times New Roman" w:hAnsiTheme="minorHAnsi" w:cs="Calibri"/>
                <w:b/>
                <w:bCs/>
                <w:color w:val="000000"/>
                <w:sz w:val="16"/>
                <w:szCs w:val="16"/>
                <w:lang w:eastAsia="en-AU"/>
              </w:rPr>
              <w:t>Criteria</w:t>
            </w:r>
          </w:p>
        </w:tc>
        <w:tc>
          <w:tcPr>
            <w:tcW w:w="0" w:type="pct"/>
          </w:tcPr>
          <w:p w14:paraId="6754911E" w14:textId="77777777" w:rsidR="00B4657C" w:rsidRPr="00BF281D" w:rsidRDefault="00B4657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b/>
                <w:bCs/>
                <w:color w:val="000000"/>
                <w:sz w:val="16"/>
                <w:szCs w:val="16"/>
                <w:lang w:eastAsia="en-AU"/>
              </w:rPr>
              <w:t>Base Case</w:t>
            </w:r>
          </w:p>
        </w:tc>
        <w:tc>
          <w:tcPr>
            <w:tcW w:w="0" w:type="pct"/>
          </w:tcPr>
          <w:p w14:paraId="32500BCF" w14:textId="77777777" w:rsidR="00B4657C" w:rsidRPr="00BF281D" w:rsidRDefault="00B4657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b/>
                <w:bCs/>
                <w:color w:val="000000"/>
                <w:sz w:val="16"/>
                <w:szCs w:val="16"/>
                <w:lang w:eastAsia="en-AU"/>
              </w:rPr>
              <w:t>Status Quo</w:t>
            </w:r>
          </w:p>
        </w:tc>
        <w:tc>
          <w:tcPr>
            <w:tcW w:w="0" w:type="pct"/>
          </w:tcPr>
          <w:p w14:paraId="43E1CADB" w14:textId="77777777" w:rsidR="00B4657C" w:rsidRPr="00BF281D" w:rsidRDefault="00B4657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b/>
                <w:bCs/>
                <w:color w:val="000000"/>
                <w:sz w:val="16"/>
                <w:szCs w:val="16"/>
                <w:lang w:eastAsia="en-AU"/>
              </w:rPr>
              <w:t>Option 1</w:t>
            </w:r>
          </w:p>
        </w:tc>
        <w:tc>
          <w:tcPr>
            <w:tcW w:w="0" w:type="pct"/>
          </w:tcPr>
          <w:p w14:paraId="48301869" w14:textId="77777777" w:rsidR="00B4657C" w:rsidRPr="00BF281D" w:rsidRDefault="00B4657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b/>
                <w:bCs/>
                <w:color w:val="000000"/>
                <w:sz w:val="16"/>
                <w:szCs w:val="16"/>
                <w:lang w:eastAsia="en-AU"/>
              </w:rPr>
              <w:t>Option 2</w:t>
            </w:r>
          </w:p>
        </w:tc>
      </w:tr>
      <w:tr w:rsidR="00B4657C" w:rsidRPr="00BF281D" w14:paraId="3EBD489E" w14:textId="77777777" w:rsidTr="00764265">
        <w:trPr>
          <w:trHeight w:val="894"/>
        </w:trPr>
        <w:tc>
          <w:tcPr>
            <w:tcW w:w="1028" w:type="pct"/>
            <w:vAlign w:val="center"/>
          </w:tcPr>
          <w:p w14:paraId="4CFC2DE3" w14:textId="77777777" w:rsidR="00B4657C" w:rsidRPr="00BF281D" w:rsidRDefault="00B4657C" w:rsidP="00764265">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Encourage onshore conventional petroleum resource exploration and development in Victoria. </w:t>
            </w:r>
          </w:p>
        </w:tc>
        <w:tc>
          <w:tcPr>
            <w:tcW w:w="993" w:type="pct"/>
          </w:tcPr>
          <w:p w14:paraId="01793C67" w14:textId="77777777" w:rsidR="00B4657C" w:rsidRPr="00BF281D" w:rsidRDefault="00B4657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0</w:t>
            </w:r>
          </w:p>
        </w:tc>
        <w:tc>
          <w:tcPr>
            <w:tcW w:w="993" w:type="pct"/>
          </w:tcPr>
          <w:p w14:paraId="230EF437" w14:textId="77777777" w:rsidR="00B4657C" w:rsidRPr="00BF281D" w:rsidRDefault="00B4657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w:t>
            </w:r>
          </w:p>
        </w:tc>
        <w:tc>
          <w:tcPr>
            <w:tcW w:w="993" w:type="pct"/>
          </w:tcPr>
          <w:p w14:paraId="0FBBAFB0" w14:textId="77777777" w:rsidR="00B4657C" w:rsidRPr="00BF281D" w:rsidRDefault="00B4657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4</w:t>
            </w:r>
          </w:p>
        </w:tc>
        <w:tc>
          <w:tcPr>
            <w:tcW w:w="993" w:type="pct"/>
          </w:tcPr>
          <w:p w14:paraId="2E4F996A" w14:textId="77777777" w:rsidR="00B4657C" w:rsidRPr="00BF281D" w:rsidRDefault="00B4657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5</w:t>
            </w:r>
          </w:p>
        </w:tc>
      </w:tr>
    </w:tbl>
    <w:p w14:paraId="3116CA62" w14:textId="54A051D3" w:rsidR="00CD33B8" w:rsidRPr="00817682" w:rsidRDefault="00755AAD" w:rsidP="00C73B72">
      <w:pPr>
        <w:pStyle w:val="BodyCopyNEW"/>
      </w:pPr>
      <w:r>
        <w:t xml:space="preserve"> </w:t>
      </w:r>
    </w:p>
    <w:p w14:paraId="525EEC90" w14:textId="5E5EB5E3" w:rsidR="00CD33B8" w:rsidRPr="00813F6B" w:rsidRDefault="00755AAD" w:rsidP="00CD33B8">
      <w:pPr>
        <w:pStyle w:val="Heading4"/>
        <w:rPr>
          <w:sz w:val="20"/>
          <w:szCs w:val="20"/>
        </w:rPr>
      </w:pPr>
      <w:r w:rsidRPr="001528D0">
        <w:rPr>
          <w:color w:val="012169" w:themeColor="accent4"/>
          <w:sz w:val="20"/>
          <w:szCs w:val="20"/>
        </w:rPr>
        <w:t xml:space="preserve">Status Quo </w:t>
      </w:r>
    </w:p>
    <w:p w14:paraId="4CF14404" w14:textId="08F3CE34" w:rsidR="00BD0EC2" w:rsidRPr="008F5399" w:rsidRDefault="000B21CF" w:rsidP="000B21CF">
      <w:r w:rsidRPr="00BF281D">
        <w:t xml:space="preserve">The </w:t>
      </w:r>
      <w:r w:rsidR="00F157A3">
        <w:t>S</w:t>
      </w:r>
      <w:r w:rsidRPr="00BF281D">
        <w:t xml:space="preserve">tatus </w:t>
      </w:r>
      <w:r w:rsidR="00F157A3">
        <w:t>Q</w:t>
      </w:r>
      <w:r w:rsidRPr="00BF281D">
        <w:t xml:space="preserve">uo receives a score of </w:t>
      </w:r>
      <w:r w:rsidRPr="00AC00AB">
        <w:rPr>
          <w:b/>
        </w:rPr>
        <w:t>2</w:t>
      </w:r>
      <w:r w:rsidRPr="00BF281D">
        <w:t xml:space="preserve"> for encouraging the petroleum industry, as it is marginally better than the Base Case.</w:t>
      </w:r>
      <w:r w:rsidRPr="00817682">
        <w:t xml:space="preserve"> </w:t>
      </w:r>
      <w:r w:rsidR="00C21127">
        <w:t xml:space="preserve">This is </w:t>
      </w:r>
      <w:proofErr w:type="gramStart"/>
      <w:r w:rsidR="00C21127">
        <w:t>due to the fact that</w:t>
      </w:r>
      <w:proofErr w:type="gramEnd"/>
      <w:r w:rsidR="00C21127">
        <w:t xml:space="preserve"> it provides more certainty to the regulatory environment, which is important in the context of the re-start of the industry. </w:t>
      </w:r>
    </w:p>
    <w:p w14:paraId="4897C0EE" w14:textId="262DFA8A" w:rsidR="000B21CF" w:rsidRPr="00BF281D" w:rsidRDefault="000B21CF" w:rsidP="000B21CF">
      <w:pPr>
        <w:rPr>
          <w:i/>
          <w:iCs/>
        </w:rPr>
      </w:pPr>
      <w:r w:rsidRPr="00BF281D">
        <w:rPr>
          <w:i/>
          <w:iCs/>
        </w:rPr>
        <w:t xml:space="preserve">Authority, </w:t>
      </w:r>
      <w:proofErr w:type="gramStart"/>
      <w:r w:rsidRPr="00BF281D">
        <w:rPr>
          <w:i/>
          <w:iCs/>
        </w:rPr>
        <w:t>applications</w:t>
      </w:r>
      <w:proofErr w:type="gramEnd"/>
      <w:r w:rsidRPr="00BF281D">
        <w:rPr>
          <w:i/>
          <w:iCs/>
        </w:rPr>
        <w:t xml:space="preserve"> and grants</w:t>
      </w:r>
    </w:p>
    <w:p w14:paraId="00D157C9" w14:textId="77777777" w:rsidR="000B21CF" w:rsidRPr="00BF281D" w:rsidRDefault="000B21CF" w:rsidP="000B21CF">
      <w:r w:rsidRPr="00BF281D">
        <w:t xml:space="preserve">Under the Status Quo, at the authority application and grant stages, prospective authority holders would apply for an authority under the current Petroleum Act, and the current version of the regulations. </w:t>
      </w:r>
    </w:p>
    <w:p w14:paraId="2463BD15" w14:textId="00D60BF8" w:rsidR="000B21CF" w:rsidRDefault="000B21CF" w:rsidP="000B21CF">
      <w:r w:rsidRPr="00BF281D">
        <w:t>There may be some benefits to the Status Quo</w:t>
      </w:r>
      <w:r w:rsidR="00DE3C30">
        <w:t xml:space="preserve"> compared to the Base Case</w:t>
      </w:r>
      <w:r w:rsidRPr="00BF281D">
        <w:t xml:space="preserve">, as current authority holders, will be familiar with the regulations </w:t>
      </w:r>
      <w:r w:rsidR="00556FB1">
        <w:t>in their current form</w:t>
      </w:r>
      <w:r w:rsidRPr="00BF281D">
        <w:t>. Further, the degree of detail required from authority holders will be low</w:t>
      </w:r>
      <w:r w:rsidRPr="00817682">
        <w:t xml:space="preserve">, meaning the Status Quo </w:t>
      </w:r>
      <w:r w:rsidR="00807E60">
        <w:t>has a relatively low</w:t>
      </w:r>
      <w:r w:rsidRPr="00817682">
        <w:t xml:space="preserve"> administrative burden. </w:t>
      </w:r>
    </w:p>
    <w:p w14:paraId="19457D3B" w14:textId="43C05B4B" w:rsidR="009B7D33" w:rsidRPr="00BF281D" w:rsidRDefault="000B21CF" w:rsidP="000B21CF">
      <w:r w:rsidRPr="00817682">
        <w:t>However, these benefits will be minor, due to the time that has lapsed und</w:t>
      </w:r>
      <w:r w:rsidRPr="00BF281D">
        <w:t xml:space="preserve">er the moratoria, and the fact that the inherent inconsistency between the Act and </w:t>
      </w:r>
      <w:r w:rsidR="00D61863">
        <w:t xml:space="preserve">existing </w:t>
      </w:r>
      <w:r w:rsidRPr="00BF281D">
        <w:t xml:space="preserve">Regulations may mitigate the potential efficiency of having the same Regulations when the Act has </w:t>
      </w:r>
      <w:r w:rsidR="000A54BA">
        <w:t>been amended</w:t>
      </w:r>
      <w:r w:rsidRPr="00BF281D">
        <w:t xml:space="preserve">. </w:t>
      </w:r>
      <w:r>
        <w:t xml:space="preserve">This inconsistency will lead to uncertainty for authority holders on how their applications would be assessed without supporting regulations. </w:t>
      </w:r>
    </w:p>
    <w:p w14:paraId="18983971" w14:textId="77777777" w:rsidR="000B21CF" w:rsidRPr="00BF281D" w:rsidRDefault="000B21CF" w:rsidP="000B21CF">
      <w:pPr>
        <w:rPr>
          <w:i/>
          <w:iCs/>
        </w:rPr>
      </w:pPr>
      <w:r w:rsidRPr="00BF281D">
        <w:rPr>
          <w:i/>
          <w:iCs/>
        </w:rPr>
        <w:t>Conduct of operations</w:t>
      </w:r>
    </w:p>
    <w:p w14:paraId="22E05488" w14:textId="209A99C1" w:rsidR="000B21CF" w:rsidRPr="00BF281D" w:rsidRDefault="000B21CF" w:rsidP="000B21CF">
      <w:r w:rsidRPr="00BF281D">
        <w:t>There may be some benefits to the Status Quo because as explained</w:t>
      </w:r>
      <w:r w:rsidR="00F87870">
        <w:t xml:space="preserve"> above</w:t>
      </w:r>
      <w:r w:rsidRPr="00BF281D">
        <w:t xml:space="preserve">, current authority </w:t>
      </w:r>
      <w:proofErr w:type="gramStart"/>
      <w:r w:rsidRPr="00BF281D">
        <w:t>holders,  will</w:t>
      </w:r>
      <w:proofErr w:type="gramEnd"/>
      <w:r w:rsidRPr="00BF281D">
        <w:t xml:space="preserve"> be familiar with the regulations as is.  </w:t>
      </w:r>
    </w:p>
    <w:p w14:paraId="0E50653F" w14:textId="62674B68" w:rsidR="000B21CF" w:rsidRPr="00BF281D" w:rsidRDefault="000B21CF" w:rsidP="000B21CF">
      <w:r w:rsidRPr="00BF281D">
        <w:t>The</w:t>
      </w:r>
      <w:r w:rsidR="00BC23A6">
        <w:t xml:space="preserve"> </w:t>
      </w:r>
      <w:r w:rsidRPr="00BF281D">
        <w:t xml:space="preserve">inconsistencies between the </w:t>
      </w:r>
      <w:r w:rsidR="000A5FFC">
        <w:t>current</w:t>
      </w:r>
      <w:r w:rsidRPr="00BF281D">
        <w:t xml:space="preserve"> Regulations and the Petroleum Act may create confusion </w:t>
      </w:r>
      <w:r w:rsidR="00D80889">
        <w:t>and uncertainty</w:t>
      </w:r>
      <w:r w:rsidRPr="00BF281D">
        <w:t xml:space="preserve"> for authority </w:t>
      </w:r>
      <w:proofErr w:type="gramStart"/>
      <w:r w:rsidRPr="00BF281D">
        <w:t>holders, and</w:t>
      </w:r>
      <w:proofErr w:type="gramEnd"/>
      <w:r w:rsidRPr="00BF281D">
        <w:t xml:space="preserve"> could act as a deterrent for future investment in the petroleum industry</w:t>
      </w:r>
      <w:r w:rsidRPr="00817682">
        <w:t xml:space="preserve">. </w:t>
      </w:r>
      <w:r w:rsidR="003D1A3A">
        <w:t xml:space="preserve">This was supported by the </w:t>
      </w:r>
      <w:r w:rsidR="00A46E7B">
        <w:t>feedback f</w:t>
      </w:r>
      <w:r w:rsidR="00BC23A6">
        <w:t>ro</w:t>
      </w:r>
      <w:r w:rsidR="00A46E7B">
        <w:t xml:space="preserve">m authority holders </w:t>
      </w:r>
      <w:r w:rsidR="00621042">
        <w:t xml:space="preserve">through the stakeholder consultation. </w:t>
      </w:r>
    </w:p>
    <w:p w14:paraId="2FF16E27" w14:textId="77777777" w:rsidR="000B21CF" w:rsidRPr="00BF281D" w:rsidRDefault="000B21CF" w:rsidP="000B21CF">
      <w:pPr>
        <w:rPr>
          <w:i/>
          <w:iCs/>
        </w:rPr>
      </w:pPr>
      <w:r w:rsidRPr="00BF281D">
        <w:rPr>
          <w:i/>
          <w:iCs/>
        </w:rPr>
        <w:t>Information and reporting</w:t>
      </w:r>
    </w:p>
    <w:p w14:paraId="287A0B8B" w14:textId="0F139F6A" w:rsidR="00AB0E89" w:rsidRDefault="00C326AB" w:rsidP="000B21CF">
      <w:r>
        <w:t xml:space="preserve">In the Base Case, the Petroleum Act </w:t>
      </w:r>
      <w:r w:rsidR="00AB0E89">
        <w:t xml:space="preserve">requires information and data to be </w:t>
      </w:r>
      <w:r w:rsidR="00025682">
        <w:t>provided</w:t>
      </w:r>
      <w:r w:rsidR="00AB0E89">
        <w:t xml:space="preserve"> to the Minister</w:t>
      </w:r>
      <w:r w:rsidR="00025682">
        <w:t xml:space="preserve"> in a manner that is either specified by the Minister or prescribed in the regulations</w:t>
      </w:r>
      <w:r w:rsidR="00AB0E89">
        <w:t xml:space="preserve">. In general, the Act indicates </w:t>
      </w:r>
      <w:r w:rsidR="00D2575B">
        <w:t xml:space="preserve">the types of information and data </w:t>
      </w:r>
      <w:r w:rsidR="00AB0E89">
        <w:t xml:space="preserve">that </w:t>
      </w:r>
      <w:r w:rsidR="00D2575B">
        <w:t>the Minister can require or that the regulations can prescribe but</w:t>
      </w:r>
      <w:r w:rsidR="00AB0E89">
        <w:t xml:space="preserve"> much of the detail is set out in the Petroleum Regulations.</w:t>
      </w:r>
      <w:r w:rsidR="00AB0E89" w:rsidDel="000A5FFC">
        <w:t xml:space="preserve"> </w:t>
      </w:r>
      <w:r w:rsidR="00AB0E89">
        <w:t>The Status Quo will be marginally better</w:t>
      </w:r>
      <w:r w:rsidR="00C56377">
        <w:t xml:space="preserve"> for industry</w:t>
      </w:r>
      <w:r w:rsidR="00AB0E89">
        <w:t xml:space="preserve"> than the Base Case here, as at least there will be some detail around what types of information are required and when. This may be undermined by the fact that the Regulations would still be inconsistent</w:t>
      </w:r>
      <w:r w:rsidR="00C21533">
        <w:t xml:space="preserve"> with the Petroleum Act</w:t>
      </w:r>
      <w:r w:rsidR="00AB0E89">
        <w:t xml:space="preserve">, therefore causing uncertainty to industry in how to fulfil their obligations.  </w:t>
      </w:r>
    </w:p>
    <w:p w14:paraId="7274B99A" w14:textId="29FE64DF" w:rsidR="000B21CF" w:rsidRPr="000B21CF" w:rsidRDefault="00AB0E89" w:rsidP="00AC00AB">
      <w:r>
        <w:t xml:space="preserve">Therefore the Status Quo is slightly better than the Base Case in relation to information and reporting requirements, in considering how it may encourage petroleum resource development. </w:t>
      </w:r>
    </w:p>
    <w:p w14:paraId="2BCF7C82" w14:textId="1905DE28" w:rsidR="00755AAD" w:rsidRDefault="00755AAD" w:rsidP="00755AAD">
      <w:pPr>
        <w:pStyle w:val="Heading4"/>
      </w:pPr>
      <w:r w:rsidRPr="001528D0">
        <w:rPr>
          <w:color w:val="012169" w:themeColor="accent4"/>
          <w:sz w:val="20"/>
          <w:szCs w:val="20"/>
        </w:rPr>
        <w:t xml:space="preserve">Option </w:t>
      </w:r>
      <w:r w:rsidRPr="001528D0">
        <w:rPr>
          <w:color w:val="012169" w:themeColor="accent4"/>
        </w:rPr>
        <w:t xml:space="preserve">1 </w:t>
      </w:r>
    </w:p>
    <w:p w14:paraId="320EA09A" w14:textId="78A27E24" w:rsidR="000B21CF" w:rsidRPr="00BF281D" w:rsidRDefault="000B21CF" w:rsidP="000B21CF">
      <w:r w:rsidRPr="00BF281D">
        <w:t>Option 1 receives a score of</w:t>
      </w:r>
      <w:r w:rsidRPr="00AC00AB">
        <w:rPr>
          <w:b/>
        </w:rPr>
        <w:t xml:space="preserve"> 4</w:t>
      </w:r>
      <w:r w:rsidRPr="00BF281D">
        <w:t xml:space="preserve"> for encouraging the petroleum industry, as it is moderately better than the Base Case</w:t>
      </w:r>
      <w:r w:rsidR="00AB711D">
        <w:t xml:space="preserve"> and the Status Quo</w:t>
      </w:r>
      <w:r w:rsidRPr="00817682">
        <w:t xml:space="preserve">. </w:t>
      </w:r>
      <w:r w:rsidR="009F549D">
        <w:t>In broad terms, th</w:t>
      </w:r>
      <w:r w:rsidR="00FF48A1">
        <w:t>is Option is flexible and can adapt to the scale of risks presented</w:t>
      </w:r>
      <w:r w:rsidR="008929E0">
        <w:t>, which would help to encourage resource development</w:t>
      </w:r>
      <w:r w:rsidR="00FF48A1">
        <w:t xml:space="preserve">. </w:t>
      </w:r>
    </w:p>
    <w:p w14:paraId="6320B4D6" w14:textId="77777777" w:rsidR="009D36D0" w:rsidRDefault="009D36D0" w:rsidP="000B21CF">
      <w:pPr>
        <w:rPr>
          <w:i/>
          <w:iCs/>
        </w:rPr>
      </w:pPr>
    </w:p>
    <w:p w14:paraId="7633FC2C" w14:textId="03D37AF5" w:rsidR="000B21CF" w:rsidRPr="00BF281D" w:rsidRDefault="000B21CF" w:rsidP="000B21CF">
      <w:pPr>
        <w:rPr>
          <w:i/>
          <w:iCs/>
        </w:rPr>
      </w:pPr>
      <w:r w:rsidRPr="00BF281D">
        <w:rPr>
          <w:i/>
          <w:iCs/>
        </w:rPr>
        <w:lastRenderedPageBreak/>
        <w:t xml:space="preserve">Authority, </w:t>
      </w:r>
      <w:proofErr w:type="gramStart"/>
      <w:r w:rsidRPr="00BF281D">
        <w:rPr>
          <w:i/>
          <w:iCs/>
        </w:rPr>
        <w:t>applications</w:t>
      </w:r>
      <w:proofErr w:type="gramEnd"/>
      <w:r w:rsidRPr="00BF281D">
        <w:rPr>
          <w:i/>
          <w:iCs/>
        </w:rPr>
        <w:t xml:space="preserve"> and grants</w:t>
      </w:r>
    </w:p>
    <w:p w14:paraId="435E2815" w14:textId="77777777" w:rsidR="000B21CF" w:rsidRPr="00BF281D" w:rsidRDefault="000B21CF" w:rsidP="000B21CF">
      <w:r w:rsidRPr="00BF281D">
        <w:t xml:space="preserve">Under Option 1, the regulations would contain broad outcomes-based application and licensing requirements which are modernised to be in line with the recently amended Petroleum Act. </w:t>
      </w:r>
    </w:p>
    <w:p w14:paraId="7830D7C2" w14:textId="77777777" w:rsidR="009E51C7" w:rsidRDefault="000B21CF" w:rsidP="000B21CF">
      <w:r w:rsidRPr="00BF281D">
        <w:t>While one of the benefits under Option 1 is that the Regulations would now be consistent with the new requirements called upon by the Petroleum Act, the main benefit is that authority holders must only meet broad requirements as opposed to a prescriptive list</w:t>
      </w:r>
      <w:r w:rsidRPr="00817682">
        <w:t>.</w:t>
      </w:r>
      <w:r w:rsidR="009E51C7">
        <w:t xml:space="preserve"> The approach is scalable to the size and risk of the relevant activity. </w:t>
      </w:r>
      <w:r w:rsidRPr="00817682">
        <w:t xml:space="preserve">   </w:t>
      </w:r>
    </w:p>
    <w:p w14:paraId="1196C8C0" w14:textId="0104A758" w:rsidR="000B21CF" w:rsidRPr="00BF281D" w:rsidRDefault="009E51C7" w:rsidP="000B21CF">
      <w:r>
        <w:t>One</w:t>
      </w:r>
      <w:r w:rsidR="000B21CF" w:rsidRPr="00BF281D">
        <w:t xml:space="preserve"> authority holder strongly supported Option 1 as </w:t>
      </w:r>
      <w:r w:rsidR="007A4572">
        <w:t>its</w:t>
      </w:r>
      <w:r w:rsidR="000B21CF" w:rsidRPr="00BF281D">
        <w:t xml:space="preserve"> preferred approach due to the nature of the exploration industry </w:t>
      </w:r>
      <w:r w:rsidR="00544B99">
        <w:t xml:space="preserve">where there </w:t>
      </w:r>
      <w:r w:rsidR="001B62B3">
        <w:t>are both</w:t>
      </w:r>
      <w:r w:rsidR="00544B99">
        <w:t xml:space="preserve"> small and </w:t>
      </w:r>
      <w:r w:rsidR="00207AB5">
        <w:t>straightforward</w:t>
      </w:r>
      <w:r w:rsidR="00544B99">
        <w:t xml:space="preserve"> operations </w:t>
      </w:r>
      <w:r w:rsidR="001B62B3">
        <w:t>and</w:t>
      </w:r>
      <w:r w:rsidR="00544B99">
        <w:t xml:space="preserve"> larg</w:t>
      </w:r>
      <w:r w:rsidR="00207AB5">
        <w:t>e</w:t>
      </w:r>
      <w:r w:rsidR="00544B99">
        <w:t>-scal</w:t>
      </w:r>
      <w:r w:rsidR="00207AB5">
        <w:t>e, complex operations.</w:t>
      </w:r>
      <w:r w:rsidR="00544B99">
        <w:t xml:space="preserve"> </w:t>
      </w:r>
    </w:p>
    <w:p w14:paraId="60A024F8" w14:textId="05198465" w:rsidR="000B21CF" w:rsidRPr="00BF281D" w:rsidRDefault="00207AB5" w:rsidP="000B21CF">
      <w:r>
        <w:t>Option</w:t>
      </w:r>
      <w:r w:rsidR="00C263D6">
        <w:t xml:space="preserve"> 1</w:t>
      </w:r>
      <w:r w:rsidR="000B21CF" w:rsidRPr="00BF281D">
        <w:t xml:space="preserve"> provides authority holders with greater flexibility on the </w:t>
      </w:r>
      <w:r>
        <w:t>volume</w:t>
      </w:r>
      <w:r w:rsidR="000B21CF" w:rsidRPr="00BF281D">
        <w:t xml:space="preserve"> of information they provide</w:t>
      </w:r>
      <w:r w:rsidR="006F484A">
        <w:t>,</w:t>
      </w:r>
      <w:r w:rsidR="000B21CF" w:rsidRPr="00BF281D">
        <w:t xml:space="preserve"> and </w:t>
      </w:r>
      <w:r w:rsidR="006F484A">
        <w:t>means</w:t>
      </w:r>
      <w:r w:rsidR="000B21CF" w:rsidRPr="00BF281D">
        <w:t xml:space="preserve"> the information provided in the application process can be</w:t>
      </w:r>
      <w:r w:rsidR="006F484A">
        <w:t xml:space="preserve"> more easily</w:t>
      </w:r>
      <w:r w:rsidR="000B21CF" w:rsidRPr="00BF281D">
        <w:t xml:space="preserve"> tailored to the scale or the risk of the project. </w:t>
      </w:r>
    </w:p>
    <w:p w14:paraId="621D23F2" w14:textId="43E77B3D" w:rsidR="000B21CF" w:rsidRDefault="000B21CF" w:rsidP="000B21CF">
      <w:r w:rsidRPr="00BF281D">
        <w:t>Under Option 1, the effort required for the applications and grants process matches the scale of the activity, minimising red tape for authority holders. This tailored application process could</w:t>
      </w:r>
      <w:r w:rsidR="006F484A">
        <w:t xml:space="preserve"> therefore</w:t>
      </w:r>
      <w:r w:rsidRPr="00BF281D">
        <w:t xml:space="preserve"> incentivise and encourage investment into the petroleum industry in Victoria. </w:t>
      </w:r>
    </w:p>
    <w:p w14:paraId="37F436AA" w14:textId="515F8FA2" w:rsidR="00AB5199" w:rsidRDefault="00121E83" w:rsidP="000B21CF">
      <w:r>
        <w:t xml:space="preserve">For the authority, applications and grants process, </w:t>
      </w:r>
      <w:r w:rsidR="006F484A">
        <w:t xml:space="preserve">Option </w:t>
      </w:r>
      <w:r>
        <w:t>1</w:t>
      </w:r>
      <w:r w:rsidR="006F484A">
        <w:t xml:space="preserve"> </w:t>
      </w:r>
      <w:r w:rsidR="00AB5199">
        <w:t xml:space="preserve">would perform more strongly than the Base Case, where the detail for the authority, application and grants process would not be present in the Regulations. </w:t>
      </w:r>
    </w:p>
    <w:p w14:paraId="12F8DBF3" w14:textId="77777777" w:rsidR="000B21CF" w:rsidRPr="00BF281D" w:rsidRDefault="000B21CF" w:rsidP="000B21CF">
      <w:pPr>
        <w:rPr>
          <w:i/>
          <w:iCs/>
        </w:rPr>
      </w:pPr>
      <w:r w:rsidRPr="00BF281D">
        <w:rPr>
          <w:i/>
          <w:iCs/>
        </w:rPr>
        <w:t>Conduct of operations</w:t>
      </w:r>
    </w:p>
    <w:p w14:paraId="701AB55E" w14:textId="77777777" w:rsidR="000B21CF" w:rsidRPr="00BF281D" w:rsidRDefault="000B21CF" w:rsidP="000B21CF">
      <w:r w:rsidRPr="00BF281D">
        <w:t xml:space="preserve">In Option 1, there is an outcomes-based approach to operations plans, where the plan must meet general criteria and industry is responsible for monitoring progress against these criteria. </w:t>
      </w:r>
    </w:p>
    <w:p w14:paraId="3EF13EE9" w14:textId="57B5CE53" w:rsidR="000B21CF" w:rsidRDefault="000B21CF" w:rsidP="000B21CF">
      <w:r w:rsidRPr="00BF281D">
        <w:t xml:space="preserve">This is likely to be desirable for operators that have been operational in Victoria or other jurisdictions for some time and have established processes and systems for meeting such requirements. Several authority holders indicated that this would be the case for them, and there would be minimal additional resourcing needed to meet these requirements. </w:t>
      </w:r>
    </w:p>
    <w:p w14:paraId="74B919D8" w14:textId="0345284B" w:rsidR="007A3DAF" w:rsidRPr="00BF281D" w:rsidRDefault="007A3DAF" w:rsidP="000B21CF">
      <w:r>
        <w:t>Option</w:t>
      </w:r>
      <w:r w:rsidR="00805A71">
        <w:t xml:space="preserve"> 1</w:t>
      </w:r>
      <w:r>
        <w:t xml:space="preserve"> has a </w:t>
      </w:r>
      <w:r w:rsidR="00556911">
        <w:t>higher benefit score compared to the Base Case</w:t>
      </w:r>
      <w:r w:rsidR="00FB791E">
        <w:t xml:space="preserve"> for</w:t>
      </w:r>
      <w:r w:rsidR="00E10CBF">
        <w:t xml:space="preserve"> </w:t>
      </w:r>
      <w:r w:rsidR="005E266C">
        <w:t>encourag</w:t>
      </w:r>
      <w:r w:rsidR="00FB791E">
        <w:t>ing</w:t>
      </w:r>
      <w:r w:rsidR="005E266C">
        <w:t xml:space="preserve"> petroleum resource development. T</w:t>
      </w:r>
      <w:r w:rsidR="00556911">
        <w:t>here would be a moderate degree of detail specified in the Regulations</w:t>
      </w:r>
      <w:r w:rsidR="00805A71">
        <w:t>, as</w:t>
      </w:r>
      <w:r w:rsidR="00556911">
        <w:t xml:space="preserve"> </w:t>
      </w:r>
      <w:r w:rsidR="00C47123">
        <w:t>compared</w:t>
      </w:r>
      <w:r w:rsidR="00556911">
        <w:t xml:space="preserve"> to no detail at all</w:t>
      </w:r>
      <w:r w:rsidR="00805A71">
        <w:t xml:space="preserve"> </w:t>
      </w:r>
      <w:r w:rsidR="005E266C">
        <w:t>in the Base Case (</w:t>
      </w:r>
      <w:r w:rsidR="00805A71">
        <w:t xml:space="preserve">which would make it very difficult for </w:t>
      </w:r>
      <w:r w:rsidR="008658B7">
        <w:t>operators to provide</w:t>
      </w:r>
      <w:r w:rsidR="009421DF">
        <w:t xml:space="preserve"> and comply with their</w:t>
      </w:r>
      <w:r w:rsidR="008658B7">
        <w:t xml:space="preserve"> Operational Plan</w:t>
      </w:r>
      <w:r w:rsidR="005E266C">
        <w:t xml:space="preserve">). </w:t>
      </w:r>
    </w:p>
    <w:p w14:paraId="5AC42897" w14:textId="77777777" w:rsidR="000B21CF" w:rsidRPr="00BF281D" w:rsidRDefault="000B21CF" w:rsidP="000B21CF">
      <w:pPr>
        <w:rPr>
          <w:i/>
          <w:iCs/>
        </w:rPr>
      </w:pPr>
      <w:r w:rsidRPr="00BF281D">
        <w:rPr>
          <w:i/>
          <w:iCs/>
        </w:rPr>
        <w:t>Information and reporting</w:t>
      </w:r>
    </w:p>
    <w:p w14:paraId="11287409" w14:textId="0F27741E" w:rsidR="000B21CF" w:rsidRPr="000B21CF" w:rsidRDefault="00F83F8B" w:rsidP="00AC00AB">
      <w:r>
        <w:t>The moderate, objectives</w:t>
      </w:r>
      <w:r w:rsidR="00832ACF">
        <w:t>-</w:t>
      </w:r>
      <w:r>
        <w:t xml:space="preserve">based information and </w:t>
      </w:r>
      <w:r w:rsidR="005E266C">
        <w:t>reporting requirements in Option 1 perform more strongly as compared to the Base Case in encouraging petroleum resource development</w:t>
      </w:r>
      <w:r w:rsidR="0073014D">
        <w:t>. Again</w:t>
      </w:r>
      <w:r w:rsidR="00C56377">
        <w:t>,</w:t>
      </w:r>
      <w:r w:rsidR="0073014D">
        <w:t xml:space="preserve"> </w:t>
      </w:r>
      <w:r w:rsidR="00C56377">
        <w:t>t</w:t>
      </w:r>
      <w:r w:rsidR="0073014D">
        <w:t>his is because there would be a moderate degree of detail specified in the Regulations, as compared to no detail at all in the Base Case (which would make it very difficult for operators to provide and comply with their information and reporting obligations under the Petroleum Act).</w:t>
      </w:r>
    </w:p>
    <w:p w14:paraId="13A06C71" w14:textId="075AE633" w:rsidR="00755AAD" w:rsidRPr="00D850B6" w:rsidRDefault="00755AAD" w:rsidP="00755AAD">
      <w:pPr>
        <w:pStyle w:val="Heading4"/>
        <w:rPr>
          <w:sz w:val="20"/>
          <w:szCs w:val="20"/>
        </w:rPr>
      </w:pPr>
      <w:r w:rsidRPr="001528D0">
        <w:rPr>
          <w:color w:val="012169" w:themeColor="accent4"/>
          <w:sz w:val="20"/>
          <w:szCs w:val="20"/>
        </w:rPr>
        <w:t xml:space="preserve">Option 2 </w:t>
      </w:r>
    </w:p>
    <w:p w14:paraId="1FBF9D20" w14:textId="779E5AD5" w:rsidR="000B21CF" w:rsidRPr="00817682" w:rsidRDefault="000B21CF" w:rsidP="000B21CF">
      <w:r w:rsidRPr="00BF281D">
        <w:t xml:space="preserve">Option 2 receives a score of </w:t>
      </w:r>
      <w:r w:rsidRPr="00012DD6">
        <w:rPr>
          <w:b/>
        </w:rPr>
        <w:t>5</w:t>
      </w:r>
      <w:r w:rsidRPr="00BF281D">
        <w:t xml:space="preserve"> for encouraging the petroleum industry, as it is better than the Base Case</w:t>
      </w:r>
      <w:r w:rsidR="0073014D">
        <w:t xml:space="preserve">, </w:t>
      </w:r>
      <w:proofErr w:type="gramStart"/>
      <w:r w:rsidR="00D06981">
        <w:t>Status Quo</w:t>
      </w:r>
      <w:proofErr w:type="gramEnd"/>
      <w:r w:rsidR="00D06981">
        <w:t xml:space="preserve"> </w:t>
      </w:r>
      <w:r w:rsidR="0073014D">
        <w:t>and Option 1 on th</w:t>
      </w:r>
      <w:r w:rsidR="00BB6EC6">
        <w:t>is</w:t>
      </w:r>
      <w:r w:rsidR="0073014D">
        <w:t xml:space="preserve"> benefit criteria</w:t>
      </w:r>
      <w:r w:rsidRPr="00BF281D">
        <w:t xml:space="preserve">. </w:t>
      </w:r>
      <w:r w:rsidR="00BD0EC2">
        <w:t xml:space="preserve">This is because it provides </w:t>
      </w:r>
      <w:r w:rsidR="00F307DE">
        <w:t>the most certainty for industry in re-commencing their operations</w:t>
      </w:r>
      <w:r w:rsidR="00D06981">
        <w:t xml:space="preserve">. </w:t>
      </w:r>
      <w:r w:rsidR="00D4157D">
        <w:t xml:space="preserve">This </w:t>
      </w:r>
      <w:proofErr w:type="gramStart"/>
      <w:r w:rsidR="00D4157D">
        <w:t>is considered to be</w:t>
      </w:r>
      <w:proofErr w:type="gramEnd"/>
      <w:r w:rsidR="00D4157D">
        <w:t xml:space="preserve"> more</w:t>
      </w:r>
      <w:r w:rsidR="005942EF">
        <w:t xml:space="preserve"> </w:t>
      </w:r>
      <w:r w:rsidR="000F3C97">
        <w:t>beneficial</w:t>
      </w:r>
      <w:r w:rsidR="005942EF">
        <w:t xml:space="preserve"> than the flexibility provided under Option 1. </w:t>
      </w:r>
      <w:r w:rsidR="00866970">
        <w:t xml:space="preserve"> </w:t>
      </w:r>
    </w:p>
    <w:p w14:paraId="14FBA7A6" w14:textId="77777777" w:rsidR="000B21CF" w:rsidRPr="00BF281D" w:rsidRDefault="000B21CF" w:rsidP="000B21CF">
      <w:pPr>
        <w:rPr>
          <w:i/>
          <w:iCs/>
        </w:rPr>
      </w:pPr>
      <w:r w:rsidRPr="00BF281D">
        <w:rPr>
          <w:i/>
          <w:iCs/>
        </w:rPr>
        <w:t xml:space="preserve">Authority, </w:t>
      </w:r>
      <w:proofErr w:type="gramStart"/>
      <w:r w:rsidRPr="00BF281D">
        <w:rPr>
          <w:i/>
          <w:iCs/>
        </w:rPr>
        <w:t>applications</w:t>
      </w:r>
      <w:proofErr w:type="gramEnd"/>
      <w:r w:rsidRPr="00BF281D">
        <w:rPr>
          <w:i/>
          <w:iCs/>
        </w:rPr>
        <w:t xml:space="preserve"> and grants</w:t>
      </w:r>
    </w:p>
    <w:p w14:paraId="155B48AD" w14:textId="68845DB3" w:rsidR="000B21CF" w:rsidRPr="00BF281D" w:rsidRDefault="000B21CF" w:rsidP="000B21CF">
      <w:r w:rsidRPr="00BF281D">
        <w:t>Under Option 2, the</w:t>
      </w:r>
      <w:r w:rsidR="0073014D">
        <w:t xml:space="preserve"> Petroleum</w:t>
      </w:r>
      <w:r w:rsidRPr="00BF281D">
        <w:t xml:space="preserve"> regulations would explicitly prescribe licensing and application requirements and there would also be strong prescription around the Minister’s decision-making criteria. </w:t>
      </w:r>
    </w:p>
    <w:p w14:paraId="69FFBF41" w14:textId="77777777" w:rsidR="000B21CF" w:rsidRPr="00BF281D" w:rsidRDefault="000B21CF" w:rsidP="000B21CF">
      <w:r w:rsidRPr="00BF281D">
        <w:lastRenderedPageBreak/>
        <w:t xml:space="preserve">While one of the benefits is that the Regulations would now be in line with the requirements called upon by the Petroleum Act, the main benefit is the clarity and certainty provided to industry on the applications process. </w:t>
      </w:r>
    </w:p>
    <w:p w14:paraId="1359197A" w14:textId="5391DBC7" w:rsidR="000B21CF" w:rsidRPr="00BF281D" w:rsidRDefault="000B21CF" w:rsidP="000B21CF">
      <w:r w:rsidRPr="00BF281D">
        <w:t xml:space="preserve">Clarity is achieved as authority holders are explicitly aware of what they must provide and the requirements in the applications and grants process. In </w:t>
      </w:r>
      <w:r w:rsidR="00B56CDA">
        <w:t>the RIS</w:t>
      </w:r>
      <w:r w:rsidRPr="00BF281D">
        <w:t xml:space="preserve"> stakeholder consultation, </w:t>
      </w:r>
      <w:r w:rsidR="00AF1F11">
        <w:t>one</w:t>
      </w:r>
      <w:r w:rsidRPr="00BF281D">
        <w:t xml:space="preserve"> authority holder outlined that they preferred Option 2 as more </w:t>
      </w:r>
      <w:r w:rsidR="00B56CDA">
        <w:t xml:space="preserve">specification on the detail required </w:t>
      </w:r>
      <w:r w:rsidR="00B83356">
        <w:t xml:space="preserve">actually reduced the administrative burden and risk, as compared to the </w:t>
      </w:r>
      <w:proofErr w:type="gramStart"/>
      <w:r w:rsidR="00B83356">
        <w:t>object</w:t>
      </w:r>
      <w:r w:rsidR="00E604E2">
        <w:t>ives</w:t>
      </w:r>
      <w:r w:rsidR="00B83356">
        <w:t xml:space="preserve"> based</w:t>
      </w:r>
      <w:proofErr w:type="gramEnd"/>
      <w:r w:rsidR="00B83356">
        <w:t xml:space="preserve"> approach where there may be more subjectivity in interpreting the requirements. </w:t>
      </w:r>
      <w:r w:rsidRPr="00BF281D">
        <w:t xml:space="preserve">For some authority holders, the specific guidance could save them time </w:t>
      </w:r>
      <w:r w:rsidR="00B83356">
        <w:t xml:space="preserve">in preparing the submission and </w:t>
      </w:r>
      <w:r w:rsidRPr="00BF281D">
        <w:t xml:space="preserve">limit the time spent providing </w:t>
      </w:r>
      <w:r w:rsidR="00B83356">
        <w:t xml:space="preserve">potentially </w:t>
      </w:r>
      <w:r w:rsidRPr="00BF281D">
        <w:t xml:space="preserve">unnecessary information </w:t>
      </w:r>
      <w:r w:rsidR="00B83356">
        <w:t>(</w:t>
      </w:r>
      <w:r w:rsidRPr="00BF281D">
        <w:t>which would not be considered by the Minister</w:t>
      </w:r>
      <w:r w:rsidR="00B83356">
        <w:t xml:space="preserve"> or ERR)</w:t>
      </w:r>
      <w:r w:rsidRPr="00BF281D">
        <w:t xml:space="preserve">. </w:t>
      </w:r>
    </w:p>
    <w:p w14:paraId="5C331045" w14:textId="32976DDD" w:rsidR="000B21CF" w:rsidRPr="00BF281D" w:rsidRDefault="000B21CF" w:rsidP="000B21CF">
      <w:r w:rsidRPr="00BF281D">
        <w:t>APPEA highlighted that the prescription provided to authority holders on how decisions will be made could provide industry with reasonable certainty regarding the approval of their application. There is less subjectivity in the process and authority holders would know exactly what is required, as opposed to submitting documentation which the</w:t>
      </w:r>
      <w:r w:rsidR="00B83356">
        <w:t>y</w:t>
      </w:r>
      <w:r w:rsidRPr="00BF281D">
        <w:t xml:space="preserve"> </w:t>
      </w:r>
      <w:r w:rsidR="00B83356">
        <w:t>consider</w:t>
      </w:r>
      <w:r w:rsidRPr="00BF281D">
        <w:t xml:space="preserve"> to be acceptable but ultimately is not. </w:t>
      </w:r>
    </w:p>
    <w:p w14:paraId="2E0414B0" w14:textId="195645BF" w:rsidR="000B21CF" w:rsidRPr="00BF281D" w:rsidRDefault="000B21CF" w:rsidP="000B21CF">
      <w:r w:rsidRPr="00BF281D">
        <w:t>Under the applications and grants process, Option 2 could provide industry with greater clarity and assurance that they need to invest in petroleum exploration and development in Victoria</w:t>
      </w:r>
      <w:r w:rsidR="00B83356">
        <w:t xml:space="preserve">, as compared to the Base Case, </w:t>
      </w:r>
      <w:proofErr w:type="gramStart"/>
      <w:r w:rsidR="00B83356">
        <w:t>Status Quo</w:t>
      </w:r>
      <w:proofErr w:type="gramEnd"/>
      <w:r w:rsidR="00B83356">
        <w:t xml:space="preserve"> and Option 1</w:t>
      </w:r>
      <w:r w:rsidRPr="00BF281D">
        <w:t>.</w:t>
      </w:r>
    </w:p>
    <w:p w14:paraId="6D9A73CF" w14:textId="77777777" w:rsidR="000B21CF" w:rsidRPr="00BF281D" w:rsidRDefault="000B21CF" w:rsidP="000B21CF">
      <w:pPr>
        <w:rPr>
          <w:i/>
          <w:iCs/>
        </w:rPr>
      </w:pPr>
      <w:r w:rsidRPr="00BF281D">
        <w:rPr>
          <w:i/>
          <w:iCs/>
        </w:rPr>
        <w:t>Conduct of operations</w:t>
      </w:r>
    </w:p>
    <w:p w14:paraId="5959BE2A" w14:textId="0339B767" w:rsidR="000B21CF" w:rsidRPr="00BF281D" w:rsidRDefault="000B21CF" w:rsidP="000B21CF">
      <w:r w:rsidRPr="00BF281D">
        <w:t>The main benefit of the standards-based approach in Option 2 is the additional certainty and assurance that it provide</w:t>
      </w:r>
      <w:r w:rsidR="00655DE5">
        <w:t>d</w:t>
      </w:r>
      <w:r w:rsidRPr="00BF281D">
        <w:t xml:space="preserve"> to operators. In Option 2, operators would be confident that if they meet all the requirements detailed in the regulations then their proposed approaches and plans would be </w:t>
      </w:r>
      <w:r w:rsidR="00C97D92">
        <w:t>accepted</w:t>
      </w:r>
      <w:r w:rsidRPr="00BF281D">
        <w:t xml:space="preserve">. This would reduce unnecessary time spent determining how to obtain approval, therefore encouraging development of the industry. Several authority holders were of this view, mentioning that increased certainty is important if operations were to expand. </w:t>
      </w:r>
    </w:p>
    <w:p w14:paraId="62E135BC" w14:textId="583DA024" w:rsidR="000B21CF" w:rsidRPr="00BF281D" w:rsidRDefault="000B21CF" w:rsidP="000B21CF">
      <w:r w:rsidRPr="00BF281D">
        <w:t xml:space="preserve">In addition, some stakeholders mentioned that the way in which operations plans are reviewed and </w:t>
      </w:r>
      <w:r w:rsidR="00C97D92">
        <w:t>accepted</w:t>
      </w:r>
      <w:r w:rsidRPr="00BF281D">
        <w:t xml:space="preserve"> has been changing, so a more structured approach may be beneficial for regulators and operators.</w:t>
      </w:r>
    </w:p>
    <w:p w14:paraId="74D75D63" w14:textId="35815374" w:rsidR="000B21CF" w:rsidRPr="00BF281D" w:rsidRDefault="00084E71" w:rsidP="000B21CF">
      <w:r>
        <w:t>An</w:t>
      </w:r>
      <w:r w:rsidR="000B21CF" w:rsidRPr="00BF281D">
        <w:t xml:space="preserve"> example of the way the reforms under consideration in this RIS will help to encourage the development of the onshore conventional petroleum industry in Victoria, may be seen in the Code of Practice, which is being modelled on </w:t>
      </w:r>
      <w:r>
        <w:t xml:space="preserve">relevant Codes of Practice under </w:t>
      </w:r>
      <w:r w:rsidR="000B21CF" w:rsidRPr="00BF281D">
        <w:t>the Queensland</w:t>
      </w:r>
      <w:r w:rsidR="00A47938">
        <w:t>,</w:t>
      </w:r>
      <w:r w:rsidR="000B21CF" w:rsidRPr="00BF281D" w:rsidDel="00A47938">
        <w:t xml:space="preserve"> </w:t>
      </w:r>
      <w:r w:rsidR="000B21CF" w:rsidRPr="00BF281D">
        <w:t xml:space="preserve">Northern Territory </w:t>
      </w:r>
      <w:r w:rsidR="00A47938">
        <w:t>and New South Wales petroleum legislative frameworks.</w:t>
      </w:r>
      <w:r w:rsidR="000B21CF" w:rsidRPr="00BF281D" w:rsidDel="00A47938">
        <w:t xml:space="preserve"> </w:t>
      </w:r>
      <w:r w:rsidR="000B21CF" w:rsidRPr="00BF281D">
        <w:t xml:space="preserve">This also means that there will be some familiarity with the new Victorian Code of Practice for those authority holders who operate in </w:t>
      </w:r>
      <w:r w:rsidR="00A47938">
        <w:t>those other jurisdictions</w:t>
      </w:r>
      <w:r w:rsidR="00A47938" w:rsidRPr="00BF281D">
        <w:t xml:space="preserve"> </w:t>
      </w:r>
      <w:r w:rsidR="000B21CF" w:rsidRPr="00BF281D">
        <w:t xml:space="preserve">as well.  </w:t>
      </w:r>
    </w:p>
    <w:p w14:paraId="052694FB" w14:textId="77777777" w:rsidR="000B21CF" w:rsidRPr="00BF281D" w:rsidRDefault="000B21CF" w:rsidP="000B21CF">
      <w:pPr>
        <w:rPr>
          <w:i/>
          <w:iCs/>
        </w:rPr>
      </w:pPr>
      <w:r w:rsidRPr="00BF281D">
        <w:rPr>
          <w:i/>
          <w:iCs/>
        </w:rPr>
        <w:t>Information and reporting</w:t>
      </w:r>
    </w:p>
    <w:p w14:paraId="3C23AD54" w14:textId="73464853" w:rsidR="00F83F8B" w:rsidRPr="00BF281D" w:rsidRDefault="00F83F8B" w:rsidP="00F83F8B">
      <w:r w:rsidRPr="00BF281D">
        <w:t>The flexibility and broader requirements in Option 1 may provide a slight benefit for the criteri</w:t>
      </w:r>
      <w:r w:rsidR="0084503F">
        <w:t>on</w:t>
      </w:r>
      <w:r w:rsidRPr="00BF281D">
        <w:t xml:space="preserve"> of encouraging the petroleum industry as compared to Option 2 which is more prescriptive</w:t>
      </w:r>
      <w:r w:rsidRPr="00817682">
        <w:t>. This is evident in the administrative flexibility to allow the Minister and authority holder to agree timeframes for submission of information</w:t>
      </w:r>
      <w:r w:rsidR="00327EE1">
        <w:t xml:space="preserve"> in Option 1</w:t>
      </w:r>
      <w:r w:rsidR="00CF0BD8">
        <w:t xml:space="preserve">, whereas Option 2 </w:t>
      </w:r>
      <w:r w:rsidR="009072F0">
        <w:t>will specify the timeframes more precisely</w:t>
      </w:r>
      <w:r w:rsidRPr="00817682">
        <w:t xml:space="preserve">. </w:t>
      </w:r>
      <w:r w:rsidR="009F6C8D">
        <w:t xml:space="preserve">The geological data and additional information provided in this option may also improve the Victorian Government’s ability to encourage future investment in these regions. </w:t>
      </w:r>
    </w:p>
    <w:p w14:paraId="574CD68D" w14:textId="0B0AE325" w:rsidR="001A37D7" w:rsidRDefault="00BD10EC" w:rsidP="00AC00AB">
      <w:pPr>
        <w:pStyle w:val="Heading4"/>
      </w:pPr>
      <w:r w:rsidRPr="001528D0">
        <w:rPr>
          <w:color w:val="012169" w:themeColor="accent4"/>
        </w:rPr>
        <w:t>Conclusion</w:t>
      </w:r>
      <w:r w:rsidR="001A37D7" w:rsidRPr="001528D0">
        <w:rPr>
          <w:color w:val="012169" w:themeColor="accent4"/>
        </w:rPr>
        <w:t xml:space="preserve"> – Encouraging resource development </w:t>
      </w:r>
    </w:p>
    <w:p w14:paraId="05E419E4" w14:textId="630671C9" w:rsidR="004057C7" w:rsidRDefault="00BD10EC" w:rsidP="00AC00AB">
      <w:r>
        <w:t xml:space="preserve">On balance, we consider that Option 2 performs more strongly in encouraging resource development, </w:t>
      </w:r>
      <w:r w:rsidR="00D7422F">
        <w:t>as compared to the</w:t>
      </w:r>
      <w:r w:rsidR="00E80FC7">
        <w:t xml:space="preserve"> Base Case, </w:t>
      </w:r>
      <w:proofErr w:type="gramStart"/>
      <w:r w:rsidR="00E80FC7">
        <w:t>Status Quo</w:t>
      </w:r>
      <w:proofErr w:type="gramEnd"/>
      <w:r w:rsidR="00E80FC7">
        <w:t xml:space="preserve"> and Option 1</w:t>
      </w:r>
      <w:r w:rsidR="00D7422F">
        <w:t xml:space="preserve">, </w:t>
      </w:r>
      <w:r>
        <w:t>as the specificity in the requirements will assist industry in meeting the</w:t>
      </w:r>
      <w:r w:rsidR="00FB6907">
        <w:t>ir new obligations</w:t>
      </w:r>
      <w:r>
        <w:t xml:space="preserve">, </w:t>
      </w:r>
      <w:r w:rsidR="00D7422F">
        <w:t xml:space="preserve">which is important in the context of </w:t>
      </w:r>
      <w:r w:rsidR="00D11240">
        <w:t xml:space="preserve">the </w:t>
      </w:r>
      <w:r w:rsidR="00D7422F">
        <w:t xml:space="preserve">industry re-start </w:t>
      </w:r>
      <w:r w:rsidR="00D11240">
        <w:t>as well as ongoing investment in the sector</w:t>
      </w:r>
      <w:r w:rsidR="004057C7">
        <w:t>.</w:t>
      </w:r>
    </w:p>
    <w:p w14:paraId="6C662799" w14:textId="260A0D66" w:rsidR="009D36D0" w:rsidRDefault="009D36D0" w:rsidP="00AC00AB"/>
    <w:p w14:paraId="6AB0BC6C" w14:textId="77777777" w:rsidR="009D36D0" w:rsidRPr="00755AAD" w:rsidRDefault="009D36D0" w:rsidP="00AC00AB"/>
    <w:p w14:paraId="7B73FB08" w14:textId="0948227C" w:rsidR="00D11240" w:rsidRDefault="006100DB" w:rsidP="00FA1673">
      <w:pPr>
        <w:pStyle w:val="Heading3"/>
      </w:pPr>
      <w:r>
        <w:lastRenderedPageBreak/>
        <w:t xml:space="preserve">Building </w:t>
      </w:r>
      <w:r w:rsidR="0054704E">
        <w:t>Social license</w:t>
      </w:r>
    </w:p>
    <w:tbl>
      <w:tblPr>
        <w:tblStyle w:val="Deloittetable"/>
        <w:tblW w:w="5167" w:type="pct"/>
        <w:tblLook w:val="04A0" w:firstRow="1" w:lastRow="0" w:firstColumn="1" w:lastColumn="0" w:noHBand="0" w:noVBand="1"/>
      </w:tblPr>
      <w:tblGrid>
        <w:gridCol w:w="2054"/>
        <w:gridCol w:w="1984"/>
        <w:gridCol w:w="1984"/>
        <w:gridCol w:w="1984"/>
        <w:gridCol w:w="1984"/>
      </w:tblGrid>
      <w:tr w:rsidR="00FB358B" w:rsidRPr="00BF281D" w14:paraId="07407E34" w14:textId="77777777" w:rsidTr="00764265">
        <w:trPr>
          <w:cnfStyle w:val="100000000000" w:firstRow="1" w:lastRow="0" w:firstColumn="0" w:lastColumn="0" w:oddVBand="0" w:evenVBand="0" w:oddHBand="0" w:evenHBand="0" w:firstRowFirstColumn="0" w:firstRowLastColumn="0" w:lastRowFirstColumn="0" w:lastRowLastColumn="0"/>
          <w:trHeight w:val="380"/>
        </w:trPr>
        <w:tc>
          <w:tcPr>
            <w:tcW w:w="0" w:type="pct"/>
          </w:tcPr>
          <w:p w14:paraId="55BAA303" w14:textId="77777777" w:rsidR="00FB358B" w:rsidRPr="00BF281D" w:rsidRDefault="00FB358B" w:rsidP="00764265">
            <w:pPr>
              <w:spacing w:after="0" w:line="240" w:lineRule="auto"/>
              <w:rPr>
                <w:rFonts w:eastAsia="Times New Roman" w:cs="Times New Roman"/>
                <w:color w:val="000000"/>
                <w:sz w:val="16"/>
                <w:szCs w:val="16"/>
                <w:lang w:eastAsia="en-AU"/>
              </w:rPr>
            </w:pPr>
            <w:r w:rsidRPr="00BF281D">
              <w:rPr>
                <w:rFonts w:asciiTheme="minorHAnsi" w:eastAsia="Times New Roman" w:hAnsiTheme="minorHAnsi" w:cs="Calibri"/>
                <w:b/>
                <w:bCs/>
                <w:color w:val="000000"/>
                <w:sz w:val="16"/>
                <w:szCs w:val="16"/>
                <w:lang w:eastAsia="en-AU"/>
              </w:rPr>
              <w:t>Criteria</w:t>
            </w:r>
          </w:p>
        </w:tc>
        <w:tc>
          <w:tcPr>
            <w:tcW w:w="0" w:type="pct"/>
          </w:tcPr>
          <w:p w14:paraId="740C9D8D" w14:textId="77777777" w:rsidR="00FB358B" w:rsidRPr="00BF281D" w:rsidRDefault="00FB358B"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b/>
                <w:bCs/>
                <w:color w:val="000000"/>
                <w:sz w:val="16"/>
                <w:szCs w:val="16"/>
                <w:lang w:eastAsia="en-AU"/>
              </w:rPr>
              <w:t>Base Case</w:t>
            </w:r>
          </w:p>
        </w:tc>
        <w:tc>
          <w:tcPr>
            <w:tcW w:w="0" w:type="pct"/>
          </w:tcPr>
          <w:p w14:paraId="230526E8" w14:textId="77777777" w:rsidR="00FB358B" w:rsidRPr="00BF281D" w:rsidRDefault="00FB358B"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b/>
                <w:bCs/>
                <w:color w:val="000000"/>
                <w:sz w:val="16"/>
                <w:szCs w:val="16"/>
                <w:lang w:eastAsia="en-AU"/>
              </w:rPr>
              <w:t>Status Quo</w:t>
            </w:r>
          </w:p>
        </w:tc>
        <w:tc>
          <w:tcPr>
            <w:tcW w:w="0" w:type="pct"/>
          </w:tcPr>
          <w:p w14:paraId="17B24F5A" w14:textId="77777777" w:rsidR="00FB358B" w:rsidRPr="00BF281D" w:rsidRDefault="00FB358B"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b/>
                <w:bCs/>
                <w:color w:val="000000"/>
                <w:sz w:val="16"/>
                <w:szCs w:val="16"/>
                <w:lang w:eastAsia="en-AU"/>
              </w:rPr>
              <w:t>Option 1</w:t>
            </w:r>
          </w:p>
        </w:tc>
        <w:tc>
          <w:tcPr>
            <w:tcW w:w="0" w:type="pct"/>
          </w:tcPr>
          <w:p w14:paraId="2E9AE499" w14:textId="77777777" w:rsidR="00FB358B" w:rsidRPr="00BF281D" w:rsidRDefault="00FB358B"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b/>
                <w:bCs/>
                <w:color w:val="000000"/>
                <w:sz w:val="16"/>
                <w:szCs w:val="16"/>
                <w:lang w:eastAsia="en-AU"/>
              </w:rPr>
              <w:t>Option 2</w:t>
            </w:r>
          </w:p>
        </w:tc>
      </w:tr>
      <w:tr w:rsidR="00FB358B" w:rsidRPr="00BF281D" w14:paraId="2CE9398E" w14:textId="77777777" w:rsidTr="00764265">
        <w:trPr>
          <w:trHeight w:val="380"/>
        </w:trPr>
        <w:tc>
          <w:tcPr>
            <w:tcW w:w="1028" w:type="pct"/>
            <w:vAlign w:val="center"/>
          </w:tcPr>
          <w:p w14:paraId="50364258" w14:textId="60FD5F2E" w:rsidR="00FB358B" w:rsidRPr="00BF281D" w:rsidRDefault="00FB358B" w:rsidP="00764265">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Build community </w:t>
            </w:r>
            <w:r w:rsidR="0054704E">
              <w:rPr>
                <w:rFonts w:eastAsia="Times New Roman" w:cs="Times New Roman"/>
                <w:color w:val="000000"/>
                <w:sz w:val="16"/>
                <w:szCs w:val="16"/>
                <w:lang w:eastAsia="en-AU"/>
              </w:rPr>
              <w:t>social license</w:t>
            </w:r>
            <w:r w:rsidRPr="00BF281D">
              <w:rPr>
                <w:rFonts w:eastAsia="Times New Roman" w:cs="Times New Roman"/>
                <w:color w:val="000000"/>
                <w:sz w:val="16"/>
                <w:szCs w:val="16"/>
                <w:lang w:eastAsia="en-AU"/>
              </w:rPr>
              <w:t xml:space="preserve"> in the onshore conventional petroleum resource sector. </w:t>
            </w:r>
          </w:p>
        </w:tc>
        <w:tc>
          <w:tcPr>
            <w:tcW w:w="993" w:type="pct"/>
          </w:tcPr>
          <w:p w14:paraId="4C9BFF50" w14:textId="77777777" w:rsidR="00FB358B" w:rsidRPr="00BF281D" w:rsidRDefault="00FB358B"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0</w:t>
            </w:r>
          </w:p>
        </w:tc>
        <w:tc>
          <w:tcPr>
            <w:tcW w:w="993" w:type="pct"/>
          </w:tcPr>
          <w:p w14:paraId="179E75A2" w14:textId="77777777" w:rsidR="00FB358B" w:rsidRPr="00BF281D" w:rsidRDefault="00FB358B"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1</w:t>
            </w:r>
          </w:p>
        </w:tc>
        <w:tc>
          <w:tcPr>
            <w:tcW w:w="993" w:type="pct"/>
          </w:tcPr>
          <w:p w14:paraId="35138BF6" w14:textId="77777777" w:rsidR="00FB358B" w:rsidRPr="00BF281D" w:rsidRDefault="00FB358B"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4</w:t>
            </w:r>
          </w:p>
        </w:tc>
        <w:tc>
          <w:tcPr>
            <w:tcW w:w="993" w:type="pct"/>
          </w:tcPr>
          <w:p w14:paraId="49ED3A7A" w14:textId="77777777" w:rsidR="00FB358B" w:rsidRPr="00BF281D" w:rsidRDefault="00FB358B"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7</w:t>
            </w:r>
          </w:p>
        </w:tc>
      </w:tr>
    </w:tbl>
    <w:p w14:paraId="255818BC" w14:textId="205F19F8" w:rsidR="00FA1673" w:rsidRPr="00817682" w:rsidRDefault="006100DB" w:rsidP="00C73B72">
      <w:pPr>
        <w:pStyle w:val="BodyCopyNEW"/>
      </w:pPr>
      <w:r>
        <w:t xml:space="preserve"> </w:t>
      </w:r>
    </w:p>
    <w:p w14:paraId="3FB9A962" w14:textId="3D039C7F" w:rsidR="00FA1673" w:rsidRPr="00D850B6" w:rsidRDefault="00FA1673" w:rsidP="00FA1673">
      <w:pPr>
        <w:pStyle w:val="Heading4"/>
        <w:rPr>
          <w:sz w:val="20"/>
          <w:szCs w:val="20"/>
        </w:rPr>
      </w:pPr>
      <w:r w:rsidRPr="001528D0">
        <w:rPr>
          <w:color w:val="012169" w:themeColor="accent4"/>
          <w:sz w:val="20"/>
          <w:szCs w:val="20"/>
        </w:rPr>
        <w:t xml:space="preserve">Status Quo </w:t>
      </w:r>
    </w:p>
    <w:p w14:paraId="1027C6AD" w14:textId="03EA94D8" w:rsidR="00BB398E" w:rsidRPr="00BF281D" w:rsidRDefault="00BB398E" w:rsidP="00BB398E">
      <w:r w:rsidRPr="00BF281D">
        <w:t xml:space="preserve">The </w:t>
      </w:r>
      <w:r w:rsidR="005B6575">
        <w:t>S</w:t>
      </w:r>
      <w:r w:rsidRPr="00BF281D">
        <w:t xml:space="preserve">tatus </w:t>
      </w:r>
      <w:r w:rsidR="005B6575">
        <w:t>Q</w:t>
      </w:r>
      <w:r w:rsidRPr="00BF281D">
        <w:t xml:space="preserve">uo receives a score of </w:t>
      </w:r>
      <w:r w:rsidRPr="00012DD6">
        <w:rPr>
          <w:b/>
          <w:bCs/>
        </w:rPr>
        <w:t>1</w:t>
      </w:r>
      <w:r w:rsidRPr="00BF281D">
        <w:t xml:space="preserve"> for building </w:t>
      </w:r>
      <w:r w:rsidR="0054704E">
        <w:t>social license</w:t>
      </w:r>
      <w:r w:rsidRPr="00BF281D">
        <w:t xml:space="preserve">. It is only </w:t>
      </w:r>
      <w:r w:rsidR="00FB358B">
        <w:t>slightly</w:t>
      </w:r>
      <w:r w:rsidR="00FB358B" w:rsidRPr="00BF281D">
        <w:t xml:space="preserve"> </w:t>
      </w:r>
      <w:r w:rsidRPr="00BF281D">
        <w:t xml:space="preserve">better than the Base Case </w:t>
      </w:r>
      <w:r w:rsidR="002529F7">
        <w:t xml:space="preserve">which would involve </w:t>
      </w:r>
      <w:r w:rsidRPr="00BF281D">
        <w:t xml:space="preserve">no </w:t>
      </w:r>
      <w:r w:rsidR="00D41862">
        <w:t xml:space="preserve">clear </w:t>
      </w:r>
      <w:r w:rsidRPr="00BF281D">
        <w:t xml:space="preserve">consultation </w:t>
      </w:r>
      <w:r w:rsidR="00D41862">
        <w:t>requirements</w:t>
      </w:r>
      <w:r w:rsidRPr="00BF281D">
        <w:t xml:space="preserve">. </w:t>
      </w:r>
    </w:p>
    <w:p w14:paraId="60FD8F39" w14:textId="77777777" w:rsidR="00BB398E" w:rsidRPr="00BF281D" w:rsidRDefault="00BB398E" w:rsidP="00BB398E">
      <w:pPr>
        <w:rPr>
          <w:i/>
          <w:iCs/>
        </w:rPr>
      </w:pPr>
      <w:r w:rsidRPr="00BF281D">
        <w:rPr>
          <w:i/>
          <w:iCs/>
        </w:rPr>
        <w:t xml:space="preserve">Authority, </w:t>
      </w:r>
      <w:proofErr w:type="gramStart"/>
      <w:r w:rsidRPr="00BF281D">
        <w:rPr>
          <w:i/>
          <w:iCs/>
        </w:rPr>
        <w:t>applications</w:t>
      </w:r>
      <w:proofErr w:type="gramEnd"/>
      <w:r w:rsidRPr="00BF281D">
        <w:rPr>
          <w:i/>
          <w:iCs/>
        </w:rPr>
        <w:t xml:space="preserve"> and grants</w:t>
      </w:r>
    </w:p>
    <w:p w14:paraId="5F5D7AA3" w14:textId="1CE115BC" w:rsidR="007151AE" w:rsidRDefault="00BB398E" w:rsidP="00BB398E">
      <w:r w:rsidRPr="00BF281D">
        <w:t xml:space="preserve">The new legislative provisions for advertising, public comment and prescribing the </w:t>
      </w:r>
      <w:proofErr w:type="gramStart"/>
      <w:r w:rsidRPr="00BF281D">
        <w:t>decision making</w:t>
      </w:r>
      <w:proofErr w:type="gramEnd"/>
      <w:r w:rsidRPr="00BF281D">
        <w:t xml:space="preserve"> criteria</w:t>
      </w:r>
      <w:r w:rsidR="008C4346">
        <w:t xml:space="preserve"> under the </w:t>
      </w:r>
      <w:r w:rsidR="00501462">
        <w:t>Amendment Act</w:t>
      </w:r>
      <w:r w:rsidRPr="00BF281D">
        <w:t xml:space="preserve"> will take effect from 1 July 2021. </w:t>
      </w:r>
      <w:r w:rsidR="002A7A4B">
        <w:t>The regulations in the Status Quo</w:t>
      </w:r>
      <w:r w:rsidR="007C4676">
        <w:t>,</w:t>
      </w:r>
      <w:r w:rsidR="002A7A4B">
        <w:t xml:space="preserve"> </w:t>
      </w:r>
      <w:r w:rsidR="007C4676">
        <w:t>however</w:t>
      </w:r>
      <w:r w:rsidR="00D80F3E">
        <w:t>,</w:t>
      </w:r>
      <w:r w:rsidR="007C4676">
        <w:t xml:space="preserve"> </w:t>
      </w:r>
      <w:r w:rsidR="002A7A4B">
        <w:t xml:space="preserve">do not </w:t>
      </w:r>
      <w:r w:rsidR="007B500D">
        <w:t>support</w:t>
      </w:r>
      <w:r w:rsidR="002A7A4B">
        <w:t xml:space="preserve"> the </w:t>
      </w:r>
      <w:r w:rsidR="007B500D">
        <w:t xml:space="preserve">new requirements introduced </w:t>
      </w:r>
      <w:r w:rsidR="008C4346">
        <w:t xml:space="preserve">by </w:t>
      </w:r>
      <w:r w:rsidR="007B500D">
        <w:t xml:space="preserve">the </w:t>
      </w:r>
      <w:r w:rsidR="00501462">
        <w:t>Amendment Act</w:t>
      </w:r>
      <w:r w:rsidR="00187666">
        <w:t xml:space="preserve">, which were </w:t>
      </w:r>
      <w:r w:rsidR="007151AE">
        <w:t xml:space="preserve">key reforms introduced </w:t>
      </w:r>
      <w:proofErr w:type="gramStart"/>
      <w:r w:rsidR="007151AE">
        <w:t>as a result of</w:t>
      </w:r>
      <w:proofErr w:type="gramEnd"/>
      <w:r w:rsidR="007151AE">
        <w:t xml:space="preserve"> the feedback from the VGP</w:t>
      </w:r>
      <w:r w:rsidR="007B500D">
        <w:t xml:space="preserve">. </w:t>
      </w:r>
      <w:r>
        <w:t xml:space="preserve"> </w:t>
      </w:r>
    </w:p>
    <w:p w14:paraId="22F5777A" w14:textId="4AEB337F" w:rsidR="00325C07" w:rsidRPr="00BF281D" w:rsidRDefault="00325C07" w:rsidP="00325C07">
      <w:r w:rsidRPr="00BF281D">
        <w:t>For example, currently, when deciding whether to grant or refuse</w:t>
      </w:r>
      <w:r>
        <w:t xml:space="preserve"> to grant</w:t>
      </w:r>
      <w:r w:rsidRPr="00BF281D">
        <w:t xml:space="preserve"> an exploration permit, or when deciding between competing offers, the Minister must </w:t>
      </w:r>
      <w:proofErr w:type="gramStart"/>
      <w:r w:rsidRPr="00BF281D">
        <w:t>take into account</w:t>
      </w:r>
      <w:proofErr w:type="gramEnd"/>
      <w:r w:rsidRPr="00BF281D">
        <w:t xml:space="preserve">: </w:t>
      </w:r>
    </w:p>
    <w:p w14:paraId="3DF535E6" w14:textId="77777777" w:rsidR="00325C07" w:rsidRPr="00BF281D" w:rsidRDefault="00325C07" w:rsidP="00325C07">
      <w:pPr>
        <w:pStyle w:val="ListParagraph"/>
        <w:numPr>
          <w:ilvl w:val="0"/>
          <w:numId w:val="60"/>
        </w:numPr>
      </w:pPr>
      <w:r w:rsidRPr="00BF281D">
        <w:t xml:space="preserve">the merits of the work program proposed by the applicant; and </w:t>
      </w:r>
    </w:p>
    <w:p w14:paraId="03218356" w14:textId="77777777" w:rsidR="00325C07" w:rsidRPr="00BF281D" w:rsidRDefault="00325C07" w:rsidP="00325C07">
      <w:pPr>
        <w:pStyle w:val="ListParagraph"/>
        <w:numPr>
          <w:ilvl w:val="0"/>
          <w:numId w:val="60"/>
        </w:numPr>
      </w:pPr>
      <w:r w:rsidRPr="00BF281D">
        <w:t xml:space="preserve">the likelihood that the work program will be carried out*; and </w:t>
      </w:r>
    </w:p>
    <w:p w14:paraId="37B8385C" w14:textId="3C237364" w:rsidR="00325C07" w:rsidRDefault="00325C07" w:rsidP="00325C07">
      <w:pPr>
        <w:pStyle w:val="ListParagraph"/>
        <w:numPr>
          <w:ilvl w:val="0"/>
          <w:numId w:val="60"/>
        </w:numPr>
      </w:pPr>
      <w:r w:rsidRPr="00BF281D">
        <w:t xml:space="preserve">any prescribed factor*. (*these requirements were inserted via the </w:t>
      </w:r>
      <w:r>
        <w:t>Amendment Act</w:t>
      </w:r>
      <w:r w:rsidRPr="00BF281D">
        <w:t xml:space="preserve"> so will take effect 1 July 2021</w:t>
      </w:r>
      <w:r w:rsidRPr="00817682">
        <w:t>)</w:t>
      </w:r>
      <w:r w:rsidRPr="00BF281D">
        <w:t xml:space="preserve">. </w:t>
      </w:r>
    </w:p>
    <w:p w14:paraId="45FA0097" w14:textId="46A87654" w:rsidR="00325C07" w:rsidRDefault="00325C07" w:rsidP="00BB398E">
      <w:r>
        <w:t xml:space="preserve">However, those prescribed factors would not be present in the Status Quo, which may serve to undermine social licence as it will be difficult for the community to understand if a prospective permit holder is complying with their obligations or not. </w:t>
      </w:r>
    </w:p>
    <w:p w14:paraId="2C4E9DBB" w14:textId="40735155" w:rsidR="00BB398E" w:rsidRPr="00BF281D" w:rsidRDefault="00BB398E" w:rsidP="00BB398E">
      <w:r w:rsidRPr="00BF281D">
        <w:t xml:space="preserve">Therefore, in comparison to the </w:t>
      </w:r>
      <w:r w:rsidR="005C2B3F">
        <w:t>B</w:t>
      </w:r>
      <w:r w:rsidRPr="00BF281D">
        <w:t xml:space="preserve">ase </w:t>
      </w:r>
      <w:r w:rsidR="005C2B3F">
        <w:t>C</w:t>
      </w:r>
      <w:r w:rsidRPr="00BF281D">
        <w:t xml:space="preserve">ase, we consider that the Status Quo helps </w:t>
      </w:r>
      <w:r w:rsidR="0079629F">
        <w:t xml:space="preserve">to </w:t>
      </w:r>
      <w:r w:rsidRPr="00BF281D">
        <w:t xml:space="preserve">build </w:t>
      </w:r>
      <w:r w:rsidR="0054704E">
        <w:t>social license</w:t>
      </w:r>
      <w:r w:rsidRPr="00BF281D">
        <w:t xml:space="preserve"> in this phase, albeit to a limited extent. </w:t>
      </w:r>
    </w:p>
    <w:p w14:paraId="5F05DDC2" w14:textId="77777777" w:rsidR="00BB398E" w:rsidRPr="00BF281D" w:rsidRDefault="00BB398E" w:rsidP="00BB398E">
      <w:pPr>
        <w:rPr>
          <w:i/>
          <w:iCs/>
        </w:rPr>
      </w:pPr>
      <w:r w:rsidRPr="00BF281D">
        <w:rPr>
          <w:i/>
          <w:iCs/>
        </w:rPr>
        <w:t>Conduct of operations</w:t>
      </w:r>
    </w:p>
    <w:p w14:paraId="7F19389C" w14:textId="43DE331B" w:rsidR="00BB398E" w:rsidRPr="00BF281D" w:rsidRDefault="00BB398E" w:rsidP="00BB398E">
      <w:r w:rsidRPr="00817682">
        <w:t xml:space="preserve">The Status Quo would involve a situation where the key </w:t>
      </w:r>
      <w:r w:rsidR="003C49AD">
        <w:t>findings</w:t>
      </w:r>
      <w:r w:rsidRPr="00817682">
        <w:t xml:space="preserve"> of the VGP are not </w:t>
      </w:r>
      <w:r w:rsidR="003A0496" w:rsidRPr="00817682">
        <w:t>implemented</w:t>
      </w:r>
      <w:r w:rsidR="003A0496">
        <w:t xml:space="preserve"> in</w:t>
      </w:r>
      <w:r w:rsidR="0073650F">
        <w:t xml:space="preserve"> the regulations</w:t>
      </w:r>
      <w:r w:rsidR="00256233">
        <w:t xml:space="preserve"> in </w:t>
      </w:r>
      <w:r w:rsidR="0073650F">
        <w:t>respect to</w:t>
      </w:r>
      <w:r w:rsidR="00256233">
        <w:t xml:space="preserve"> </w:t>
      </w:r>
      <w:r w:rsidR="0060485B">
        <w:t>community engagement</w:t>
      </w:r>
      <w:r w:rsidR="00E71204">
        <w:t xml:space="preserve">, regular </w:t>
      </w:r>
      <w:proofErr w:type="gramStart"/>
      <w:r w:rsidR="00E71204">
        <w:t>reporting</w:t>
      </w:r>
      <w:proofErr w:type="gramEnd"/>
      <w:r w:rsidR="00E71204">
        <w:t xml:space="preserve"> and risk management</w:t>
      </w:r>
      <w:r w:rsidRPr="00817682">
        <w:t xml:space="preserve">.  </w:t>
      </w:r>
    </w:p>
    <w:p w14:paraId="307ACB68" w14:textId="2924946A" w:rsidR="00755CA4" w:rsidRPr="00075328" w:rsidRDefault="006C47DA" w:rsidP="00C73B72">
      <w:r>
        <w:t>I</w:t>
      </w:r>
      <w:r w:rsidRPr="00817682">
        <w:t xml:space="preserve">n the Status Quo, the </w:t>
      </w:r>
      <w:r w:rsidR="004C7722">
        <w:t>EMP</w:t>
      </w:r>
      <w:r w:rsidRPr="00817682">
        <w:t>, which is a requirement of the operation plan</w:t>
      </w:r>
      <w:r>
        <w:t xml:space="preserve"> and requires approval before an authority holder can undertake any petroleum operation</w:t>
      </w:r>
      <w:r w:rsidRPr="00817682">
        <w:t>, will not be updated to in</w:t>
      </w:r>
      <w:r w:rsidRPr="00BF281D">
        <w:t xml:space="preserve">sert new requirements in relation to </w:t>
      </w:r>
      <w:r>
        <w:t xml:space="preserve">hydrocarbon </w:t>
      </w:r>
      <w:r w:rsidRPr="00BF281D">
        <w:t>emissions and groundwater monitoring. Th</w:t>
      </w:r>
      <w:r>
        <w:t>e need for these new requirements</w:t>
      </w:r>
      <w:r w:rsidRPr="00BF281D">
        <w:t xml:space="preserve"> were clear outcomes from the VGP consultation. </w:t>
      </w:r>
      <w:r w:rsidR="00755CA4">
        <w:t>However</w:t>
      </w:r>
      <w:r w:rsidR="00661A95">
        <w:t>,</w:t>
      </w:r>
      <w:r w:rsidR="00667592">
        <w:t xml:space="preserve"> those prescribed factors would not be present in the </w:t>
      </w:r>
      <w:r w:rsidR="00106F4C">
        <w:t xml:space="preserve">regulations under the </w:t>
      </w:r>
      <w:r w:rsidR="00667592">
        <w:t xml:space="preserve">Status Quo, </w:t>
      </w:r>
      <w:r w:rsidR="003E708C">
        <w:t xml:space="preserve">which may serve to undermine </w:t>
      </w:r>
      <w:r w:rsidR="0054704E">
        <w:t>social license</w:t>
      </w:r>
      <w:r w:rsidR="003E708C">
        <w:t xml:space="preserve"> </w:t>
      </w:r>
      <w:r w:rsidR="00652C31">
        <w:t xml:space="preserve">as </w:t>
      </w:r>
      <w:r w:rsidR="00FD170A">
        <w:t>it will be difficult for the community to understand if a prospective permit holder is complying with their obligations or not. I</w:t>
      </w:r>
      <w:r w:rsidR="00755CA4">
        <w:t xml:space="preserve">t would still be a stronger case than the Base Case, as at least there </w:t>
      </w:r>
      <w:r w:rsidR="00FD170A">
        <w:t xml:space="preserve">would be some detail regarding the conduct of operations phase. </w:t>
      </w:r>
    </w:p>
    <w:p w14:paraId="5113ED48" w14:textId="143F6F98" w:rsidR="00BB398E" w:rsidRPr="00BF281D" w:rsidRDefault="00BB398E" w:rsidP="00BB398E">
      <w:pPr>
        <w:rPr>
          <w:i/>
          <w:iCs/>
        </w:rPr>
      </w:pPr>
      <w:r w:rsidRPr="00BF281D">
        <w:rPr>
          <w:i/>
          <w:iCs/>
        </w:rPr>
        <w:t>Information and reporting</w:t>
      </w:r>
    </w:p>
    <w:p w14:paraId="1CA7F4AE" w14:textId="355F24AB" w:rsidR="00BB398E" w:rsidRPr="00BB398E" w:rsidRDefault="00BB398E" w:rsidP="00AC00AB">
      <w:r w:rsidRPr="00BF281D">
        <w:t xml:space="preserve">We consider that the </w:t>
      </w:r>
      <w:r w:rsidR="00FD170A">
        <w:t>S</w:t>
      </w:r>
      <w:r w:rsidRPr="00BF281D">
        <w:t xml:space="preserve">tatus </w:t>
      </w:r>
      <w:r w:rsidR="00FD170A">
        <w:t>Q</w:t>
      </w:r>
      <w:r w:rsidRPr="00BF281D">
        <w:t>uo provides some benefit as compared to the Base Case for this criterion, as more information would be provided to the Minister</w:t>
      </w:r>
      <w:r w:rsidR="0065403B">
        <w:t xml:space="preserve">, including whether the authority holder is meeting its commitments </w:t>
      </w:r>
      <w:r w:rsidR="006565B7">
        <w:t>and</w:t>
      </w:r>
      <w:r w:rsidR="00712378">
        <w:t xml:space="preserve"> information regarding Victoria’s petroleum </w:t>
      </w:r>
      <w:r w:rsidR="003A0496">
        <w:t>geology.</w:t>
      </w:r>
      <w:r w:rsidRPr="00BF281D">
        <w:t xml:space="preserve">   </w:t>
      </w:r>
    </w:p>
    <w:p w14:paraId="2B42B229" w14:textId="1C56A34A" w:rsidR="006100DB" w:rsidRPr="00D850B6" w:rsidRDefault="006100DB" w:rsidP="006100DB">
      <w:pPr>
        <w:pStyle w:val="Heading4"/>
        <w:rPr>
          <w:sz w:val="20"/>
          <w:szCs w:val="20"/>
        </w:rPr>
      </w:pPr>
      <w:r w:rsidRPr="001528D0">
        <w:rPr>
          <w:color w:val="012169" w:themeColor="accent4"/>
          <w:sz w:val="20"/>
          <w:szCs w:val="20"/>
        </w:rPr>
        <w:t>Option 1</w:t>
      </w:r>
    </w:p>
    <w:p w14:paraId="1F0CD896" w14:textId="1E0E8918" w:rsidR="004057C7" w:rsidRDefault="00BB398E" w:rsidP="00BB398E">
      <w:r w:rsidRPr="00BF281D">
        <w:t xml:space="preserve">Option 1 receives a score of </w:t>
      </w:r>
      <w:r w:rsidRPr="00012DD6">
        <w:rPr>
          <w:b/>
          <w:bCs/>
        </w:rPr>
        <w:t>4</w:t>
      </w:r>
      <w:r w:rsidRPr="00BF281D">
        <w:t xml:space="preserve"> for building </w:t>
      </w:r>
      <w:r w:rsidR="0054704E">
        <w:t>social license</w:t>
      </w:r>
      <w:r w:rsidRPr="00BF281D">
        <w:t>. It provides community with more assurance than the Base Case</w:t>
      </w:r>
      <w:r w:rsidR="007F0F82">
        <w:t xml:space="preserve"> and Status Quo</w:t>
      </w:r>
      <w:r w:rsidRPr="00BF281D">
        <w:t xml:space="preserve">, but </w:t>
      </w:r>
      <w:r w:rsidR="003959D0">
        <w:t xml:space="preserve">the threshold requirements </w:t>
      </w:r>
      <w:r w:rsidR="00391216">
        <w:t xml:space="preserve">could be viewed as </w:t>
      </w:r>
      <w:r w:rsidR="00084B18">
        <w:t>being somewhat subjective</w:t>
      </w:r>
      <w:r w:rsidR="00A37FB3">
        <w:t xml:space="preserve"> by </w:t>
      </w:r>
      <w:r w:rsidR="00083B35">
        <w:t>those stakeholders</w:t>
      </w:r>
      <w:r w:rsidRPr="00817682">
        <w:t>.</w:t>
      </w:r>
      <w:r w:rsidR="00084B18">
        <w:t xml:space="preserve"> </w:t>
      </w:r>
      <w:r w:rsidRPr="00817682">
        <w:t xml:space="preserve"> </w:t>
      </w:r>
    </w:p>
    <w:p w14:paraId="4A5E8A99" w14:textId="77777777" w:rsidR="009D36D0" w:rsidRDefault="009D36D0" w:rsidP="00BB398E">
      <w:pPr>
        <w:rPr>
          <w:i/>
          <w:iCs/>
        </w:rPr>
      </w:pPr>
    </w:p>
    <w:p w14:paraId="0BFA4180" w14:textId="1AC1FCD3" w:rsidR="00BB398E" w:rsidRPr="00BF281D" w:rsidRDefault="00BB398E" w:rsidP="00BB398E">
      <w:pPr>
        <w:rPr>
          <w:i/>
          <w:iCs/>
        </w:rPr>
      </w:pPr>
      <w:r w:rsidRPr="00BF281D">
        <w:rPr>
          <w:i/>
          <w:iCs/>
        </w:rPr>
        <w:lastRenderedPageBreak/>
        <w:t xml:space="preserve">Authority, </w:t>
      </w:r>
      <w:proofErr w:type="gramStart"/>
      <w:r w:rsidRPr="00BF281D">
        <w:rPr>
          <w:i/>
          <w:iCs/>
        </w:rPr>
        <w:t>applications</w:t>
      </w:r>
      <w:proofErr w:type="gramEnd"/>
      <w:r w:rsidRPr="00BF281D">
        <w:rPr>
          <w:i/>
          <w:iCs/>
        </w:rPr>
        <w:t xml:space="preserve"> and grants</w:t>
      </w:r>
    </w:p>
    <w:p w14:paraId="1AAF8C9E" w14:textId="77777777" w:rsidR="00BB398E" w:rsidRPr="00BF281D" w:rsidRDefault="00BB398E" w:rsidP="00BB398E">
      <w:r w:rsidRPr="00BF281D">
        <w:t>Authority holders would be required to specify and commit to undertaking ongoing community consultation over the life of the authority as a core component of the work program.</w:t>
      </w:r>
    </w:p>
    <w:p w14:paraId="5EA5423F" w14:textId="203D7F8D" w:rsidR="00DC27A7" w:rsidRDefault="00BB398E" w:rsidP="00BB398E">
      <w:r w:rsidRPr="00BF281D">
        <w:t>The main benefit of Option 1 over the Base Case is that the regulations would require authority holders to undertake ongoing community consultation</w:t>
      </w:r>
      <w:r w:rsidR="00902758">
        <w:t xml:space="preserve"> regardless of whether an operation is commencing</w:t>
      </w:r>
      <w:r w:rsidRPr="00BF281D">
        <w:t>.</w:t>
      </w:r>
      <w:r w:rsidR="00902758">
        <w:t xml:space="preserve"> This would provide information early in the authority about what lies ahead, when uncertainty and curiosity is high.</w:t>
      </w:r>
      <w:r w:rsidRPr="00BF281D">
        <w:t xml:space="preserve"> This would</w:t>
      </w:r>
      <w:r w:rsidR="008A0495">
        <w:t xml:space="preserve"> help to</w:t>
      </w:r>
      <w:r w:rsidRPr="00BF281D">
        <w:t xml:space="preserve"> provide community with the confidence that </w:t>
      </w:r>
      <w:r w:rsidR="006B7E4C">
        <w:t>any risks identified</w:t>
      </w:r>
      <w:r w:rsidR="008A0495">
        <w:t xml:space="preserve"> </w:t>
      </w:r>
      <w:r w:rsidRPr="00817682">
        <w:t xml:space="preserve">will be considered and dealt with when authorities </w:t>
      </w:r>
      <w:r w:rsidR="00C974A4">
        <w:t xml:space="preserve">are </w:t>
      </w:r>
      <w:r w:rsidRPr="00817682">
        <w:t>grant</w:t>
      </w:r>
      <w:r w:rsidR="00C974A4">
        <w:t>ed</w:t>
      </w:r>
      <w:r w:rsidRPr="00817682" w:rsidDel="00C974A4">
        <w:t>,</w:t>
      </w:r>
      <w:r w:rsidRPr="00817682">
        <w:t xml:space="preserve"> </w:t>
      </w:r>
      <w:r w:rsidR="006B7E4C">
        <w:t xml:space="preserve">assisting to </w:t>
      </w:r>
      <w:r w:rsidRPr="00817682">
        <w:t xml:space="preserve">build the industry’s </w:t>
      </w:r>
      <w:r w:rsidR="0054704E">
        <w:t>social license</w:t>
      </w:r>
      <w:r w:rsidRPr="00817682">
        <w:t xml:space="preserve">. </w:t>
      </w:r>
    </w:p>
    <w:p w14:paraId="5BB236F4" w14:textId="7D82A883" w:rsidR="00BB398E" w:rsidRPr="00BF281D" w:rsidRDefault="00BB398E" w:rsidP="00BB398E">
      <w:r w:rsidRPr="00817682">
        <w:t xml:space="preserve">Additionally, the </w:t>
      </w:r>
      <w:r w:rsidRPr="00BF281D">
        <w:t xml:space="preserve">regulations would be consistent with the requirements of the </w:t>
      </w:r>
      <w:r w:rsidR="00501462">
        <w:t>Amendment Act</w:t>
      </w:r>
      <w:r w:rsidR="00B60878">
        <w:t>, which is more positive than the Status Quo</w:t>
      </w:r>
      <w:r w:rsidRPr="00BF281D">
        <w:t xml:space="preserve">. </w:t>
      </w:r>
      <w:r w:rsidR="00B60878">
        <w:t>T</w:t>
      </w:r>
      <w:r w:rsidRPr="00BF281D">
        <w:t xml:space="preserve">he </w:t>
      </w:r>
      <w:r w:rsidR="00B60878">
        <w:t xml:space="preserve">recent amendments to the </w:t>
      </w:r>
      <w:r w:rsidRPr="00BF281D">
        <w:t xml:space="preserve">Petroleum Act require that an </w:t>
      </w:r>
      <w:r w:rsidR="00C974A4">
        <w:t>authority holder</w:t>
      </w:r>
      <w:r w:rsidRPr="00BF281D">
        <w:t xml:space="preserve"> must give notice of the proposed operation, and that this notice must contain sufficient information to allow people to make an informed assessment</w:t>
      </w:r>
      <w:r w:rsidR="006E21E7">
        <w:t xml:space="preserve"> about the relevant </w:t>
      </w:r>
      <w:r w:rsidR="002B11E5">
        <w:t xml:space="preserve">risks and </w:t>
      </w:r>
      <w:r w:rsidR="006E21E7">
        <w:t>impacts</w:t>
      </w:r>
      <w:r w:rsidRPr="00BF281D">
        <w:t xml:space="preserve">. </w:t>
      </w:r>
      <w:r w:rsidR="00921B6C">
        <w:t xml:space="preserve">Option 1 </w:t>
      </w:r>
      <w:r w:rsidR="00C456C1">
        <w:t xml:space="preserve">would </w:t>
      </w:r>
      <w:r w:rsidR="007A79E3">
        <w:t>m</w:t>
      </w:r>
      <w:r w:rsidR="00DA0582">
        <w:t>ean that some detail would be specified in the regulations as to what the operation plan would need to address,</w:t>
      </w:r>
      <w:r w:rsidR="00B91B25">
        <w:t xml:space="preserve"> which is more positive than both the Status Quo and Base Case. </w:t>
      </w:r>
    </w:p>
    <w:p w14:paraId="5EF31943" w14:textId="1D073D6D" w:rsidR="00BB398E" w:rsidRPr="00BF281D" w:rsidRDefault="00BB398E" w:rsidP="00BB398E">
      <w:r w:rsidRPr="00BF281D">
        <w:t xml:space="preserve">The flexibility of the regulations under Option 1 </w:t>
      </w:r>
      <w:proofErr w:type="gramStart"/>
      <w:r w:rsidRPr="00BF281D">
        <w:t>allow</w:t>
      </w:r>
      <w:proofErr w:type="gramEnd"/>
      <w:r w:rsidRPr="00BF281D">
        <w:t xml:space="preserve"> the level of community consultation to be commensurate with the stage of the project. As highlighted by an authority holder, previous community engagement has only occurred once </w:t>
      </w:r>
      <w:r w:rsidR="00CA535B">
        <w:t xml:space="preserve">an authority is in </w:t>
      </w:r>
      <w:r w:rsidR="003A0496">
        <w:t>place</w:t>
      </w:r>
      <w:r w:rsidR="003A0496" w:rsidRPr="00BF281D">
        <w:t>.</w:t>
      </w:r>
      <w:r w:rsidRPr="00BF281D">
        <w:t xml:space="preserve"> </w:t>
      </w:r>
      <w:r w:rsidR="00B91B25">
        <w:t>Authority holders</w:t>
      </w:r>
      <w:r w:rsidR="00B91B25" w:rsidRPr="00BF281D">
        <w:t xml:space="preserve"> </w:t>
      </w:r>
      <w:r w:rsidRPr="00BF281D">
        <w:t>noted the difficulty in extensively engaging with stakeholders prior to receipt of the permit</w:t>
      </w:r>
      <w:r w:rsidR="00B91B25">
        <w:t xml:space="preserve">, as it was a hypothetical right at that stage, </w:t>
      </w:r>
      <w:r w:rsidRPr="00BF281D">
        <w:t>and emphasised that the depth of understanding required for engagement is usually only obtained and developed over the course of the project’s operations. A</w:t>
      </w:r>
      <w:r w:rsidRPr="00BF281D">
        <w:rPr>
          <w:rFonts w:cs="Segoe UI Light"/>
        </w:rPr>
        <w:t xml:space="preserve">nother authority holder raised that the level of stakeholder engagement needs to be carefully balanced to build sufficient </w:t>
      </w:r>
      <w:r w:rsidR="0054704E">
        <w:rPr>
          <w:rFonts w:cs="Segoe UI Light"/>
        </w:rPr>
        <w:t>social license</w:t>
      </w:r>
      <w:r w:rsidRPr="00BF281D">
        <w:rPr>
          <w:rFonts w:cs="Segoe UI Light"/>
        </w:rPr>
        <w:t xml:space="preserve"> without creating stakeholder fatigue. Option </w:t>
      </w:r>
      <w:r w:rsidR="006D7CCD">
        <w:rPr>
          <w:rFonts w:cs="Segoe UI Light"/>
        </w:rPr>
        <w:t>allows</w:t>
      </w:r>
      <w:r w:rsidRPr="00BF281D">
        <w:rPr>
          <w:rFonts w:cs="Segoe UI Light"/>
        </w:rPr>
        <w:t xml:space="preserve"> the authority holder </w:t>
      </w:r>
      <w:r w:rsidR="005E059D">
        <w:rPr>
          <w:rFonts w:cs="Segoe UI Light"/>
        </w:rPr>
        <w:t xml:space="preserve">to </w:t>
      </w:r>
      <w:r w:rsidRPr="00BF281D">
        <w:rPr>
          <w:rFonts w:cs="Segoe UI Light"/>
        </w:rPr>
        <w:t xml:space="preserve">conduct </w:t>
      </w:r>
      <w:r w:rsidR="005E059D">
        <w:rPr>
          <w:rFonts w:cs="Segoe UI Light"/>
        </w:rPr>
        <w:t>the engagement linked to the activity (rather than a regular engagement timeframe</w:t>
      </w:r>
      <w:r w:rsidR="00714567">
        <w:rPr>
          <w:rFonts w:cs="Segoe UI Light"/>
        </w:rPr>
        <w:t>, potentially in the absence of operational activity or a real need to consult)</w:t>
      </w:r>
      <w:r w:rsidRPr="00BF281D">
        <w:rPr>
          <w:rFonts w:cs="Segoe UI Light"/>
        </w:rPr>
        <w:t xml:space="preserve">. </w:t>
      </w:r>
    </w:p>
    <w:p w14:paraId="2F1D0B63" w14:textId="39CC3FA3" w:rsidR="00BB398E" w:rsidRPr="00BF281D" w:rsidRDefault="00BB398E" w:rsidP="00BB398E">
      <w:r w:rsidRPr="00BF281D">
        <w:t>Tailored engagement could increase the communit</w:t>
      </w:r>
      <w:r w:rsidR="004F79B6">
        <w:t>y’s</w:t>
      </w:r>
      <w:r w:rsidRPr="00BF281D">
        <w:t xml:space="preserve"> trust in the authority holder as consultation would be more meaningful and based on genuine engagements </w:t>
      </w:r>
      <w:r w:rsidR="00540214">
        <w:t>linked to a proposed</w:t>
      </w:r>
      <w:r w:rsidRPr="00BF281D">
        <w:t xml:space="preserve"> </w:t>
      </w:r>
      <w:r w:rsidR="00540214">
        <w:t>decision</w:t>
      </w:r>
      <w:r w:rsidR="00737239">
        <w:t>-</w:t>
      </w:r>
      <w:r w:rsidR="00540214">
        <w:t>making process (</w:t>
      </w:r>
      <w:proofErr w:type="gramStart"/>
      <w:r w:rsidR="00540214">
        <w:t>e.g.</w:t>
      </w:r>
      <w:proofErr w:type="gramEnd"/>
      <w:r w:rsidR="00540214">
        <w:t xml:space="preserve"> grant of authority or operational activity)</w:t>
      </w:r>
      <w:r w:rsidRPr="00BF281D">
        <w:t xml:space="preserve">. </w:t>
      </w:r>
    </w:p>
    <w:p w14:paraId="33B3AB6C" w14:textId="2B15C301" w:rsidR="00BB398E" w:rsidRPr="00BF281D" w:rsidRDefault="00BB398E" w:rsidP="00BB398E">
      <w:pPr>
        <w:rPr>
          <w:rFonts w:cs="Segoe UI Light"/>
        </w:rPr>
      </w:pPr>
      <w:r w:rsidRPr="00BF281D">
        <w:t xml:space="preserve">This is consistent with social research undertaken by CSIRO as part of the </w:t>
      </w:r>
      <w:r w:rsidR="00A35C53">
        <w:t>VGP</w:t>
      </w:r>
      <w:r w:rsidRPr="00BF281D">
        <w:t xml:space="preserve"> that found that </w:t>
      </w:r>
      <w:r w:rsidRPr="00BF281D">
        <w:rPr>
          <w:rFonts w:cs="Segoe UI Light"/>
        </w:rPr>
        <w:t xml:space="preserve">community support would be enhanced through the provision of genuine engagement opportunities about industry activity and how the community’s interests are being managed. Some authority holders raised that, as projects vary by scale and their circumstances, it is important that community consultation </w:t>
      </w:r>
      <w:r w:rsidR="0071026E">
        <w:rPr>
          <w:rFonts w:cs="Segoe UI Light"/>
        </w:rPr>
        <w:t xml:space="preserve">be adapted accordingly. This is especially important to adapt to regional differences </w:t>
      </w:r>
      <w:proofErr w:type="gramStart"/>
      <w:r w:rsidR="00EC055F">
        <w:rPr>
          <w:rFonts w:cs="Segoe UI Light"/>
        </w:rPr>
        <w:t>e.g.</w:t>
      </w:r>
      <w:proofErr w:type="gramEnd"/>
      <w:r w:rsidR="00EC055F">
        <w:rPr>
          <w:rFonts w:cs="Segoe UI Light"/>
        </w:rPr>
        <w:t xml:space="preserve"> open farmland vs close to towns</w:t>
      </w:r>
      <w:r w:rsidRPr="00BF281D">
        <w:rPr>
          <w:rFonts w:cs="Segoe UI Light"/>
        </w:rPr>
        <w:t xml:space="preserve">. </w:t>
      </w:r>
    </w:p>
    <w:p w14:paraId="0047AC00" w14:textId="3BCCDABD" w:rsidR="00B92866" w:rsidRDefault="00F66943" w:rsidP="00BB398E">
      <w:r>
        <w:t>There is a medium level of specification on the stakeholder engagement that must be carried out prior to the grant of an authority. These two factors help</w:t>
      </w:r>
      <w:r w:rsidR="003D1022">
        <w:t xml:space="preserve"> to build </w:t>
      </w:r>
      <w:r w:rsidR="0054704E">
        <w:t>social license</w:t>
      </w:r>
      <w:r w:rsidR="003D1022">
        <w:t xml:space="preserve"> as it demonst</w:t>
      </w:r>
      <w:r w:rsidR="00D517BA">
        <w:t>rates</w:t>
      </w:r>
      <w:r w:rsidR="002E2845">
        <w:t xml:space="preserve"> that </w:t>
      </w:r>
      <w:r w:rsidR="000E74B8">
        <w:t xml:space="preserve">stakeholders will be engaged with as part of this process. </w:t>
      </w:r>
      <w:r>
        <w:t>Therefore</w:t>
      </w:r>
      <w:r w:rsidR="00A35C53">
        <w:t>,</w:t>
      </w:r>
      <w:r>
        <w:t xml:space="preserve"> o</w:t>
      </w:r>
      <w:r w:rsidR="00B92866">
        <w:t>n balance, Option 1 performs more strongly than both the Base Case and Status Quo, as</w:t>
      </w:r>
      <w:r w:rsidR="009F3C80">
        <w:t xml:space="preserve"> there is a medium level of prescription of </w:t>
      </w:r>
      <w:r>
        <w:t xml:space="preserve">additional </w:t>
      </w:r>
      <w:r w:rsidR="009F3C80">
        <w:t xml:space="preserve">detail </w:t>
      </w:r>
      <w:r>
        <w:t xml:space="preserve">and community views </w:t>
      </w:r>
      <w:r w:rsidR="00D517BA">
        <w:t>that m</w:t>
      </w:r>
      <w:r>
        <w:t xml:space="preserve">ay </w:t>
      </w:r>
      <w:r w:rsidR="00D517BA">
        <w:t>be considered</w:t>
      </w:r>
      <w:r>
        <w:t xml:space="preserve"> by the Minister in the </w:t>
      </w:r>
      <w:r w:rsidDel="00A35C53">
        <w:t>decision</w:t>
      </w:r>
      <w:r w:rsidR="00A35C53">
        <w:t>-making</w:t>
      </w:r>
      <w:r>
        <w:t xml:space="preserve"> process.  </w:t>
      </w:r>
    </w:p>
    <w:p w14:paraId="16A9ADEC" w14:textId="77777777" w:rsidR="00BB398E" w:rsidRPr="00BF281D" w:rsidRDefault="00BB398E" w:rsidP="00BB398E">
      <w:pPr>
        <w:rPr>
          <w:i/>
          <w:iCs/>
        </w:rPr>
      </w:pPr>
      <w:r w:rsidRPr="00BF281D">
        <w:rPr>
          <w:i/>
          <w:iCs/>
        </w:rPr>
        <w:t>Conduct of operations</w:t>
      </w:r>
    </w:p>
    <w:p w14:paraId="0681EEDC" w14:textId="6D9C9834" w:rsidR="00BB398E" w:rsidRPr="00BF281D" w:rsidRDefault="00BB398E" w:rsidP="00BB398E">
      <w:r w:rsidRPr="00BF281D">
        <w:t xml:space="preserve">In Option 1, industry is likely to build social license more effectively than the Base Case. This is because it involves a modernisation of the approach under the Status Quo to better meet the objectives of the operation plan, as well as updated and modernised incident reporting requirements. This is to reflect changes in technology and terminology since the last regulations were drafted, and to better address rehabilitation and well </w:t>
      </w:r>
      <w:r w:rsidR="0014148C">
        <w:t>decommissioning</w:t>
      </w:r>
      <w:r w:rsidRPr="00BF281D">
        <w:t xml:space="preserve">. These updates provide communities with more confidence that environmental and community concerns are properly considered and dealt with. As such, Option 1 is more effective at building </w:t>
      </w:r>
      <w:r w:rsidR="0054704E">
        <w:t>social license</w:t>
      </w:r>
      <w:r w:rsidRPr="00BF281D">
        <w:t xml:space="preserve"> in the conduct of operations phase than the Status Quo, and therefore also the Base Case. </w:t>
      </w:r>
    </w:p>
    <w:p w14:paraId="41B52345" w14:textId="2901E47D" w:rsidR="00BB398E" w:rsidRPr="00BF281D" w:rsidRDefault="00BB398E" w:rsidP="00BB398E">
      <w:r w:rsidRPr="00BF281D">
        <w:t>In addition,</w:t>
      </w:r>
      <w:r w:rsidR="00744F9D">
        <w:t xml:space="preserve"> the regulations would </w:t>
      </w:r>
      <w:r w:rsidR="00921FF9">
        <w:t xml:space="preserve">be </w:t>
      </w:r>
      <w:r w:rsidR="009E7A94">
        <w:t>consistent with the Amendment Act requirements for</w:t>
      </w:r>
      <w:r w:rsidRPr="00BF281D">
        <w:t xml:space="preserve"> increased prescription in relation to</w:t>
      </w:r>
      <w:r w:rsidR="0059031C">
        <w:t xml:space="preserve"> the community engagement and</w:t>
      </w:r>
      <w:r w:rsidRPr="00BF281D">
        <w:t xml:space="preserve"> submissions processes</w:t>
      </w:r>
      <w:r w:rsidRPr="00817682">
        <w:t xml:space="preserve">. </w:t>
      </w:r>
      <w:r w:rsidRPr="00BF281D">
        <w:t xml:space="preserve">This would provide </w:t>
      </w:r>
      <w:r w:rsidRPr="00BF281D">
        <w:lastRenderedPageBreak/>
        <w:t>community with more confidence that relevant matters have been considered,</w:t>
      </w:r>
      <w:r w:rsidR="0059031C">
        <w:t xml:space="preserve"> prior to that authority being granted</w:t>
      </w:r>
      <w:r w:rsidR="00794FD7">
        <w:t>.</w:t>
      </w:r>
    </w:p>
    <w:p w14:paraId="3B19A532" w14:textId="77777777" w:rsidR="00BB398E" w:rsidRPr="00BF281D" w:rsidRDefault="00BB398E" w:rsidP="00BB398E">
      <w:pPr>
        <w:rPr>
          <w:i/>
          <w:iCs/>
        </w:rPr>
      </w:pPr>
      <w:r w:rsidRPr="00BF281D">
        <w:rPr>
          <w:i/>
          <w:iCs/>
        </w:rPr>
        <w:t>Information and reporting</w:t>
      </w:r>
    </w:p>
    <w:p w14:paraId="2D666A8D" w14:textId="5F6163BA" w:rsidR="00BB398E" w:rsidRPr="00BB398E" w:rsidRDefault="00BB398E" w:rsidP="00AC00AB">
      <w:r w:rsidRPr="00BF281D">
        <w:t xml:space="preserve">Option 1 would provide a greater benefit in building </w:t>
      </w:r>
      <w:r w:rsidR="0054704E">
        <w:t>social license</w:t>
      </w:r>
      <w:r w:rsidRPr="00BF281D">
        <w:t xml:space="preserve"> to operate as compared to the Status Quo, </w:t>
      </w:r>
      <w:r w:rsidR="00262E2A">
        <w:t xml:space="preserve">as there would be a </w:t>
      </w:r>
      <w:r w:rsidR="00393391">
        <w:t xml:space="preserve">higher </w:t>
      </w:r>
      <w:r w:rsidR="00262E2A">
        <w:t xml:space="preserve">level of </w:t>
      </w:r>
      <w:r w:rsidRPr="00BF281D">
        <w:t xml:space="preserve">requirements for data, samples, </w:t>
      </w:r>
      <w:proofErr w:type="gramStart"/>
      <w:r w:rsidRPr="00BF281D">
        <w:t>cores</w:t>
      </w:r>
      <w:proofErr w:type="gramEnd"/>
      <w:r w:rsidRPr="00BF281D">
        <w:t xml:space="preserve"> and reports to be provided to the Minister or ERR</w:t>
      </w:r>
      <w:r w:rsidRPr="00817682">
        <w:t xml:space="preserve">. </w:t>
      </w:r>
      <w:r w:rsidR="00262E2A">
        <w:t>Less information would be provided in either the Base Case or the Status Quo.</w:t>
      </w:r>
      <w:r w:rsidRPr="00817682">
        <w:t xml:space="preserve"> The VGP found that communities would like to see more information and data provided to ERR, to increase transparency in the operations and their potential impacts.</w:t>
      </w:r>
    </w:p>
    <w:p w14:paraId="57B1EC2B" w14:textId="0442D31F" w:rsidR="006100DB" w:rsidRPr="00D850B6" w:rsidRDefault="006100DB" w:rsidP="006100DB">
      <w:pPr>
        <w:pStyle w:val="Heading4"/>
        <w:rPr>
          <w:sz w:val="20"/>
          <w:szCs w:val="20"/>
        </w:rPr>
      </w:pPr>
      <w:r w:rsidRPr="001528D0">
        <w:rPr>
          <w:color w:val="012169" w:themeColor="accent4"/>
          <w:sz w:val="20"/>
          <w:szCs w:val="20"/>
        </w:rPr>
        <w:t xml:space="preserve">Option 2 </w:t>
      </w:r>
    </w:p>
    <w:p w14:paraId="5CC80281" w14:textId="300A42D8" w:rsidR="00BB398E" w:rsidRPr="00BF281D" w:rsidRDefault="00BB398E" w:rsidP="00BB398E">
      <w:r w:rsidRPr="00BF281D">
        <w:t>Option 2 receives a score of</w:t>
      </w:r>
      <w:r w:rsidRPr="00012DD6">
        <w:rPr>
          <w:b/>
          <w:bCs/>
        </w:rPr>
        <w:t xml:space="preserve"> 7</w:t>
      </w:r>
      <w:r w:rsidRPr="00BF281D">
        <w:t xml:space="preserve"> for building </w:t>
      </w:r>
      <w:r w:rsidR="0054704E">
        <w:t>social license</w:t>
      </w:r>
      <w:r w:rsidRPr="00BF281D">
        <w:t>. It provides community with more assurance than the other options</w:t>
      </w:r>
      <w:r w:rsidR="00184D5A">
        <w:t>, as the requirements can be more clearly complied with</w:t>
      </w:r>
      <w:r w:rsidR="0085603B">
        <w:t>, and publicly demonstrated that the requirements are met</w:t>
      </w:r>
      <w:r w:rsidR="00184D5A">
        <w:t>.</w:t>
      </w:r>
      <w:r w:rsidR="0085603B">
        <w:t xml:space="preserve"> This may be compared with Option 1 which is objects-based and includes more flexibility and </w:t>
      </w:r>
      <w:r w:rsidR="009B4B6D">
        <w:t xml:space="preserve">can be scaled to size or risk of an </w:t>
      </w:r>
      <w:proofErr w:type="gramStart"/>
      <w:r w:rsidR="009B4B6D">
        <w:t>activity</w:t>
      </w:r>
      <w:r w:rsidR="0085603B">
        <w:t>, but</w:t>
      </w:r>
      <w:proofErr w:type="gramEnd"/>
      <w:r w:rsidR="0085603B">
        <w:t xml:space="preserve"> may be perceived as </w:t>
      </w:r>
      <w:r w:rsidR="009B4B6D">
        <w:t xml:space="preserve">including more subjective standards. </w:t>
      </w:r>
      <w:r w:rsidR="00184D5A">
        <w:t xml:space="preserve">  </w:t>
      </w:r>
    </w:p>
    <w:p w14:paraId="0014F5AB" w14:textId="77777777" w:rsidR="00BB398E" w:rsidRPr="00BF281D" w:rsidRDefault="00BB398E" w:rsidP="00BB398E">
      <w:pPr>
        <w:rPr>
          <w:i/>
          <w:iCs/>
        </w:rPr>
      </w:pPr>
      <w:r w:rsidRPr="00BF281D">
        <w:rPr>
          <w:i/>
          <w:iCs/>
        </w:rPr>
        <w:t xml:space="preserve">Authority, </w:t>
      </w:r>
      <w:proofErr w:type="gramStart"/>
      <w:r w:rsidRPr="00BF281D">
        <w:rPr>
          <w:i/>
          <w:iCs/>
        </w:rPr>
        <w:t>applications</w:t>
      </w:r>
      <w:proofErr w:type="gramEnd"/>
      <w:r w:rsidRPr="00BF281D">
        <w:rPr>
          <w:i/>
          <w:iCs/>
        </w:rPr>
        <w:t xml:space="preserve"> and grants</w:t>
      </w:r>
    </w:p>
    <w:p w14:paraId="3F215CB1" w14:textId="14B33276" w:rsidR="00BB398E" w:rsidRPr="00BF281D" w:rsidRDefault="00BB398E" w:rsidP="00BB398E">
      <w:r w:rsidRPr="00BF281D">
        <w:t xml:space="preserve">Option 2 would have a more prescriptive approach to community consultation, whereby in addition to the work program, authority holders would be required to specify and commit to undertaking community consultation </w:t>
      </w:r>
      <w:r w:rsidR="000F3E2B">
        <w:t>around</w:t>
      </w:r>
      <w:r w:rsidRPr="00BF281D">
        <w:t xml:space="preserve"> the </w:t>
      </w:r>
      <w:r w:rsidR="000F3E2B">
        <w:t>activities undertaken as part of</w:t>
      </w:r>
      <w:r w:rsidRPr="00BF281D">
        <w:t xml:space="preserve"> the operation plan. </w:t>
      </w:r>
      <w:proofErr w:type="gramStart"/>
      <w:r w:rsidRPr="00BF281D">
        <w:t>Similar to</w:t>
      </w:r>
      <w:proofErr w:type="gramEnd"/>
      <w:r w:rsidRPr="00BF281D">
        <w:t xml:space="preserve"> Option 1, the main benefit of Option 2, as compared to Base Case, is that the regulations would now require authority holders to undertake ongoing community consultation and the regulations would be consistent with the requirements of the amended Petroleum Act. </w:t>
      </w:r>
    </w:p>
    <w:p w14:paraId="7DEDB549" w14:textId="067FD8F0" w:rsidR="00BB398E" w:rsidRPr="00BF281D" w:rsidRDefault="002516A4" w:rsidP="00BB398E">
      <w:r>
        <w:t>T</w:t>
      </w:r>
      <w:r w:rsidR="00BB398E" w:rsidRPr="00BF281D">
        <w:t xml:space="preserve">he main difference in comparison to Option 1 is that authority holders would have to consult with the community </w:t>
      </w:r>
      <w:r>
        <w:t>as part of the operation plan</w:t>
      </w:r>
      <w:r w:rsidR="00BB398E" w:rsidRPr="00BF281D">
        <w:t xml:space="preserve">. This consistent consultation from authority holders at certain phases of the project builds community trust in the industry as the consultation pathway is transparent. An authority holder outlined that more prescriptive requirements may help build community confidence in the sense that it ensures minimum standards are adhered to. This beneficially builds community confidence in the process building on the industry’s </w:t>
      </w:r>
      <w:r w:rsidR="0054704E">
        <w:t>social license</w:t>
      </w:r>
      <w:r w:rsidR="00BB398E" w:rsidRPr="00BF281D">
        <w:t>.</w:t>
      </w:r>
    </w:p>
    <w:p w14:paraId="2350A7D5" w14:textId="797A3D91" w:rsidR="00BB398E" w:rsidRDefault="00FD6CFD" w:rsidP="00BB398E">
      <w:r>
        <w:t>Option 2 allows</w:t>
      </w:r>
      <w:r w:rsidR="00BB398E" w:rsidRPr="00BF281D">
        <w:t xml:space="preserve"> the public to review applications </w:t>
      </w:r>
      <w:r>
        <w:t>for authorities</w:t>
      </w:r>
      <w:r w:rsidR="00BB398E" w:rsidRPr="00BF281D">
        <w:t xml:space="preserve"> more easily against the prescribed </w:t>
      </w:r>
      <w:r w:rsidR="00FE7352">
        <w:t>requirements</w:t>
      </w:r>
      <w:r w:rsidR="00BB398E" w:rsidRPr="00BF281D">
        <w:t xml:space="preserve">. </w:t>
      </w:r>
      <w:r w:rsidR="000311C0">
        <w:t xml:space="preserve">More consistent information will be provided to community with the advertised notice. </w:t>
      </w:r>
      <w:r w:rsidR="00BB398E" w:rsidRPr="00BF281D">
        <w:t xml:space="preserve">Several authority holders </w:t>
      </w:r>
      <w:r w:rsidR="001F7D19">
        <w:t>suggested</w:t>
      </w:r>
      <w:r w:rsidR="001F7D19" w:rsidRPr="00BF281D">
        <w:t xml:space="preserve"> </w:t>
      </w:r>
      <w:r w:rsidR="00BB398E" w:rsidRPr="00BF281D">
        <w:t xml:space="preserve">that a more prescriptive approach with greater clarity on expectations from the government would be beneficial as they tend to overcommunicate with community to build their </w:t>
      </w:r>
      <w:r w:rsidR="0054704E">
        <w:t>social license</w:t>
      </w:r>
      <w:r w:rsidR="00BB398E" w:rsidRPr="00BF281D">
        <w:t xml:space="preserve">. </w:t>
      </w:r>
    </w:p>
    <w:p w14:paraId="23A9D98B" w14:textId="40B5E88F" w:rsidR="00C605EF" w:rsidRPr="00BF281D" w:rsidRDefault="00C605EF" w:rsidP="00BB398E">
      <w:r>
        <w:t xml:space="preserve">Further, there is a risk with Option 1 that community members would perceive that industry has the </w:t>
      </w:r>
      <w:r w:rsidR="00B72CA6">
        <w:t>discretion to determine when</w:t>
      </w:r>
      <w:r w:rsidR="00E82499">
        <w:t>, how and with whom in the community</w:t>
      </w:r>
      <w:r w:rsidR="00B72CA6">
        <w:t xml:space="preserve"> to consult. This may not help to build </w:t>
      </w:r>
      <w:r w:rsidR="0054704E">
        <w:t>social license</w:t>
      </w:r>
      <w:r w:rsidR="00B72CA6">
        <w:t xml:space="preserve"> if community </w:t>
      </w:r>
      <w:r w:rsidR="00831A7A">
        <w:t>perceive</w:t>
      </w:r>
      <w:r w:rsidR="00B72CA6">
        <w:t xml:space="preserve"> that industry is making th</w:t>
      </w:r>
      <w:r w:rsidR="00831A7A">
        <w:t>e</w:t>
      </w:r>
      <w:r w:rsidR="00B72CA6">
        <w:t xml:space="preserve"> decision </w:t>
      </w:r>
      <w:r w:rsidR="00831A7A">
        <w:t>regarding timing for consultation</w:t>
      </w:r>
      <w:r w:rsidR="00B72CA6">
        <w:t xml:space="preserve"> in self-interest</w:t>
      </w:r>
      <w:r w:rsidR="00831A7A">
        <w:t>,</w:t>
      </w:r>
      <w:r w:rsidR="00B72CA6">
        <w:t xml:space="preserve"> rather than with the community interest as front of mind</w:t>
      </w:r>
      <w:r w:rsidR="00C02734">
        <w:t xml:space="preserve"> (even if that is not necessarily the case). The additional prescription around timeframes for consultation may help to avoid any perception that industry is acting </w:t>
      </w:r>
      <w:r w:rsidR="007B52C5">
        <w:t>in self interest in setting</w:t>
      </w:r>
      <w:r w:rsidR="00C02734">
        <w:t xml:space="preserve"> the </w:t>
      </w:r>
      <w:r w:rsidR="007B52C5">
        <w:t>schedule for consultations</w:t>
      </w:r>
      <w:r w:rsidR="00C02734">
        <w:t xml:space="preserve">. </w:t>
      </w:r>
    </w:p>
    <w:p w14:paraId="7D20F26D" w14:textId="77777777" w:rsidR="00BB398E" w:rsidRPr="00817682" w:rsidRDefault="00BB398E" w:rsidP="00BB398E">
      <w:pPr>
        <w:rPr>
          <w:i/>
          <w:iCs/>
        </w:rPr>
      </w:pPr>
      <w:r w:rsidRPr="00BF281D">
        <w:rPr>
          <w:i/>
          <w:iCs/>
        </w:rPr>
        <w:t>Conduct of operations</w:t>
      </w:r>
    </w:p>
    <w:p w14:paraId="7961CC5F" w14:textId="1DA7866D" w:rsidR="00540214" w:rsidRDefault="00BB398E" w:rsidP="00BB398E">
      <w:r w:rsidRPr="00BF281D">
        <w:t xml:space="preserve">Authority holders are cognisant of the importance of consulting with relevant community members to build </w:t>
      </w:r>
      <w:r w:rsidR="0054704E">
        <w:t>social license</w:t>
      </w:r>
      <w:r w:rsidRPr="00BF281D">
        <w:t>. Some are highly experienced with consultation, and already go above what is required under the Status Quo</w:t>
      </w:r>
      <w:r w:rsidR="000A4C37">
        <w:t>, or would be required under Option 1 or 2,</w:t>
      </w:r>
      <w:r w:rsidRPr="00BF281D">
        <w:t xml:space="preserve"> during the development and operations phases. </w:t>
      </w:r>
    </w:p>
    <w:p w14:paraId="74014B56" w14:textId="3EDCBA39" w:rsidR="00BB398E" w:rsidRPr="00BF281D" w:rsidRDefault="00BB398E" w:rsidP="00BB398E">
      <w:r w:rsidRPr="00BF281D">
        <w:t xml:space="preserve">As Option 2 contains more detailed requirements for ongoing community engagement, communities would have greater confidence that their concerns and risks are being managed throughout the lifecycle of the petroleum operation. </w:t>
      </w:r>
      <w:r w:rsidR="00811C50">
        <w:t xml:space="preserve">Further, </w:t>
      </w:r>
      <w:r w:rsidR="006925D6">
        <w:t xml:space="preserve">there would be an additional level of government oversight of the </w:t>
      </w:r>
      <w:r w:rsidR="000F58CA">
        <w:t xml:space="preserve">consultation process and information provided, as the Minister would have a stronger obligation to take it into account (as compared to Option 1 which would provide more discretion to the Minister).  Some </w:t>
      </w:r>
      <w:r w:rsidR="000F58CA">
        <w:lastRenderedPageBreak/>
        <w:t xml:space="preserve">authority holders considered this to be an important part of building </w:t>
      </w:r>
      <w:r w:rsidR="0054704E">
        <w:t>social license</w:t>
      </w:r>
      <w:r w:rsidR="000F58CA">
        <w:t xml:space="preserve">, as it would give a form of external overview to the process. </w:t>
      </w:r>
    </w:p>
    <w:p w14:paraId="70B4194D" w14:textId="77777777" w:rsidR="00BB398E" w:rsidRPr="00BF281D" w:rsidRDefault="00BB398E" w:rsidP="00BB398E">
      <w:r w:rsidRPr="00BF281D">
        <w:t>Under Option 2, the operation plan will include specific requirements for how the authority holder will consult with the community during the petroleum operation.  These requirements are intended to form part of the EMP rather than a separate plan. The community consultation requirement will set out how the authority holder will:</w:t>
      </w:r>
    </w:p>
    <w:p w14:paraId="483B90F0" w14:textId="77777777" w:rsidR="00BB398E" w:rsidRPr="00BF281D" w:rsidRDefault="00BB398E" w:rsidP="00BB398E">
      <w:pPr>
        <w:pStyle w:val="ListParagraph"/>
        <w:numPr>
          <w:ilvl w:val="0"/>
          <w:numId w:val="61"/>
        </w:numPr>
      </w:pPr>
      <w:r w:rsidRPr="00BF281D">
        <w:t xml:space="preserve">identify the community likely to be affected, </w:t>
      </w:r>
    </w:p>
    <w:p w14:paraId="30342BAB" w14:textId="77777777" w:rsidR="00BB398E" w:rsidRPr="00BF281D" w:rsidRDefault="00BB398E" w:rsidP="00BB398E">
      <w:pPr>
        <w:pStyle w:val="ListParagraph"/>
        <w:numPr>
          <w:ilvl w:val="0"/>
          <w:numId w:val="61"/>
        </w:numPr>
      </w:pPr>
      <w:r w:rsidRPr="00BF281D">
        <w:t xml:space="preserve">receive feedback from the community, </w:t>
      </w:r>
    </w:p>
    <w:p w14:paraId="5C7C08D9" w14:textId="77777777" w:rsidR="00BB398E" w:rsidRPr="00BF281D" w:rsidRDefault="00BB398E" w:rsidP="00BB398E">
      <w:pPr>
        <w:pStyle w:val="ListParagraph"/>
        <w:numPr>
          <w:ilvl w:val="0"/>
          <w:numId w:val="61"/>
        </w:numPr>
      </w:pPr>
      <w:r w:rsidRPr="00BF281D">
        <w:t xml:space="preserve">manage complaints and other communications from members of the community </w:t>
      </w:r>
    </w:p>
    <w:p w14:paraId="1D6C62D9" w14:textId="64BD7752" w:rsidR="00BB398E" w:rsidRPr="00BF281D" w:rsidRDefault="00BB398E" w:rsidP="00BB398E">
      <w:pPr>
        <w:pStyle w:val="ListParagraph"/>
        <w:numPr>
          <w:ilvl w:val="0"/>
          <w:numId w:val="61"/>
        </w:numPr>
      </w:pPr>
      <w:r w:rsidRPr="00BF281D">
        <w:t xml:space="preserve">ensure that an appropriately qualified </w:t>
      </w:r>
      <w:r w:rsidR="00890F8A">
        <w:t xml:space="preserve">and/or experienced </w:t>
      </w:r>
      <w:r w:rsidRPr="00BF281D">
        <w:t>person will be responsible for ensuring measures relating to community consultation under the operation plan are implemented</w:t>
      </w:r>
    </w:p>
    <w:p w14:paraId="6218D587" w14:textId="77777777" w:rsidR="00BB398E" w:rsidRPr="00BF281D" w:rsidRDefault="00BB398E" w:rsidP="00BB398E">
      <w:r w:rsidRPr="00BF281D">
        <w:t>In the case of an operation plan for a production licence, the community consultation requirement will set out how the authority holder will:</w:t>
      </w:r>
    </w:p>
    <w:p w14:paraId="6DC48CCF" w14:textId="77777777" w:rsidR="00BB398E" w:rsidRPr="00BF281D" w:rsidRDefault="00BB398E" w:rsidP="00BB398E">
      <w:pPr>
        <w:pStyle w:val="ListParagraph"/>
        <w:numPr>
          <w:ilvl w:val="0"/>
          <w:numId w:val="62"/>
        </w:numPr>
      </w:pPr>
      <w:r w:rsidRPr="00BF281D">
        <w:t xml:space="preserve">identify community attitudes and expectations; and </w:t>
      </w:r>
    </w:p>
    <w:p w14:paraId="285AC934" w14:textId="77777777" w:rsidR="00BB398E" w:rsidRPr="00BF281D" w:rsidRDefault="00BB398E" w:rsidP="00BB398E">
      <w:pPr>
        <w:pStyle w:val="ListParagraph"/>
        <w:numPr>
          <w:ilvl w:val="0"/>
          <w:numId w:val="62"/>
        </w:numPr>
      </w:pPr>
      <w:r w:rsidRPr="00BF281D">
        <w:t xml:space="preserve">analyse community feedback, </w:t>
      </w:r>
      <w:proofErr w:type="gramStart"/>
      <w:r w:rsidRPr="00BF281D">
        <w:t>taking into account</w:t>
      </w:r>
      <w:proofErr w:type="gramEnd"/>
      <w:r w:rsidRPr="00BF281D">
        <w:t xml:space="preserve"> community concerns or expectations; and </w:t>
      </w:r>
    </w:p>
    <w:p w14:paraId="3DE587DD" w14:textId="77777777" w:rsidR="00BB398E" w:rsidRPr="00BF281D" w:rsidRDefault="00BB398E" w:rsidP="00BB398E">
      <w:pPr>
        <w:pStyle w:val="ListParagraph"/>
        <w:numPr>
          <w:ilvl w:val="0"/>
          <w:numId w:val="62"/>
        </w:numPr>
      </w:pPr>
      <w:r w:rsidRPr="00BF281D">
        <w:t>register, document and respond to complaints and other communications from members of the community in relation to the petroleum operation</w:t>
      </w:r>
    </w:p>
    <w:p w14:paraId="179F5778" w14:textId="27349386" w:rsidR="00E84D89" w:rsidRDefault="00BB398E" w:rsidP="00BB398E">
      <w:pPr>
        <w:rPr>
          <w:i/>
          <w:iCs/>
        </w:rPr>
      </w:pPr>
      <w:r w:rsidRPr="00BF281D">
        <w:t xml:space="preserve">Having these requirements mandated, as compared to being optional, may help to build community confidence in the industry, further increasing </w:t>
      </w:r>
      <w:r w:rsidR="0054704E">
        <w:t>social license</w:t>
      </w:r>
      <w:r w:rsidRPr="00BF281D">
        <w:t xml:space="preserve"> and associated benefits.</w:t>
      </w:r>
      <w:r w:rsidR="00214AA6">
        <w:t xml:space="preserve"> This applies equally to the </w:t>
      </w:r>
      <w:r w:rsidR="00F16D11">
        <w:t>additional risk mitigation requirements, reporting against additional activities and well decommissioning and rehabilitation</w:t>
      </w:r>
      <w:r w:rsidR="00EB44B9">
        <w:t xml:space="preserve">, as these will demonstrate to the community that the government is </w:t>
      </w:r>
      <w:r w:rsidR="00003038">
        <w:t xml:space="preserve">well-informed and therefore </w:t>
      </w:r>
      <w:r w:rsidR="00EB44B9">
        <w:t>equipped to</w:t>
      </w:r>
      <w:r w:rsidR="00003038">
        <w:t xml:space="preserve"> </w:t>
      </w:r>
      <w:proofErr w:type="gramStart"/>
      <w:r w:rsidR="00003038">
        <w:t>more</w:t>
      </w:r>
      <w:r w:rsidR="00EB44B9">
        <w:t xml:space="preserve"> </w:t>
      </w:r>
      <w:r w:rsidR="00003038">
        <w:t>effectively regulate</w:t>
      </w:r>
      <w:r w:rsidR="002A2BE2">
        <w:t xml:space="preserve"> of the</w:t>
      </w:r>
      <w:r w:rsidR="00EB44B9">
        <w:t xml:space="preserve"> risk of the activity</w:t>
      </w:r>
      <w:proofErr w:type="gramEnd"/>
      <w:r w:rsidR="00EB44B9">
        <w:t xml:space="preserve">. </w:t>
      </w:r>
    </w:p>
    <w:p w14:paraId="4EA7089A" w14:textId="7AB54830" w:rsidR="00BB398E" w:rsidRPr="00BF281D" w:rsidRDefault="00BB398E" w:rsidP="00BB398E">
      <w:pPr>
        <w:rPr>
          <w:i/>
          <w:iCs/>
        </w:rPr>
      </w:pPr>
      <w:r w:rsidRPr="00BF281D">
        <w:rPr>
          <w:i/>
          <w:iCs/>
        </w:rPr>
        <w:t>Information and reporting</w:t>
      </w:r>
    </w:p>
    <w:p w14:paraId="7901DA94" w14:textId="16E6E38B" w:rsidR="00BB398E" w:rsidRPr="00BF281D" w:rsidRDefault="00BB398E" w:rsidP="00BB398E">
      <w:r w:rsidRPr="00BF281D">
        <w:t xml:space="preserve">Option 2 would provide the strongest benefit for the </w:t>
      </w:r>
      <w:r w:rsidR="0054704E">
        <w:t>social license</w:t>
      </w:r>
      <w:r w:rsidRPr="00BF281D">
        <w:t xml:space="preserve"> to operate criteria, on the basis that the additional information gathered, </w:t>
      </w:r>
      <w:proofErr w:type="gramStart"/>
      <w:r w:rsidRPr="00BF281D">
        <w:t>analysed</w:t>
      </w:r>
      <w:proofErr w:type="gramEnd"/>
      <w:r w:rsidRPr="00BF281D">
        <w:t xml:space="preserve"> and reported to Government, compared to Option 1 or the Base Case will help to increase trust in the industry</w:t>
      </w:r>
      <w:r w:rsidR="00115C70">
        <w:t xml:space="preserve"> and government in regulating the risk of the activity</w:t>
      </w:r>
      <w:r w:rsidRPr="00BF281D">
        <w:t xml:space="preserve">. </w:t>
      </w:r>
    </w:p>
    <w:p w14:paraId="416435D0" w14:textId="48D45FAA" w:rsidR="007F0F82" w:rsidRDefault="007F0F82" w:rsidP="007F0F82">
      <w:pPr>
        <w:pStyle w:val="Heading4"/>
      </w:pPr>
      <w:r w:rsidRPr="001528D0">
        <w:rPr>
          <w:color w:val="012169" w:themeColor="accent4"/>
        </w:rPr>
        <w:t xml:space="preserve">Conclusion – Building </w:t>
      </w:r>
      <w:r w:rsidR="0054704E" w:rsidRPr="001528D0">
        <w:rPr>
          <w:color w:val="012169" w:themeColor="accent4"/>
        </w:rPr>
        <w:t>social license</w:t>
      </w:r>
      <w:r>
        <w:t xml:space="preserve">  </w:t>
      </w:r>
    </w:p>
    <w:p w14:paraId="336F171B" w14:textId="4516596C" w:rsidR="00C27D05" w:rsidRPr="00C27D05" w:rsidRDefault="007F0F82">
      <w:r>
        <w:t xml:space="preserve">Option 2 performs </w:t>
      </w:r>
      <w:r w:rsidR="00035A8B">
        <w:t xml:space="preserve">strongest in building </w:t>
      </w:r>
      <w:r w:rsidR="0054704E">
        <w:t>social license</w:t>
      </w:r>
      <w:r w:rsidR="00035A8B">
        <w:t xml:space="preserve"> through all phases, as i</w:t>
      </w:r>
      <w:r w:rsidRPr="00BF281D">
        <w:t xml:space="preserve">t provides community with more </w:t>
      </w:r>
      <w:r w:rsidR="00AC07B7">
        <w:t>confidence</w:t>
      </w:r>
      <w:r w:rsidR="00AC07B7" w:rsidRPr="00BF281D">
        <w:t xml:space="preserve"> </w:t>
      </w:r>
      <w:r w:rsidRPr="00BF281D">
        <w:t>than the Base Case</w:t>
      </w:r>
      <w:r>
        <w:t xml:space="preserve"> and Status Quo</w:t>
      </w:r>
      <w:r w:rsidRPr="00BF281D">
        <w:t xml:space="preserve">, </w:t>
      </w:r>
      <w:r w:rsidR="00AC07B7">
        <w:t xml:space="preserve">in the public submission </w:t>
      </w:r>
      <w:r w:rsidR="00575E08">
        <w:t xml:space="preserve">process. </w:t>
      </w:r>
      <w:r w:rsidRPr="00BF281D">
        <w:t xml:space="preserve"> </w:t>
      </w:r>
      <w:r w:rsidR="00E27CBC">
        <w:t xml:space="preserve"> Further, there is an increased level of detail that authority holders would need to gather and provide to ERR, </w:t>
      </w:r>
      <w:r w:rsidR="00325537">
        <w:t xml:space="preserve">and the ability to clearly cross reference the requirements against the information provided may provide </w:t>
      </w:r>
      <w:r w:rsidR="006B5580">
        <w:t>additional</w:t>
      </w:r>
      <w:r w:rsidR="00325537">
        <w:t xml:space="preserve"> reassurance to community that industry is meeting its obligations</w:t>
      </w:r>
      <w:r w:rsidR="006B5580">
        <w:t xml:space="preserve">. This is </w:t>
      </w:r>
      <w:r w:rsidR="009E5EB5">
        <w:t xml:space="preserve">evident </w:t>
      </w:r>
      <w:r w:rsidR="00325537">
        <w:t xml:space="preserve">compared to the more subjective threshold tests in </w:t>
      </w:r>
      <w:r w:rsidR="006B5580">
        <w:t>Option</w:t>
      </w:r>
      <w:r w:rsidR="00325537">
        <w:t xml:space="preserve"> 1, </w:t>
      </w:r>
      <w:r w:rsidR="006B5580">
        <w:t>the lack of detail in the Base Case and the low level of requirements in the Status Quo</w:t>
      </w:r>
      <w:r w:rsidR="00325537">
        <w:t xml:space="preserve">. </w:t>
      </w:r>
      <w:r w:rsidR="00035A8B">
        <w:t xml:space="preserve"> </w:t>
      </w:r>
    </w:p>
    <w:p w14:paraId="4E72D470" w14:textId="77777777" w:rsidR="00FC72FD" w:rsidRDefault="00394D9E" w:rsidP="00FC72FD">
      <w:pPr>
        <w:pStyle w:val="Heading3"/>
      </w:pPr>
      <w:r>
        <w:t>Risk Mitigation</w:t>
      </w:r>
    </w:p>
    <w:tbl>
      <w:tblPr>
        <w:tblStyle w:val="Deloittetable"/>
        <w:tblW w:w="5167" w:type="pct"/>
        <w:tblLook w:val="04A0" w:firstRow="1" w:lastRow="0" w:firstColumn="1" w:lastColumn="0" w:noHBand="0" w:noVBand="1"/>
      </w:tblPr>
      <w:tblGrid>
        <w:gridCol w:w="2054"/>
        <w:gridCol w:w="1984"/>
        <w:gridCol w:w="1984"/>
        <w:gridCol w:w="1984"/>
        <w:gridCol w:w="1984"/>
      </w:tblGrid>
      <w:tr w:rsidR="00FC72FD" w:rsidRPr="00BF281D" w14:paraId="5DB16C66" w14:textId="77777777" w:rsidTr="00764265">
        <w:trPr>
          <w:cnfStyle w:val="100000000000" w:firstRow="1" w:lastRow="0" w:firstColumn="0" w:lastColumn="0" w:oddVBand="0" w:evenVBand="0" w:oddHBand="0" w:evenHBand="0" w:firstRowFirstColumn="0" w:firstRowLastColumn="0" w:lastRowFirstColumn="0" w:lastRowLastColumn="0"/>
          <w:trHeight w:val="363"/>
        </w:trPr>
        <w:tc>
          <w:tcPr>
            <w:tcW w:w="0" w:type="pct"/>
          </w:tcPr>
          <w:p w14:paraId="264CB178" w14:textId="77777777" w:rsidR="00FC72FD" w:rsidRPr="00BF281D" w:rsidRDefault="00FC72FD" w:rsidP="004B2841">
            <w:pPr>
              <w:keepNext/>
              <w:spacing w:after="0" w:line="240" w:lineRule="auto"/>
              <w:rPr>
                <w:rFonts w:eastAsia="Times New Roman" w:cs="Times New Roman"/>
                <w:color w:val="000000"/>
                <w:sz w:val="16"/>
                <w:szCs w:val="16"/>
                <w:lang w:eastAsia="en-AU"/>
              </w:rPr>
            </w:pPr>
            <w:r w:rsidRPr="00BF281D">
              <w:rPr>
                <w:rFonts w:asciiTheme="minorHAnsi" w:eastAsia="Times New Roman" w:hAnsiTheme="minorHAnsi" w:cs="Calibri"/>
                <w:b/>
                <w:bCs/>
                <w:color w:val="000000"/>
                <w:sz w:val="16"/>
                <w:szCs w:val="16"/>
                <w:lang w:eastAsia="en-AU"/>
              </w:rPr>
              <w:t>Criteria</w:t>
            </w:r>
          </w:p>
        </w:tc>
        <w:tc>
          <w:tcPr>
            <w:tcW w:w="0" w:type="pct"/>
          </w:tcPr>
          <w:p w14:paraId="674107D5" w14:textId="77777777" w:rsidR="00FC72FD" w:rsidRPr="00BF281D" w:rsidRDefault="00FC72FD" w:rsidP="004B2841">
            <w:pPr>
              <w:keepNext/>
              <w:spacing w:after="0" w:line="240" w:lineRule="auto"/>
              <w:jc w:val="center"/>
              <w:rPr>
                <w:rFonts w:eastAsia="Times New Roman" w:cs="Times New Roman"/>
                <w:color w:val="000000"/>
                <w:sz w:val="16"/>
                <w:szCs w:val="16"/>
                <w:lang w:eastAsia="en-AU"/>
              </w:rPr>
            </w:pPr>
            <w:r w:rsidRPr="00BF281D">
              <w:rPr>
                <w:rFonts w:eastAsia="Times New Roman" w:cs="Times New Roman"/>
                <w:b/>
                <w:bCs/>
                <w:color w:val="000000"/>
                <w:sz w:val="16"/>
                <w:szCs w:val="16"/>
                <w:lang w:eastAsia="en-AU"/>
              </w:rPr>
              <w:t>Base Case</w:t>
            </w:r>
          </w:p>
        </w:tc>
        <w:tc>
          <w:tcPr>
            <w:tcW w:w="0" w:type="pct"/>
          </w:tcPr>
          <w:p w14:paraId="44D65BE8" w14:textId="77777777" w:rsidR="00FC72FD" w:rsidRDefault="00FC72FD" w:rsidP="004B2841">
            <w:pPr>
              <w:keepNext/>
              <w:spacing w:after="0" w:line="240" w:lineRule="auto"/>
              <w:jc w:val="center"/>
              <w:rPr>
                <w:rFonts w:eastAsia="Times New Roman" w:cs="Times New Roman"/>
                <w:color w:val="000000"/>
                <w:sz w:val="16"/>
                <w:szCs w:val="16"/>
                <w:lang w:eastAsia="en-AU"/>
              </w:rPr>
            </w:pPr>
            <w:r w:rsidRPr="00BF281D">
              <w:rPr>
                <w:rFonts w:eastAsia="Times New Roman" w:cs="Times New Roman"/>
                <w:b/>
                <w:bCs/>
                <w:color w:val="000000"/>
                <w:sz w:val="16"/>
                <w:szCs w:val="16"/>
                <w:lang w:eastAsia="en-AU"/>
              </w:rPr>
              <w:t>Status Quo</w:t>
            </w:r>
          </w:p>
        </w:tc>
        <w:tc>
          <w:tcPr>
            <w:tcW w:w="0" w:type="pct"/>
          </w:tcPr>
          <w:p w14:paraId="6E90B1D7" w14:textId="77777777" w:rsidR="00FC72FD" w:rsidRPr="00BF281D" w:rsidRDefault="00FC72FD" w:rsidP="004B2841">
            <w:pPr>
              <w:keepNext/>
              <w:spacing w:after="0" w:line="240" w:lineRule="auto"/>
              <w:jc w:val="center"/>
              <w:rPr>
                <w:rFonts w:eastAsia="Times New Roman" w:cs="Times New Roman"/>
                <w:color w:val="000000"/>
                <w:sz w:val="16"/>
                <w:szCs w:val="16"/>
                <w:lang w:eastAsia="en-AU"/>
              </w:rPr>
            </w:pPr>
            <w:r w:rsidRPr="00BF281D">
              <w:rPr>
                <w:rFonts w:eastAsia="Times New Roman" w:cs="Times New Roman"/>
                <w:b/>
                <w:bCs/>
                <w:color w:val="000000"/>
                <w:sz w:val="16"/>
                <w:szCs w:val="16"/>
                <w:lang w:eastAsia="en-AU"/>
              </w:rPr>
              <w:t>Option 1</w:t>
            </w:r>
          </w:p>
        </w:tc>
        <w:tc>
          <w:tcPr>
            <w:tcW w:w="0" w:type="pct"/>
          </w:tcPr>
          <w:p w14:paraId="400367C9" w14:textId="77777777" w:rsidR="00FC72FD" w:rsidRPr="00BF281D" w:rsidRDefault="00FC72FD" w:rsidP="004B2841">
            <w:pPr>
              <w:keepNext/>
              <w:spacing w:after="0" w:line="240" w:lineRule="auto"/>
              <w:jc w:val="center"/>
              <w:rPr>
                <w:rFonts w:eastAsia="Times New Roman" w:cs="Times New Roman"/>
                <w:color w:val="000000"/>
                <w:sz w:val="16"/>
                <w:szCs w:val="16"/>
                <w:lang w:eastAsia="en-AU"/>
              </w:rPr>
            </w:pPr>
            <w:r w:rsidRPr="00BF281D">
              <w:rPr>
                <w:rFonts w:eastAsia="Times New Roman" w:cs="Times New Roman"/>
                <w:b/>
                <w:bCs/>
                <w:color w:val="000000"/>
                <w:sz w:val="16"/>
                <w:szCs w:val="16"/>
                <w:lang w:eastAsia="en-AU"/>
              </w:rPr>
              <w:t>Option 2</w:t>
            </w:r>
          </w:p>
        </w:tc>
      </w:tr>
      <w:tr w:rsidR="00FC72FD" w:rsidRPr="00BF281D" w14:paraId="771E6A9D" w14:textId="77777777" w:rsidTr="00764265">
        <w:trPr>
          <w:trHeight w:val="363"/>
        </w:trPr>
        <w:tc>
          <w:tcPr>
            <w:tcW w:w="1028" w:type="pct"/>
            <w:vAlign w:val="center"/>
          </w:tcPr>
          <w:p w14:paraId="7A9871D9" w14:textId="77777777" w:rsidR="00FC72FD" w:rsidRPr="00BF281D" w:rsidRDefault="00FC72FD" w:rsidP="00C73B72">
            <w:pPr>
              <w:keepNext/>
              <w:spacing w:after="0" w:line="240" w:lineRule="auto"/>
              <w:rPr>
                <w:rFonts w:ascii="Calibri" w:eastAsia="Times New Roman" w:hAnsi="Calibri" w:cs="Calibri"/>
                <w:b/>
                <w:bCs/>
                <w:color w:val="000000"/>
                <w:sz w:val="22"/>
                <w:szCs w:val="22"/>
                <w:lang w:eastAsia="en-AU"/>
              </w:rPr>
            </w:pPr>
            <w:r w:rsidRPr="00BF281D">
              <w:rPr>
                <w:rFonts w:eastAsia="Times New Roman" w:cs="Times New Roman"/>
                <w:color w:val="000000"/>
                <w:sz w:val="16"/>
                <w:szCs w:val="16"/>
                <w:lang w:eastAsia="en-AU"/>
              </w:rPr>
              <w:t xml:space="preserve">Minimise risk to improve outcomes for the environment, public </w:t>
            </w:r>
            <w:proofErr w:type="gramStart"/>
            <w:r w:rsidRPr="00BF281D">
              <w:rPr>
                <w:rFonts w:eastAsia="Times New Roman" w:cs="Times New Roman"/>
                <w:color w:val="000000"/>
                <w:sz w:val="16"/>
                <w:szCs w:val="16"/>
                <w:lang w:eastAsia="en-AU"/>
              </w:rPr>
              <w:t>safety</w:t>
            </w:r>
            <w:proofErr w:type="gramEnd"/>
            <w:r w:rsidRPr="00BF281D">
              <w:rPr>
                <w:rFonts w:eastAsia="Times New Roman" w:cs="Times New Roman"/>
                <w:color w:val="000000"/>
                <w:sz w:val="16"/>
                <w:szCs w:val="16"/>
                <w:lang w:eastAsia="en-AU"/>
              </w:rPr>
              <w:t xml:space="preserve"> and amenity as they relate to petroleum development in Victoria.</w:t>
            </w:r>
          </w:p>
        </w:tc>
        <w:tc>
          <w:tcPr>
            <w:tcW w:w="993" w:type="pct"/>
          </w:tcPr>
          <w:p w14:paraId="45548825" w14:textId="77777777" w:rsidR="00FC72FD" w:rsidRPr="00BF281D" w:rsidRDefault="00FC72FD" w:rsidP="00C73B72">
            <w:pPr>
              <w:keepNext/>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0</w:t>
            </w:r>
          </w:p>
        </w:tc>
        <w:tc>
          <w:tcPr>
            <w:tcW w:w="993" w:type="pct"/>
          </w:tcPr>
          <w:p w14:paraId="56F7C616" w14:textId="77777777" w:rsidR="00FC72FD" w:rsidRPr="00BF281D" w:rsidRDefault="00FC72FD" w:rsidP="00C73B72">
            <w:pPr>
              <w:keepNext/>
              <w:spacing w:after="0" w:line="240" w:lineRule="auto"/>
              <w:jc w:val="center"/>
              <w:rPr>
                <w:rFonts w:eastAsia="Times New Roman" w:cs="Times New Roman"/>
                <w:color w:val="000000"/>
                <w:sz w:val="16"/>
                <w:szCs w:val="16"/>
                <w:lang w:eastAsia="en-AU"/>
              </w:rPr>
            </w:pPr>
            <w:r>
              <w:rPr>
                <w:rFonts w:eastAsia="Times New Roman" w:cs="Times New Roman"/>
                <w:color w:val="000000"/>
                <w:sz w:val="16"/>
                <w:szCs w:val="16"/>
                <w:lang w:eastAsia="en-AU"/>
              </w:rPr>
              <w:t>3</w:t>
            </w:r>
          </w:p>
        </w:tc>
        <w:tc>
          <w:tcPr>
            <w:tcW w:w="993" w:type="pct"/>
          </w:tcPr>
          <w:p w14:paraId="7A77213D" w14:textId="77777777" w:rsidR="00FC72FD" w:rsidRPr="00BF281D" w:rsidRDefault="00FC72FD" w:rsidP="00C73B72">
            <w:pPr>
              <w:keepNext/>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4</w:t>
            </w:r>
          </w:p>
        </w:tc>
        <w:tc>
          <w:tcPr>
            <w:tcW w:w="993" w:type="pct"/>
          </w:tcPr>
          <w:p w14:paraId="47432CE7" w14:textId="77777777" w:rsidR="00FC72FD" w:rsidRPr="00BF281D" w:rsidRDefault="00FC72FD" w:rsidP="00C73B72">
            <w:pPr>
              <w:keepNext/>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7</w:t>
            </w:r>
          </w:p>
        </w:tc>
      </w:tr>
    </w:tbl>
    <w:p w14:paraId="17AB4EB7" w14:textId="1C2EE779" w:rsidR="00FA1673" w:rsidRPr="00817682" w:rsidRDefault="00394D9E" w:rsidP="00C73B72">
      <w:pPr>
        <w:pStyle w:val="BodyCopyNEW"/>
      </w:pPr>
      <w:r>
        <w:t xml:space="preserve"> </w:t>
      </w:r>
    </w:p>
    <w:p w14:paraId="21F781B9" w14:textId="77777777" w:rsidR="00FA1673" w:rsidRPr="0047625A" w:rsidRDefault="00FA1673" w:rsidP="00FA1673">
      <w:pPr>
        <w:pStyle w:val="Heading4"/>
        <w:rPr>
          <w:sz w:val="20"/>
          <w:szCs w:val="20"/>
        </w:rPr>
      </w:pPr>
      <w:r w:rsidRPr="001528D0">
        <w:rPr>
          <w:color w:val="012169" w:themeColor="accent4"/>
          <w:sz w:val="20"/>
          <w:szCs w:val="20"/>
        </w:rPr>
        <w:t xml:space="preserve">Status Quo </w:t>
      </w:r>
    </w:p>
    <w:p w14:paraId="10B81749" w14:textId="1DE15B0E" w:rsidR="00A407C3" w:rsidRPr="00BF281D" w:rsidRDefault="00144D38" w:rsidP="00F50128">
      <w:r w:rsidRPr="00BF281D">
        <w:t xml:space="preserve">The </w:t>
      </w:r>
      <w:r w:rsidR="00EE06AD">
        <w:t>S</w:t>
      </w:r>
      <w:r w:rsidRPr="00BF281D">
        <w:t xml:space="preserve">tatus </w:t>
      </w:r>
      <w:r w:rsidR="00EE06AD">
        <w:t>Q</w:t>
      </w:r>
      <w:r w:rsidRPr="00BF281D">
        <w:t xml:space="preserve">uo receives a score of </w:t>
      </w:r>
      <w:r w:rsidR="00B406A8" w:rsidRPr="00012DD6">
        <w:rPr>
          <w:b/>
          <w:bCs/>
        </w:rPr>
        <w:t>3</w:t>
      </w:r>
      <w:r w:rsidR="00EB0A8E" w:rsidRPr="00BF281D">
        <w:t xml:space="preserve"> for the risk mitigation criteria</w:t>
      </w:r>
      <w:r w:rsidR="00F64721" w:rsidRPr="00817682">
        <w:t>.</w:t>
      </w:r>
      <w:r w:rsidR="00EB0A8E" w:rsidRPr="00817682">
        <w:t xml:space="preserve"> This is because </w:t>
      </w:r>
      <w:r w:rsidR="00BE77C6" w:rsidRPr="00BF281D">
        <w:t>it provides some guidance for environmental risk management</w:t>
      </w:r>
      <w:r w:rsidR="00066E27">
        <w:t xml:space="preserve"> and information requirements</w:t>
      </w:r>
      <w:r w:rsidR="00F64721" w:rsidRPr="00BF281D">
        <w:t xml:space="preserve">, </w:t>
      </w:r>
      <w:r w:rsidR="00EE06AD">
        <w:t>and would be slightly more beneficial to the community, industry and government</w:t>
      </w:r>
      <w:r w:rsidR="0075600C">
        <w:t xml:space="preserve"> as compared to </w:t>
      </w:r>
      <w:r w:rsidR="00F64721" w:rsidRPr="00BF281D">
        <w:t>the Base Case</w:t>
      </w:r>
      <w:r w:rsidR="00F64721" w:rsidRPr="00817682">
        <w:t>.</w:t>
      </w:r>
      <w:r w:rsidR="00BE77C6" w:rsidRPr="00817682">
        <w:t xml:space="preserve"> </w:t>
      </w:r>
    </w:p>
    <w:p w14:paraId="01620152" w14:textId="77777777" w:rsidR="00F50128" w:rsidRPr="00BF281D" w:rsidRDefault="00F50128" w:rsidP="00F50128">
      <w:pPr>
        <w:rPr>
          <w:i/>
          <w:iCs/>
        </w:rPr>
      </w:pPr>
      <w:r w:rsidRPr="00BF281D">
        <w:rPr>
          <w:i/>
          <w:iCs/>
        </w:rPr>
        <w:t xml:space="preserve">Authority, </w:t>
      </w:r>
      <w:proofErr w:type="gramStart"/>
      <w:r w:rsidRPr="00BF281D">
        <w:rPr>
          <w:i/>
          <w:iCs/>
        </w:rPr>
        <w:t>applications</w:t>
      </w:r>
      <w:proofErr w:type="gramEnd"/>
      <w:r w:rsidRPr="00BF281D">
        <w:rPr>
          <w:i/>
          <w:iCs/>
        </w:rPr>
        <w:t xml:space="preserve"> and grants</w:t>
      </w:r>
    </w:p>
    <w:p w14:paraId="27D96A4D" w14:textId="5A360743" w:rsidR="00F50128" w:rsidRPr="00817682" w:rsidRDefault="00ED5FA6" w:rsidP="00F50128">
      <w:r w:rsidRPr="00BF281D">
        <w:lastRenderedPageBreak/>
        <w:t>T</w:t>
      </w:r>
      <w:r w:rsidR="00F50128" w:rsidRPr="00BF281D">
        <w:t xml:space="preserve">he Petroleum Regulations as they </w:t>
      </w:r>
      <w:r w:rsidR="00D04EFD" w:rsidRPr="00BF281D">
        <w:t>currently stand</w:t>
      </w:r>
      <w:r w:rsidR="00F50128" w:rsidRPr="00BF281D">
        <w:t xml:space="preserve"> would not reflect the new </w:t>
      </w:r>
      <w:r w:rsidR="00A605A4">
        <w:t>consultation or information</w:t>
      </w:r>
      <w:r w:rsidR="00F50128" w:rsidRPr="00BF281D">
        <w:t xml:space="preserve"> </w:t>
      </w:r>
      <w:r w:rsidR="0031044E">
        <w:t xml:space="preserve">provision </w:t>
      </w:r>
      <w:r w:rsidR="00F50128" w:rsidRPr="00BF281D">
        <w:t xml:space="preserve">requirements of the Petroleum Act which in-turn reflect the findings of the VGP. </w:t>
      </w:r>
    </w:p>
    <w:p w14:paraId="72B9305D" w14:textId="77777777" w:rsidR="00F64721" w:rsidRPr="00BF281D" w:rsidRDefault="00F64721" w:rsidP="00F64721">
      <w:pPr>
        <w:rPr>
          <w:i/>
          <w:iCs/>
        </w:rPr>
      </w:pPr>
      <w:r w:rsidRPr="00BF281D">
        <w:rPr>
          <w:i/>
          <w:iCs/>
        </w:rPr>
        <w:t>Conduct of operations</w:t>
      </w:r>
    </w:p>
    <w:p w14:paraId="1046537C" w14:textId="0E5F3656" w:rsidR="00F50128" w:rsidRPr="00BF281D" w:rsidRDefault="00870374" w:rsidP="00F50128">
      <w:r>
        <w:t xml:space="preserve">At the conduct of operations phase, there would be </w:t>
      </w:r>
      <w:r w:rsidR="00652A46">
        <w:t>less</w:t>
      </w:r>
      <w:r>
        <w:t xml:space="preserve"> detail </w:t>
      </w:r>
      <w:r w:rsidR="007F70EA">
        <w:t xml:space="preserve">provided in </w:t>
      </w:r>
      <w:r w:rsidR="00652A46">
        <w:t>operations plans</w:t>
      </w:r>
      <w:r w:rsidR="00A46973">
        <w:t xml:space="preserve"> </w:t>
      </w:r>
      <w:r>
        <w:t>in the Status Quo</w:t>
      </w:r>
      <w:r w:rsidR="00A46973">
        <w:t>. This is</w:t>
      </w:r>
      <w:r w:rsidR="00E06299">
        <w:t xml:space="preserve"> more positive than the Base Case, where there would be no specification as to the information that would need to be provided through the conduct of operations phase.</w:t>
      </w:r>
      <w:r w:rsidR="00F105DF">
        <w:t xml:space="preserve"> </w:t>
      </w:r>
      <w:r w:rsidR="00303E45">
        <w:t>ERR</w:t>
      </w:r>
      <w:r w:rsidR="00547D2D">
        <w:t xml:space="preserve"> would</w:t>
      </w:r>
      <w:r w:rsidR="00303E45">
        <w:t xml:space="preserve"> therefore have less information about the ongoing risks of the activity and risk management </w:t>
      </w:r>
      <w:r w:rsidR="00AE4D99">
        <w:t xml:space="preserve">mechanisms </w:t>
      </w:r>
      <w:r w:rsidR="00303E45">
        <w:t>in the Base Case as compared to the Status Quo, and accordingly,</w:t>
      </w:r>
      <w:r w:rsidR="00AE4D99">
        <w:t xml:space="preserve"> would</w:t>
      </w:r>
      <w:r w:rsidR="00303E45">
        <w:t xml:space="preserve"> be less </w:t>
      </w:r>
      <w:r w:rsidR="00AE4D99">
        <w:t>likely</w:t>
      </w:r>
      <w:r w:rsidR="00303E45">
        <w:t xml:space="preserve"> to mitigate </w:t>
      </w:r>
      <w:r w:rsidR="00AE4D99">
        <w:t>any</w:t>
      </w:r>
      <w:r w:rsidR="00303E45">
        <w:t xml:space="preserve"> </w:t>
      </w:r>
      <w:r w:rsidR="00AE4D99">
        <w:t xml:space="preserve">environment, </w:t>
      </w:r>
      <w:proofErr w:type="gramStart"/>
      <w:r w:rsidR="00AE4D99">
        <w:t>community</w:t>
      </w:r>
      <w:proofErr w:type="gramEnd"/>
      <w:r w:rsidR="00AE4D99">
        <w:t xml:space="preserve"> or safety </w:t>
      </w:r>
      <w:r w:rsidR="00303E45">
        <w:t xml:space="preserve">risk via </w:t>
      </w:r>
      <w:r w:rsidR="00AE4D99">
        <w:t xml:space="preserve">regulatory activity such as </w:t>
      </w:r>
      <w:r w:rsidR="00570885">
        <w:t xml:space="preserve">requiring additional reporting or conducting an </w:t>
      </w:r>
      <w:r w:rsidR="00AE4D99">
        <w:t>inspection</w:t>
      </w:r>
      <w:r w:rsidR="00303E45">
        <w:t xml:space="preserve">. </w:t>
      </w:r>
      <w:r w:rsidR="00E06299">
        <w:t xml:space="preserve"> </w:t>
      </w:r>
      <w:r w:rsidR="00F50128" w:rsidRPr="00BF281D">
        <w:t xml:space="preserve"> </w:t>
      </w:r>
    </w:p>
    <w:p w14:paraId="74FD6FBF" w14:textId="77777777" w:rsidR="00F50128" w:rsidRPr="00BF281D" w:rsidRDefault="00F50128" w:rsidP="00F50128">
      <w:pPr>
        <w:rPr>
          <w:i/>
          <w:iCs/>
        </w:rPr>
      </w:pPr>
      <w:r w:rsidRPr="00BF281D">
        <w:rPr>
          <w:i/>
          <w:iCs/>
        </w:rPr>
        <w:t>Information and reporting</w:t>
      </w:r>
    </w:p>
    <w:p w14:paraId="0B30475C" w14:textId="0CB284D0" w:rsidR="00276318" w:rsidRDefault="00F64721" w:rsidP="00F64721">
      <w:r w:rsidRPr="00BF281D">
        <w:t xml:space="preserve">There is </w:t>
      </w:r>
      <w:r w:rsidR="00F105DF">
        <w:t xml:space="preserve">a slightly higher </w:t>
      </w:r>
      <w:r w:rsidRPr="00BF281D">
        <w:t xml:space="preserve">chance that reporting a risk of the </w:t>
      </w:r>
      <w:r w:rsidR="007A347A" w:rsidRPr="00BF281D">
        <w:t>operation</w:t>
      </w:r>
      <w:r w:rsidR="007A347A">
        <w:t xml:space="preserve"> to government </w:t>
      </w:r>
      <w:r w:rsidRPr="00BF281D">
        <w:t xml:space="preserve">will </w:t>
      </w:r>
      <w:r w:rsidR="007A347A">
        <w:t>occur</w:t>
      </w:r>
      <w:r w:rsidRPr="00BF281D">
        <w:t xml:space="preserve"> in the Status Quo</w:t>
      </w:r>
      <w:r w:rsidR="007A347A">
        <w:t xml:space="preserve"> as there will is some detail specified in the current form of the Petroleum Regulations</w:t>
      </w:r>
      <w:r w:rsidR="00F105DF">
        <w:t>, as compared to the Base Case</w:t>
      </w:r>
      <w:r w:rsidR="007A347A">
        <w:t>, where there would be no regulations in place</w:t>
      </w:r>
      <w:r w:rsidRPr="00BF281D">
        <w:t>.</w:t>
      </w:r>
      <w:r w:rsidRPr="00817682">
        <w:t xml:space="preserve"> The act of reporting </w:t>
      </w:r>
      <w:proofErr w:type="gramStart"/>
      <w:r w:rsidRPr="00817682">
        <w:t>in itself can</w:t>
      </w:r>
      <w:proofErr w:type="gramEnd"/>
      <w:r w:rsidRPr="00817682">
        <w:t xml:space="preserve"> assist operators and government in uncovering or identifying and classifying risks of operations to amenity, the environment or adjacent communities.  </w:t>
      </w:r>
    </w:p>
    <w:p w14:paraId="594B9933" w14:textId="12F330A6" w:rsidR="00F64721" w:rsidRPr="00C73B72" w:rsidRDefault="00F64721" w:rsidP="00AC00AB">
      <w:r w:rsidRPr="00BF281D">
        <w:t xml:space="preserve">The Status Quo for this criterion would </w:t>
      </w:r>
      <w:r w:rsidR="00276318">
        <w:t>therefore</w:t>
      </w:r>
      <w:r w:rsidRPr="00BF281D">
        <w:t xml:space="preserve"> </w:t>
      </w:r>
      <w:r w:rsidR="00276318">
        <w:t>perform</w:t>
      </w:r>
      <w:r w:rsidRPr="00BF281D">
        <w:t xml:space="preserve"> slightly better than the </w:t>
      </w:r>
      <w:r w:rsidR="00570885">
        <w:t xml:space="preserve">Base </w:t>
      </w:r>
      <w:proofErr w:type="gramStart"/>
      <w:r w:rsidR="00570885">
        <w:t>Case</w:t>
      </w:r>
      <w:r w:rsidRPr="00BF281D">
        <w:t>, but</w:t>
      </w:r>
      <w:proofErr w:type="gramEnd"/>
      <w:r w:rsidRPr="00BF281D">
        <w:t xml:space="preserve"> would </w:t>
      </w:r>
      <w:r w:rsidR="00276318">
        <w:t>again be inconsistent with the amendments to the Petroleum Act, which reflect the findings of the VGP</w:t>
      </w:r>
      <w:r w:rsidRPr="00BF281D">
        <w:t>.</w:t>
      </w:r>
    </w:p>
    <w:p w14:paraId="5ABB4DA6" w14:textId="77777777" w:rsidR="00E562ED" w:rsidRPr="0047625A" w:rsidRDefault="00E562ED" w:rsidP="00394D9E">
      <w:pPr>
        <w:pStyle w:val="Heading4"/>
        <w:rPr>
          <w:sz w:val="20"/>
          <w:szCs w:val="20"/>
        </w:rPr>
      </w:pPr>
      <w:r w:rsidRPr="001528D0">
        <w:rPr>
          <w:color w:val="012169" w:themeColor="accent4"/>
          <w:sz w:val="20"/>
          <w:szCs w:val="20"/>
        </w:rPr>
        <w:t>Option 1</w:t>
      </w:r>
    </w:p>
    <w:p w14:paraId="2C781C31" w14:textId="428E1548" w:rsidR="00F64721" w:rsidRPr="00BF281D" w:rsidRDefault="00F64721" w:rsidP="00F64721">
      <w:r w:rsidRPr="00BF281D">
        <w:t xml:space="preserve">Option 1 receives a score of </w:t>
      </w:r>
      <w:r w:rsidRPr="00012DD6">
        <w:rPr>
          <w:b/>
          <w:bCs/>
        </w:rPr>
        <w:t>4</w:t>
      </w:r>
      <w:r w:rsidRPr="00BF281D">
        <w:t xml:space="preserve"> for the risk mitigation criteria. </w:t>
      </w:r>
      <w:r w:rsidR="00FB3F64">
        <w:t>Option 1</w:t>
      </w:r>
      <w:r w:rsidR="00DC791E">
        <w:t xml:space="preserve"> provides increased benefits </w:t>
      </w:r>
      <w:r w:rsidR="00FB3F64">
        <w:t xml:space="preserve">in risk mitigation as compared to the Status Quo and Base Case, as </w:t>
      </w:r>
      <w:r w:rsidR="002936AE">
        <w:t xml:space="preserve">a medium level of evidence will be required to demonstrate how risks will or are being mitigated through the application and conduct of operations phases. </w:t>
      </w:r>
      <w:r w:rsidR="00AC30C9">
        <w:t>This may be contrasted to the Status Quo which would have a low level of evidence and the Base Case which would</w:t>
      </w:r>
      <w:r w:rsidR="002E3907">
        <w:t xml:space="preserve"> have no specification</w:t>
      </w:r>
      <w:r w:rsidR="00F63871">
        <w:t xml:space="preserve"> due to the sunsetting of the regulations. </w:t>
      </w:r>
      <w:r w:rsidR="00AC30C9">
        <w:t xml:space="preserve"> </w:t>
      </w:r>
      <w:r w:rsidR="005118A3">
        <w:t xml:space="preserve"> </w:t>
      </w:r>
      <w:r w:rsidRPr="00BF281D">
        <w:t xml:space="preserve"> </w:t>
      </w:r>
    </w:p>
    <w:p w14:paraId="16DE407F" w14:textId="77777777" w:rsidR="00F64721" w:rsidRPr="00BF281D" w:rsidRDefault="00F64721" w:rsidP="00F64721">
      <w:pPr>
        <w:rPr>
          <w:i/>
          <w:iCs/>
        </w:rPr>
      </w:pPr>
      <w:r w:rsidRPr="00BF281D">
        <w:rPr>
          <w:i/>
          <w:iCs/>
        </w:rPr>
        <w:t xml:space="preserve">Authority, </w:t>
      </w:r>
      <w:proofErr w:type="gramStart"/>
      <w:r w:rsidRPr="00BF281D">
        <w:rPr>
          <w:i/>
          <w:iCs/>
        </w:rPr>
        <w:t>applications</w:t>
      </w:r>
      <w:proofErr w:type="gramEnd"/>
      <w:r w:rsidRPr="00BF281D">
        <w:rPr>
          <w:i/>
          <w:iCs/>
        </w:rPr>
        <w:t xml:space="preserve"> and grants</w:t>
      </w:r>
    </w:p>
    <w:p w14:paraId="675D008E" w14:textId="75B43D8E" w:rsidR="0044737F" w:rsidRPr="00BF281D" w:rsidRDefault="0044737F" w:rsidP="0044737F">
      <w:r w:rsidRPr="00BF281D">
        <w:t xml:space="preserve">Under Option 1, some factors related to risk mitigation are prescribed </w:t>
      </w:r>
      <w:r w:rsidR="00F63871">
        <w:t>to a higher</w:t>
      </w:r>
      <w:r w:rsidRPr="00BF281D">
        <w:t xml:space="preserve"> extent than </w:t>
      </w:r>
      <w:r w:rsidR="00F63871">
        <w:t>the Status Quo and Base Case</w:t>
      </w:r>
      <w:r w:rsidR="00F64721" w:rsidRPr="00817682">
        <w:t>.</w:t>
      </w:r>
      <w:r w:rsidRPr="00817682">
        <w:t xml:space="preserve"> </w:t>
      </w:r>
      <w:r w:rsidR="00F426A2">
        <w:t xml:space="preserve">For example, under Option 1 the Minister </w:t>
      </w:r>
      <w:r w:rsidR="001B7B0E">
        <w:t>must have regard to economic</w:t>
      </w:r>
      <w:r w:rsidR="008A5DDA">
        <w:t xml:space="preserve">, </w:t>
      </w:r>
      <w:proofErr w:type="gramStart"/>
      <w:r w:rsidR="008A5DDA">
        <w:t>social</w:t>
      </w:r>
      <w:proofErr w:type="gramEnd"/>
      <w:r w:rsidR="001B7B0E">
        <w:t xml:space="preserve"> and environmental issues raised in public submissions</w:t>
      </w:r>
      <w:r w:rsidR="006F61E7">
        <w:t xml:space="preserve"> </w:t>
      </w:r>
      <w:r w:rsidR="00D15E0A">
        <w:t>– this is not a requirement under the Status Quo</w:t>
      </w:r>
      <w:r w:rsidR="00D3705A">
        <w:t xml:space="preserve"> or Base Case.</w:t>
      </w:r>
      <w:r w:rsidR="008A5DDA">
        <w:t xml:space="preserve"> </w:t>
      </w:r>
      <w:r w:rsidRPr="00817682">
        <w:t>T</w:t>
      </w:r>
      <w:r w:rsidRPr="00BF281D">
        <w:t xml:space="preserve">he factors </w:t>
      </w:r>
      <w:r w:rsidR="00751595">
        <w:t xml:space="preserve">include </w:t>
      </w:r>
      <w:r w:rsidRPr="00BF281D">
        <w:t xml:space="preserve">the Minister </w:t>
      </w:r>
      <w:r w:rsidR="00751595">
        <w:t xml:space="preserve">having the option to have regard to </w:t>
      </w:r>
      <w:r w:rsidRPr="00BF281D">
        <w:t xml:space="preserve">issues raised in public submissions. </w:t>
      </w:r>
    </w:p>
    <w:p w14:paraId="75EB3F2B" w14:textId="0CFA9872" w:rsidR="0044737F" w:rsidRPr="00BF281D" w:rsidRDefault="006356F7" w:rsidP="0044737F">
      <w:r>
        <w:t>Option 1</w:t>
      </w:r>
      <w:r w:rsidR="0044737F" w:rsidRPr="00BF281D">
        <w:t xml:space="preserve"> is </w:t>
      </w:r>
      <w:proofErr w:type="gramStart"/>
      <w:r w:rsidR="0044737F" w:rsidRPr="00BF281D">
        <w:t>similar to</w:t>
      </w:r>
      <w:proofErr w:type="gramEnd"/>
      <w:r w:rsidR="0044737F" w:rsidRPr="00BF281D">
        <w:t xml:space="preserve"> the approach taken in NSW where outcome-based conditions outline criteria that must be complied with to achieve an appropriate environmental outcome but do not dictate how these should be achieved. Th</w:t>
      </w:r>
      <w:r w:rsidR="00441CAF">
        <w:t xml:space="preserve">e rationale for this approach was to </w:t>
      </w:r>
      <w:r w:rsidR="0044737F" w:rsidRPr="00BF281D">
        <w:t xml:space="preserve">reduce the potential for constrained innovation in the resources sector </w:t>
      </w:r>
      <w:r w:rsidR="00441CAF">
        <w:t>and</w:t>
      </w:r>
      <w:r w:rsidR="0044737F" w:rsidRPr="00BF281D">
        <w:t xml:space="preserve"> has been considered to </w:t>
      </w:r>
      <w:r w:rsidR="00441CAF">
        <w:t>assist</w:t>
      </w:r>
      <w:r w:rsidR="0044737F" w:rsidRPr="00BF281D">
        <w:t xml:space="preserve"> in </w:t>
      </w:r>
      <w:r w:rsidR="001F1EEC">
        <w:t>ensuring positive</w:t>
      </w:r>
      <w:r w:rsidR="0044737F" w:rsidRPr="00BF281D">
        <w:t xml:space="preserve"> environmental outcomes.</w:t>
      </w:r>
      <w:r w:rsidR="00302151" w:rsidRPr="00817682">
        <w:rPr>
          <w:rStyle w:val="EndnoteReference"/>
        </w:rPr>
        <w:endnoteReference w:id="18"/>
      </w:r>
      <w:r w:rsidR="0044737F" w:rsidRPr="00817682">
        <w:t xml:space="preserve"> </w:t>
      </w:r>
      <w:r w:rsidR="00441CAF">
        <w:t xml:space="preserve"> </w:t>
      </w:r>
    </w:p>
    <w:p w14:paraId="5CE350ED" w14:textId="7ACCA674" w:rsidR="0044737F" w:rsidRPr="00BF281D" w:rsidRDefault="0044737F" w:rsidP="0044737F">
      <w:r w:rsidRPr="00BF281D">
        <w:t xml:space="preserve">The main benefit of </w:t>
      </w:r>
      <w:r w:rsidR="009153FE" w:rsidRPr="00BF281D">
        <w:t>Option 1</w:t>
      </w:r>
      <w:r w:rsidRPr="00BF281D">
        <w:t xml:space="preserve"> is that in the applications and grants process, authority holders can target risks that are most relevant to their </w:t>
      </w:r>
      <w:r w:rsidR="0096664D">
        <w:t>proposed work program</w:t>
      </w:r>
      <w:r w:rsidRPr="00BF281D">
        <w:t>. A</w:t>
      </w:r>
      <w:r w:rsidR="00B41368">
        <w:t xml:space="preserve"> </w:t>
      </w:r>
      <w:r w:rsidRPr="00BF281D">
        <w:t>standard</w:t>
      </w:r>
      <w:r w:rsidR="00401215">
        <w:t>,</w:t>
      </w:r>
      <w:r w:rsidRPr="00BF281D">
        <w:t xml:space="preserve"> </w:t>
      </w:r>
      <w:r w:rsidR="00514488">
        <w:t xml:space="preserve">such as reducing risks to ‘as low as reasonably practicable’ or ‘acceptable’ levels </w:t>
      </w:r>
      <w:r w:rsidRPr="00BF281D">
        <w:t xml:space="preserve">would allow authority holders to allocate more time to assessing relevant risks and providing information about these risks as </w:t>
      </w:r>
      <w:r w:rsidR="00E63EDA">
        <w:t>compared to addressing</w:t>
      </w:r>
      <w:r w:rsidR="00E63EDA" w:rsidRPr="00BF281D">
        <w:t xml:space="preserve"> </w:t>
      </w:r>
      <w:r w:rsidRPr="00BF281D">
        <w:t>a prescribed list</w:t>
      </w:r>
      <w:r w:rsidR="00E63EDA">
        <w:t xml:space="preserve"> of potential risks</w:t>
      </w:r>
      <w:r w:rsidRPr="00BF281D">
        <w:t xml:space="preserve">. This could assist the industry in mitigating social and environmental risks by ensuring that considerable time is dedicated </w:t>
      </w:r>
      <w:r w:rsidR="00086F31">
        <w:t>by authority holders considering how best</w:t>
      </w:r>
      <w:r w:rsidR="005A7950">
        <w:t xml:space="preserve"> to</w:t>
      </w:r>
      <w:r w:rsidRPr="00BF281D">
        <w:t xml:space="preserve"> </w:t>
      </w:r>
      <w:r w:rsidR="002614AB">
        <w:t>mitigat</w:t>
      </w:r>
      <w:r w:rsidR="005A7950">
        <w:t>e</w:t>
      </w:r>
      <w:r w:rsidR="002614AB">
        <w:t xml:space="preserve"> the </w:t>
      </w:r>
      <w:r w:rsidR="005A7950">
        <w:t xml:space="preserve">risks that may have the biggest impact </w:t>
      </w:r>
      <w:r w:rsidR="002614AB">
        <w:t xml:space="preserve">and </w:t>
      </w:r>
      <w:r w:rsidR="005A7950">
        <w:t xml:space="preserve">the </w:t>
      </w:r>
      <w:r w:rsidR="002614AB">
        <w:t xml:space="preserve">risks that </w:t>
      </w:r>
      <w:r w:rsidRPr="00BF281D">
        <w:t xml:space="preserve">are more likely to eventuate. </w:t>
      </w:r>
    </w:p>
    <w:p w14:paraId="1C144B1A" w14:textId="77777777" w:rsidR="00E536E9" w:rsidRPr="00BF281D" w:rsidRDefault="00E536E9" w:rsidP="00E536E9">
      <w:pPr>
        <w:rPr>
          <w:i/>
          <w:iCs/>
        </w:rPr>
      </w:pPr>
      <w:r w:rsidRPr="00BF281D">
        <w:rPr>
          <w:i/>
          <w:iCs/>
        </w:rPr>
        <w:t>Conduct of operations</w:t>
      </w:r>
    </w:p>
    <w:p w14:paraId="5191DB11" w14:textId="74E2AB2B" w:rsidR="00BD0A28" w:rsidRPr="00BF281D" w:rsidRDefault="00BD0A28" w:rsidP="00BD0A28">
      <w:r w:rsidRPr="00BF281D">
        <w:t xml:space="preserve">The outcomes-based approach with general criteria and objectives would allow operators to focus the EMP and WOMP on the issues that are most important for that </w:t>
      </w:r>
      <w:proofErr w:type="gramStart"/>
      <w:r w:rsidRPr="00BF281D">
        <w:t>particular authority</w:t>
      </w:r>
      <w:proofErr w:type="gramEnd"/>
      <w:r w:rsidRPr="00BF281D">
        <w:t xml:space="preserve">. </w:t>
      </w:r>
      <w:proofErr w:type="gramStart"/>
      <w:r w:rsidRPr="00BF281D">
        <w:t>Similar to</w:t>
      </w:r>
      <w:proofErr w:type="gramEnd"/>
      <w:r w:rsidRPr="00BF281D">
        <w:t xml:space="preserve"> above, it would allow </w:t>
      </w:r>
      <w:r w:rsidR="00935837">
        <w:t>authority holders</w:t>
      </w:r>
      <w:r w:rsidRPr="00BF281D">
        <w:t xml:space="preserve"> to </w:t>
      </w:r>
      <w:r w:rsidR="00935837">
        <w:t xml:space="preserve">focus </w:t>
      </w:r>
      <w:r w:rsidRPr="00BF281D">
        <w:t xml:space="preserve">the time and resources required to develop </w:t>
      </w:r>
      <w:r w:rsidR="00497991">
        <w:t>and report on</w:t>
      </w:r>
      <w:r w:rsidRPr="00BF281D">
        <w:t xml:space="preserve"> these </w:t>
      </w:r>
      <w:r w:rsidR="00935837">
        <w:t xml:space="preserve">obligations </w:t>
      </w:r>
      <w:r w:rsidR="00524222">
        <w:t>in a way that is linked to the highest and most likely risks of the operation.</w:t>
      </w:r>
      <w:r w:rsidRPr="00BF281D">
        <w:t xml:space="preserve">  </w:t>
      </w:r>
    </w:p>
    <w:p w14:paraId="638E04F9" w14:textId="05E68FAA" w:rsidR="00BD0A28" w:rsidRPr="00BF281D" w:rsidRDefault="00BD0A28" w:rsidP="00BD0A28">
      <w:r w:rsidRPr="00BF281D">
        <w:lastRenderedPageBreak/>
        <w:t xml:space="preserve">This benefit is accentuated due to the nature of the industry. Every onshore petroleum well and title are different, and subject to different environmental and safety risks. Option 1 allows the authority holder to tailor the risk mitigation and management strategy to best </w:t>
      </w:r>
      <w:r w:rsidR="002A2FB3">
        <w:t>focus the resources of the company on the highest and most likely risks</w:t>
      </w:r>
      <w:r w:rsidRPr="00BF281D">
        <w:t xml:space="preserve">. </w:t>
      </w:r>
    </w:p>
    <w:p w14:paraId="5A61B094" w14:textId="012AC794" w:rsidR="00BD0A28" w:rsidRPr="00BF281D" w:rsidRDefault="00BD0A28" w:rsidP="00BD0A28">
      <w:r w:rsidRPr="00BF281D">
        <w:t xml:space="preserve">The updated and modernised incident reporting requirements in Option 1 would reduce the risk of environmental and safety incidents and improve the way they are dealt with relative to the </w:t>
      </w:r>
      <w:r w:rsidR="002A2FB3">
        <w:t>Status Quo and the</w:t>
      </w:r>
      <w:r w:rsidRPr="00BF281D">
        <w:t xml:space="preserve"> </w:t>
      </w:r>
      <w:r w:rsidR="00D3123F" w:rsidRPr="00BF281D">
        <w:t>Base Case</w:t>
      </w:r>
      <w:r w:rsidRPr="00BF281D">
        <w:t xml:space="preserve">. </w:t>
      </w:r>
    </w:p>
    <w:p w14:paraId="1028DFDF" w14:textId="77777777" w:rsidR="00E536E9" w:rsidRPr="00BF281D" w:rsidRDefault="00E536E9" w:rsidP="00E536E9">
      <w:pPr>
        <w:rPr>
          <w:i/>
          <w:iCs/>
        </w:rPr>
      </w:pPr>
      <w:r w:rsidRPr="00BF281D">
        <w:rPr>
          <w:i/>
          <w:iCs/>
        </w:rPr>
        <w:t>Information and reporting</w:t>
      </w:r>
    </w:p>
    <w:p w14:paraId="083973F7" w14:textId="57A51849" w:rsidR="00E536E9" w:rsidRPr="00817682" w:rsidRDefault="00BD0A28" w:rsidP="00E536E9">
      <w:r w:rsidRPr="00BF281D">
        <w:t xml:space="preserve">As with the above criteria, Option 1 would provide a greater benefit to risk mitigation for the environment, </w:t>
      </w:r>
      <w:proofErr w:type="gramStart"/>
      <w:r w:rsidRPr="00BF281D">
        <w:t>amenity</w:t>
      </w:r>
      <w:proofErr w:type="gramEnd"/>
      <w:r w:rsidRPr="00BF281D">
        <w:t xml:space="preserve"> or community, as compared to the </w:t>
      </w:r>
      <w:r w:rsidR="00847A37" w:rsidRPr="00BF281D">
        <w:t xml:space="preserve">Base Case and </w:t>
      </w:r>
      <w:r w:rsidRPr="00BF281D">
        <w:t xml:space="preserve">Status Quo. This is because the requirements in Option </w:t>
      </w:r>
      <w:r w:rsidR="00826506">
        <w:t>1</w:t>
      </w:r>
      <w:r w:rsidRPr="00BF281D">
        <w:t xml:space="preserve"> will be more specific than </w:t>
      </w:r>
      <w:r w:rsidR="00826506">
        <w:t xml:space="preserve">in the Base Case </w:t>
      </w:r>
      <w:r w:rsidR="00FD3376">
        <w:t>or Status Quo</w:t>
      </w:r>
      <w:r w:rsidRPr="00BF281D">
        <w:t xml:space="preserve">, including for example in relation to </w:t>
      </w:r>
      <w:r w:rsidR="000A67D4">
        <w:t xml:space="preserve">reporting on </w:t>
      </w:r>
      <w:r w:rsidRPr="00BF281D">
        <w:t>rehabilitation progress or changes in liability</w:t>
      </w:r>
      <w:r w:rsidR="00FD3376">
        <w:t xml:space="preserve">. This </w:t>
      </w:r>
      <w:r w:rsidRPr="00BF281D">
        <w:t>provide</w:t>
      </w:r>
      <w:r w:rsidR="00FD3376">
        <w:t>s</w:t>
      </w:r>
      <w:r w:rsidRPr="00BF281D">
        <w:t xml:space="preserve"> a stronger benefit to mitigate the risks of the operation</w:t>
      </w:r>
      <w:r w:rsidR="00FD3376">
        <w:t>, as compared to the Base Case or Status Quo</w:t>
      </w:r>
      <w:r w:rsidRPr="00BF281D">
        <w:t xml:space="preserve">. </w:t>
      </w:r>
    </w:p>
    <w:p w14:paraId="5E9ECA4C" w14:textId="77777777" w:rsidR="00394D9E" w:rsidRPr="0047625A" w:rsidRDefault="00394D9E" w:rsidP="00394D9E">
      <w:pPr>
        <w:pStyle w:val="Heading4"/>
        <w:rPr>
          <w:sz w:val="20"/>
          <w:szCs w:val="20"/>
        </w:rPr>
      </w:pPr>
      <w:r w:rsidRPr="001528D0">
        <w:rPr>
          <w:color w:val="012169" w:themeColor="accent4"/>
          <w:sz w:val="20"/>
          <w:szCs w:val="20"/>
        </w:rPr>
        <w:t xml:space="preserve">Option 2 </w:t>
      </w:r>
    </w:p>
    <w:p w14:paraId="734C4B14" w14:textId="18829908" w:rsidR="00EC358D" w:rsidRPr="00BF281D" w:rsidRDefault="00EC358D" w:rsidP="00EC358D">
      <w:r w:rsidRPr="00BF281D">
        <w:t xml:space="preserve">Option </w:t>
      </w:r>
      <w:r w:rsidR="001B3E2E" w:rsidRPr="00BF281D">
        <w:t>2</w:t>
      </w:r>
      <w:r w:rsidRPr="00BF281D">
        <w:t xml:space="preserve"> receives a score of</w:t>
      </w:r>
      <w:r w:rsidRPr="00012DD6">
        <w:rPr>
          <w:b/>
        </w:rPr>
        <w:t xml:space="preserve"> </w:t>
      </w:r>
      <w:r w:rsidR="00B86ACB" w:rsidRPr="00012DD6">
        <w:rPr>
          <w:b/>
        </w:rPr>
        <w:t>7</w:t>
      </w:r>
      <w:r w:rsidRPr="00BF281D">
        <w:t xml:space="preserve"> for the risk mitigation criteria. This is because </w:t>
      </w:r>
      <w:r w:rsidR="00B86ACB" w:rsidRPr="00BF281D">
        <w:t xml:space="preserve">the prescriptive nature of the regulations </w:t>
      </w:r>
      <w:r w:rsidR="00FF51A6" w:rsidRPr="00BF281D">
        <w:t>is</w:t>
      </w:r>
      <w:r w:rsidR="00B86ACB" w:rsidRPr="00BF281D">
        <w:t xml:space="preserve"> likely to minimise risk </w:t>
      </w:r>
      <w:r w:rsidR="00F64721" w:rsidRPr="00BF281D">
        <w:t>most effectively</w:t>
      </w:r>
      <w:r w:rsidR="00FD3376">
        <w:t>, particularly in the context of the industry restarting</w:t>
      </w:r>
      <w:r w:rsidR="00C73CB2">
        <w:t xml:space="preserve"> after the moratori</w:t>
      </w:r>
      <w:r w:rsidR="000A67D4">
        <w:t>um</w:t>
      </w:r>
      <w:r w:rsidR="00F64721" w:rsidRPr="00BF281D">
        <w:t>.</w:t>
      </w:r>
      <w:r w:rsidR="00075E2B" w:rsidRPr="00BF281D">
        <w:t xml:space="preserve">  </w:t>
      </w:r>
    </w:p>
    <w:p w14:paraId="50E930AE" w14:textId="77777777" w:rsidR="00EC358D" w:rsidRPr="00BF281D" w:rsidRDefault="00EC358D" w:rsidP="00EC358D">
      <w:pPr>
        <w:rPr>
          <w:i/>
          <w:iCs/>
        </w:rPr>
      </w:pPr>
      <w:r w:rsidRPr="00BF281D">
        <w:rPr>
          <w:i/>
          <w:iCs/>
        </w:rPr>
        <w:t xml:space="preserve">Authority, </w:t>
      </w:r>
      <w:proofErr w:type="gramStart"/>
      <w:r w:rsidRPr="00BF281D">
        <w:rPr>
          <w:i/>
          <w:iCs/>
        </w:rPr>
        <w:t>applications</w:t>
      </w:r>
      <w:proofErr w:type="gramEnd"/>
      <w:r w:rsidRPr="00BF281D">
        <w:rPr>
          <w:i/>
          <w:iCs/>
        </w:rPr>
        <w:t xml:space="preserve"> and grants</w:t>
      </w:r>
    </w:p>
    <w:p w14:paraId="73DD7651" w14:textId="150DC7AF" w:rsidR="00786762" w:rsidRDefault="004B190E" w:rsidP="004B190E">
      <w:r w:rsidRPr="00BF281D">
        <w:t xml:space="preserve">Under Option 2, the regulations would explicitly prescribe requirements for authority holders in developing the resource. These requirements would include risk and impact assessment information and </w:t>
      </w:r>
      <w:r w:rsidR="002C5877">
        <w:t xml:space="preserve">it would be mandatory, rather than discretionary for </w:t>
      </w:r>
      <w:r w:rsidRPr="00BF281D">
        <w:t xml:space="preserve">the Minister </w:t>
      </w:r>
      <w:r w:rsidR="002C5877">
        <w:t xml:space="preserve">or delegated decision maker </w:t>
      </w:r>
      <w:r w:rsidRPr="00BF281D">
        <w:t>to take into consideration</w:t>
      </w:r>
      <w:r w:rsidR="002C5877">
        <w:t>,</w:t>
      </w:r>
      <w:r w:rsidRPr="00BF281D">
        <w:t xml:space="preserve"> specific matters including social, environmental and </w:t>
      </w:r>
      <w:r w:rsidR="002C5877">
        <w:t>safety risks</w:t>
      </w:r>
      <w:r w:rsidRPr="00BF281D">
        <w:t>.</w:t>
      </w:r>
    </w:p>
    <w:p w14:paraId="0B243D6C" w14:textId="5DCFF354" w:rsidR="00786762" w:rsidRDefault="00AD475C" w:rsidP="00786762">
      <w:r>
        <w:t>One</w:t>
      </w:r>
      <w:r w:rsidRPr="00BF281D">
        <w:t xml:space="preserve"> </w:t>
      </w:r>
      <w:r w:rsidR="00786762" w:rsidRPr="00BF281D">
        <w:t xml:space="preserve">authority holder </w:t>
      </w:r>
      <w:r>
        <w:t>expressed a preference for an approach such as that</w:t>
      </w:r>
      <w:r w:rsidR="00786762" w:rsidRPr="00BF281D">
        <w:t xml:space="preserve"> taken by South Australia in terms of </w:t>
      </w:r>
      <w:r w:rsidR="00786762">
        <w:t>risk mitigation</w:t>
      </w:r>
      <w:r w:rsidR="00786762" w:rsidRPr="00BF281D">
        <w:t xml:space="preserve">. </w:t>
      </w:r>
      <w:r w:rsidR="00216BFE">
        <w:t>The request was to</w:t>
      </w:r>
      <w:r w:rsidR="00786762" w:rsidRPr="00BF281D">
        <w:t xml:space="preserve"> </w:t>
      </w:r>
      <w:r w:rsidR="003A0496" w:rsidRPr="00BF281D">
        <w:t>include differing</w:t>
      </w:r>
      <w:r w:rsidR="00786762" w:rsidRPr="00BF281D">
        <w:t xml:space="preserve"> level</w:t>
      </w:r>
      <w:r w:rsidR="00AD7BF6">
        <w:t>s</w:t>
      </w:r>
      <w:r w:rsidR="00786762" w:rsidRPr="00BF281D">
        <w:t xml:space="preserve"> of prescription depending on the level of experience of the operator</w:t>
      </w:r>
      <w:r w:rsidR="00AD7BF6">
        <w:t xml:space="preserve">. This could be viewed as providing a model </w:t>
      </w:r>
      <w:proofErr w:type="gramStart"/>
      <w:r w:rsidR="00AD7BF6">
        <w:t>similar to</w:t>
      </w:r>
      <w:proofErr w:type="gramEnd"/>
      <w:r w:rsidR="00AD7BF6">
        <w:t xml:space="preserve"> Option 1 for more experienced operators and Option 2 for less experienced operators.</w:t>
      </w:r>
    </w:p>
    <w:p w14:paraId="5473A69A" w14:textId="38766F45" w:rsidR="00786762" w:rsidRPr="00BF281D" w:rsidRDefault="00021A7D" w:rsidP="004B190E">
      <w:r>
        <w:t xml:space="preserve">This approach has not been included in the analysis as it would present a major shift in the structure of the regulatory framework that would need to be set up under the Act </w:t>
      </w:r>
      <w:proofErr w:type="gramStart"/>
      <w:r>
        <w:t>i.e.</w:t>
      </w:r>
      <w:proofErr w:type="gramEnd"/>
      <w:r>
        <w:t xml:space="preserve"> a heads of power would be required for the differential application of the regulations across two defined tiers of authority holder. It is noted that option 2 presents a </w:t>
      </w:r>
      <w:proofErr w:type="gramStart"/>
      <w:r>
        <w:t>standards based</w:t>
      </w:r>
      <w:proofErr w:type="gramEnd"/>
      <w:r>
        <w:t xml:space="preserve"> approach and if this suggested proposal were to be further developed in the future, then rationale would need to be provided as to why all authority holders were not being held to the same risk management standards</w:t>
      </w:r>
      <w:r w:rsidR="00786762">
        <w:t xml:space="preserve">. </w:t>
      </w:r>
    </w:p>
    <w:p w14:paraId="4103F515" w14:textId="4353D367" w:rsidR="00EC358D" w:rsidRPr="00BF281D" w:rsidRDefault="004B190E" w:rsidP="004B190E">
      <w:r w:rsidRPr="00BF281D">
        <w:t>The benefit of th</w:t>
      </w:r>
      <w:r w:rsidR="00786762">
        <w:t>e</w:t>
      </w:r>
      <w:r w:rsidRPr="00BF281D">
        <w:t xml:space="preserve"> approach </w:t>
      </w:r>
      <w:r w:rsidR="00786762">
        <w:t>in Option 2</w:t>
      </w:r>
      <w:r w:rsidRPr="00BF281D">
        <w:t xml:space="preserve"> is that due to its prescriptive nature, </w:t>
      </w:r>
      <w:r w:rsidR="00862A42">
        <w:t xml:space="preserve">it is more likely that </w:t>
      </w:r>
      <w:r w:rsidRPr="00BF281D">
        <w:t xml:space="preserve">all risks would be </w:t>
      </w:r>
      <w:r w:rsidR="00862A42">
        <w:t xml:space="preserve">identified </w:t>
      </w:r>
      <w:r w:rsidRPr="00BF281D">
        <w:t>and addressed in the application process. This would</w:t>
      </w:r>
      <w:r w:rsidR="00862A42">
        <w:t xml:space="preserve"> help to</w:t>
      </w:r>
      <w:r w:rsidRPr="00BF281D">
        <w:t xml:space="preserve"> mitigate the social and environmental risks as all scenarios would be considered by authority holders, regardless of how likely they are to occur. This is a comprehensive approach and as outlined by an authority holder, a more structured </w:t>
      </w:r>
      <w:r w:rsidR="00553343">
        <w:t xml:space="preserve">and detailed </w:t>
      </w:r>
      <w:r w:rsidRPr="00BF281D">
        <w:t>approach may be helpful for both the regulator and operators</w:t>
      </w:r>
      <w:r w:rsidR="00862A42">
        <w:t>, especially as the industry is re-starting</w:t>
      </w:r>
      <w:r w:rsidR="00553343">
        <w:t>,</w:t>
      </w:r>
      <w:r w:rsidR="00862A42">
        <w:t xml:space="preserve"> </w:t>
      </w:r>
      <w:r w:rsidR="00553343">
        <w:t>following a period of paused operation</w:t>
      </w:r>
      <w:r w:rsidRPr="00BF281D">
        <w:t>.</w:t>
      </w:r>
    </w:p>
    <w:p w14:paraId="4FDDF886" w14:textId="77777777" w:rsidR="00EC358D" w:rsidRPr="00BF281D" w:rsidRDefault="00EC358D" w:rsidP="00EC358D">
      <w:pPr>
        <w:rPr>
          <w:i/>
          <w:iCs/>
        </w:rPr>
      </w:pPr>
      <w:r w:rsidRPr="00BF281D">
        <w:rPr>
          <w:i/>
          <w:iCs/>
        </w:rPr>
        <w:t>Conduct of operations</w:t>
      </w:r>
    </w:p>
    <w:p w14:paraId="11941AFA" w14:textId="22F32330" w:rsidR="001D5BB0" w:rsidRPr="00BF281D" w:rsidRDefault="001D5BB0" w:rsidP="001D5BB0">
      <w:r w:rsidRPr="00BF281D">
        <w:t xml:space="preserve">Option 2 would contain the highest level of prescription in the </w:t>
      </w:r>
      <w:r w:rsidR="005E101A">
        <w:t>O</w:t>
      </w:r>
      <w:r w:rsidRPr="00BF281D">
        <w:t xml:space="preserve">peration </w:t>
      </w:r>
      <w:r w:rsidR="005E101A">
        <w:t>P</w:t>
      </w:r>
      <w:r w:rsidRPr="00BF281D">
        <w:t>lans,</w:t>
      </w:r>
      <w:r w:rsidR="00D56F98">
        <w:t xml:space="preserve"> including</w:t>
      </w:r>
      <w:r w:rsidRPr="00BF281D">
        <w:t xml:space="preserve"> EMPs and WOMPs. This would provide greater clarity around the types of risks that must be identified and mitigated during operations by authority holders, therefore reducing the likelihood of an incident occurring. </w:t>
      </w:r>
    </w:p>
    <w:p w14:paraId="79DBAAAE" w14:textId="7874D851" w:rsidR="001D5BB0" w:rsidRPr="00BF281D" w:rsidRDefault="001D5BB0" w:rsidP="001D5BB0">
      <w:r w:rsidRPr="00BF281D">
        <w:t>The Code of Practice in Option 2 would support industry in meeting these requirements.</w:t>
      </w:r>
      <w:r w:rsidRPr="00817682">
        <w:rPr>
          <w:rStyle w:val="FootnoteReference"/>
        </w:rPr>
        <w:footnoteReference w:id="13"/>
      </w:r>
      <w:r w:rsidRPr="00817682">
        <w:t xml:space="preserve"> It would provide guidance on technical standards, </w:t>
      </w:r>
      <w:proofErr w:type="gramStart"/>
      <w:r w:rsidRPr="00817682">
        <w:t>specifications</w:t>
      </w:r>
      <w:proofErr w:type="gramEnd"/>
      <w:r w:rsidRPr="00817682">
        <w:t xml:space="preserve"> and processes for requirements under the </w:t>
      </w:r>
      <w:r w:rsidRPr="00817682">
        <w:lastRenderedPageBreak/>
        <w:t>Petroleum Act and Pe</w:t>
      </w:r>
      <w:r w:rsidRPr="00BF281D">
        <w:t xml:space="preserve">troleum Regulations, to cover the full </w:t>
      </w:r>
      <w:r w:rsidR="00011AA7">
        <w:t xml:space="preserve">petroleum-well </w:t>
      </w:r>
      <w:r w:rsidRPr="00BF281D">
        <w:t>life cycle including well-design, construction and operation through to decommissioning</w:t>
      </w:r>
      <w:r w:rsidR="00F64721" w:rsidRPr="00817682">
        <w:t>.</w:t>
      </w:r>
      <w:r w:rsidRPr="00817682">
        <w:t xml:space="preserve">  </w:t>
      </w:r>
    </w:p>
    <w:p w14:paraId="7B2FC873" w14:textId="06278445" w:rsidR="00EC358D" w:rsidRPr="00BF281D" w:rsidRDefault="001D5BB0" w:rsidP="00EC358D">
      <w:r w:rsidRPr="00BF281D">
        <w:t xml:space="preserve">However, this benefit may be marginal for some operators, who believe that their existing plan templates would already contain this </w:t>
      </w:r>
      <w:r w:rsidR="00596A11">
        <w:t>level of specific</w:t>
      </w:r>
      <w:r w:rsidRPr="00BF281D">
        <w:t xml:space="preserve"> information. </w:t>
      </w:r>
    </w:p>
    <w:p w14:paraId="7329CBB3" w14:textId="77777777" w:rsidR="00EC358D" w:rsidRPr="00BF281D" w:rsidRDefault="00EC358D" w:rsidP="00EC358D">
      <w:pPr>
        <w:rPr>
          <w:i/>
          <w:iCs/>
        </w:rPr>
      </w:pPr>
      <w:r w:rsidRPr="00BF281D">
        <w:rPr>
          <w:i/>
          <w:iCs/>
        </w:rPr>
        <w:t>Information and reporting</w:t>
      </w:r>
    </w:p>
    <w:p w14:paraId="4F77EDC1" w14:textId="4CB24A08" w:rsidR="009853F1" w:rsidRPr="00BF281D" w:rsidRDefault="00840A9D" w:rsidP="00FE386E">
      <w:r w:rsidRPr="00BF281D">
        <w:t xml:space="preserve">Option 2 would provide the strongest benefit for the risk mitigation criteria. This is on the basis that the additional information gathered, </w:t>
      </w:r>
      <w:proofErr w:type="gramStart"/>
      <w:r w:rsidRPr="00BF281D">
        <w:t>analysed</w:t>
      </w:r>
      <w:proofErr w:type="gramEnd"/>
      <w:r w:rsidRPr="00BF281D">
        <w:t xml:space="preserve"> and reported to Government, compared to Option </w:t>
      </w:r>
      <w:r w:rsidR="006254F8" w:rsidRPr="00BF281D">
        <w:t>1</w:t>
      </w:r>
      <w:r w:rsidRPr="00BF281D">
        <w:t xml:space="preserve"> the </w:t>
      </w:r>
      <w:r w:rsidR="00F73DEF" w:rsidRPr="00BF281D">
        <w:t>Base Case</w:t>
      </w:r>
      <w:r w:rsidR="002B0DBF">
        <w:t xml:space="preserve"> or the Status Quo</w:t>
      </w:r>
      <w:r w:rsidRPr="00817682">
        <w:t>, may help to uncover risks through the operation, drilling or decommissioning phase.</w:t>
      </w:r>
      <w:r w:rsidR="00C7730D">
        <w:t xml:space="preserve"> </w:t>
      </w:r>
      <w:r w:rsidR="00757F57">
        <w:t>The</w:t>
      </w:r>
      <w:r w:rsidR="00757F57" w:rsidRPr="00757F57">
        <w:t xml:space="preserve"> additional well completion and well decommissioning reports would</w:t>
      </w:r>
      <w:r w:rsidR="00757F57">
        <w:t xml:space="preserve"> also</w:t>
      </w:r>
      <w:r w:rsidR="00757F57" w:rsidRPr="00757F57">
        <w:t xml:space="preserve"> provide a long</w:t>
      </w:r>
      <w:r w:rsidR="00757F57">
        <w:t>-</w:t>
      </w:r>
      <w:r w:rsidR="00757F57" w:rsidRPr="00757F57">
        <w:t xml:space="preserve">term log of the standards and way </w:t>
      </w:r>
      <w:r w:rsidR="00FE5BB4">
        <w:t>in</w:t>
      </w:r>
      <w:r w:rsidR="00757F57" w:rsidRPr="00757F57">
        <w:t xml:space="preserve"> which wells were decommissioned. This would allow Government to better manage well sites over the long term after the title holder has relinquished the title.</w:t>
      </w:r>
      <w:r w:rsidR="00FE5BB4">
        <w:t xml:space="preserve"> T</w:t>
      </w:r>
      <w:r w:rsidR="00C7730D">
        <w:t>here is therefore a higher likelihood these risks would be effectively mitigated by authority holders through the operation phase</w:t>
      </w:r>
      <w:r w:rsidR="00FE5BB4">
        <w:t xml:space="preserve"> as compared to the other options</w:t>
      </w:r>
      <w:r w:rsidR="00C7730D">
        <w:t xml:space="preserve">. </w:t>
      </w:r>
    </w:p>
    <w:p w14:paraId="24F24A24" w14:textId="20389E44" w:rsidR="009E5EB5" w:rsidRDefault="009E5EB5" w:rsidP="009E5EB5">
      <w:pPr>
        <w:pStyle w:val="Heading4"/>
      </w:pPr>
      <w:r w:rsidRPr="001528D0">
        <w:rPr>
          <w:color w:val="012169" w:themeColor="accent4"/>
        </w:rPr>
        <w:t xml:space="preserve">Conclusion – </w:t>
      </w:r>
      <w:r w:rsidR="008549DD" w:rsidRPr="001528D0">
        <w:rPr>
          <w:color w:val="012169" w:themeColor="accent4"/>
        </w:rPr>
        <w:t xml:space="preserve">risk mitigation </w:t>
      </w:r>
      <w:r>
        <w:t xml:space="preserve">  </w:t>
      </w:r>
    </w:p>
    <w:p w14:paraId="7191D5E6" w14:textId="6B80AF35" w:rsidR="009E5EB5" w:rsidRDefault="008549DD" w:rsidP="00FE386E">
      <w:r>
        <w:t xml:space="preserve">The assessment indicates that Option 2 </w:t>
      </w:r>
      <w:r w:rsidR="008F4926">
        <w:t>will best ensure that risks are identified and mitigated through the authority</w:t>
      </w:r>
      <w:r w:rsidR="00A42074">
        <w:t xml:space="preserve"> application and grant</w:t>
      </w:r>
      <w:r w:rsidR="008F4926">
        <w:t xml:space="preserve">, </w:t>
      </w:r>
      <w:proofErr w:type="gramStart"/>
      <w:r w:rsidR="008F4926">
        <w:t>operations</w:t>
      </w:r>
      <w:proofErr w:type="gramEnd"/>
      <w:r w:rsidR="008F4926">
        <w:t xml:space="preserve"> and reporting phases. </w:t>
      </w:r>
      <w:r w:rsidR="008447CF">
        <w:t>Option</w:t>
      </w:r>
      <w:r w:rsidR="00C2349C">
        <w:t xml:space="preserve"> 2 has a higher benefit ratio as compared to Option 1, </w:t>
      </w:r>
      <w:r w:rsidRPr="00BF281D">
        <w:t>the Base Case</w:t>
      </w:r>
      <w:r>
        <w:t xml:space="preserve"> and Status Quo</w:t>
      </w:r>
      <w:r w:rsidRPr="00BF281D">
        <w:t>,</w:t>
      </w:r>
      <w:r w:rsidR="00B00107">
        <w:t xml:space="preserve"> </w:t>
      </w:r>
      <w:r w:rsidR="00C2349C">
        <w:t xml:space="preserve">in relation to risk mitigation, due to the </w:t>
      </w:r>
      <w:r w:rsidR="00637504">
        <w:t xml:space="preserve">high degree of specified information that authority holders will need to gather, </w:t>
      </w:r>
      <w:proofErr w:type="gramStart"/>
      <w:r w:rsidR="00637504">
        <w:t>analyse</w:t>
      </w:r>
      <w:proofErr w:type="gramEnd"/>
      <w:r w:rsidR="00637504">
        <w:t xml:space="preserve"> and </w:t>
      </w:r>
      <w:r w:rsidR="00B00107">
        <w:t>consider in how risks are proposed to be managed or mitigated, prior to</w:t>
      </w:r>
      <w:r w:rsidR="008A60CF">
        <w:t xml:space="preserve"> and throughout</w:t>
      </w:r>
      <w:r w:rsidR="00B00107">
        <w:t xml:space="preserve"> the operation</w:t>
      </w:r>
      <w:r>
        <w:t xml:space="preserve">. This is evident compared to the more subjective threshold tests in Option 1, the lack of detail in the Base Case and the low level of requirements in the Status Quo. </w:t>
      </w:r>
    </w:p>
    <w:p w14:paraId="7755B0FA" w14:textId="244D67A7" w:rsidR="00A14F24" w:rsidRPr="00817682" w:rsidRDefault="00A14F24" w:rsidP="00AE47D7">
      <w:pPr>
        <w:pStyle w:val="Heading2"/>
      </w:pPr>
      <w:bookmarkStart w:id="154" w:name="_Toc69839587"/>
      <w:bookmarkStart w:id="155" w:name="_Toc67663769"/>
      <w:r w:rsidRPr="001528D0">
        <w:rPr>
          <w:color w:val="012169" w:themeColor="accent4"/>
        </w:rPr>
        <w:t>Costs</w:t>
      </w:r>
      <w:bookmarkEnd w:id="154"/>
      <w:bookmarkEnd w:id="155"/>
    </w:p>
    <w:p w14:paraId="702D962F" w14:textId="27554786" w:rsidR="00E461CC" w:rsidRPr="00BF281D" w:rsidRDefault="001E56C4" w:rsidP="00E461CC">
      <w:r w:rsidRPr="00BF281D">
        <w:t>Costs are considered across responsible person</w:t>
      </w:r>
      <w:r w:rsidR="00D0427C" w:rsidRPr="00BF281D">
        <w:t>s</w:t>
      </w:r>
      <w:r w:rsidRPr="00BF281D">
        <w:t xml:space="preserve">, </w:t>
      </w:r>
      <w:proofErr w:type="gramStart"/>
      <w:r w:rsidRPr="00BF281D">
        <w:t>government</w:t>
      </w:r>
      <w:proofErr w:type="gramEnd"/>
      <w:r w:rsidRPr="00BF281D">
        <w:t xml:space="preserve"> and community. </w:t>
      </w:r>
      <w:r w:rsidR="002D2F69" w:rsidRPr="00BF281D">
        <w:t xml:space="preserve">This section considers the relative costs of </w:t>
      </w:r>
      <w:r w:rsidR="00483689">
        <w:t>the Base Case, Status Quo</w:t>
      </w:r>
      <w:r w:rsidR="00E27ACF">
        <w:t xml:space="preserve">, </w:t>
      </w:r>
      <w:r w:rsidR="002D2F69" w:rsidRPr="00BF281D">
        <w:t xml:space="preserve">Option 1 and </w:t>
      </w:r>
      <w:r w:rsidR="00E27ACF">
        <w:t xml:space="preserve">Option </w:t>
      </w:r>
      <w:r w:rsidR="002D2F69" w:rsidRPr="00BF281D">
        <w:t xml:space="preserve">2 to both government and industry. </w:t>
      </w:r>
      <w:r w:rsidR="00EC21C8" w:rsidRPr="00BF281D">
        <w:t xml:space="preserve">Costs </w:t>
      </w:r>
      <w:r w:rsidR="00AD2C67" w:rsidRPr="00BF281D">
        <w:t xml:space="preserve">to industry </w:t>
      </w:r>
      <w:r w:rsidR="00F74D08" w:rsidRPr="00BF281D">
        <w:t xml:space="preserve">are typically in the form of imposition of compliance costs. Costs to government </w:t>
      </w:r>
      <w:r w:rsidR="006F2BBA" w:rsidRPr="00BF281D">
        <w:t xml:space="preserve">include </w:t>
      </w:r>
      <w:r w:rsidR="001D5867" w:rsidRPr="00BF281D">
        <w:t>administration</w:t>
      </w:r>
      <w:r w:rsidR="006F2BBA" w:rsidRPr="00BF281D">
        <w:t xml:space="preserve"> and enforcement costs, </w:t>
      </w:r>
      <w:r w:rsidR="00443E56" w:rsidRPr="00BF281D">
        <w:t xml:space="preserve">and the cost of reviewing applications. </w:t>
      </w:r>
    </w:p>
    <w:p w14:paraId="4A0955B9" w14:textId="77777777" w:rsidR="00D46CDC" w:rsidRDefault="00E461CC" w:rsidP="001E56C4">
      <w:r w:rsidRPr="00012DD6">
        <w:t xml:space="preserve">Authority holders noted in stakeholder feedback </w:t>
      </w:r>
      <w:r w:rsidR="00483689" w:rsidRPr="00012DD6">
        <w:t xml:space="preserve">that </w:t>
      </w:r>
      <w:proofErr w:type="gramStart"/>
      <w:r w:rsidR="00483689" w:rsidRPr="00012DD6">
        <w:t>in order</w:t>
      </w:r>
      <w:r w:rsidRPr="00012DD6">
        <w:t xml:space="preserve"> to</w:t>
      </w:r>
      <w:proofErr w:type="gramEnd"/>
      <w:r w:rsidRPr="00012DD6">
        <w:t xml:space="preserve"> provide a quantitative view on the relative costs, they will </w:t>
      </w:r>
      <w:r w:rsidR="00483689" w:rsidRPr="00012DD6">
        <w:t xml:space="preserve">require </w:t>
      </w:r>
      <w:r w:rsidRPr="00012DD6">
        <w:t>to see more detail via the draft regulations.  Therefore, we anticipate that more evidence may be provided on industry costs once the RIS is released for public comment.</w:t>
      </w:r>
      <w:r w:rsidRPr="00185E0A">
        <w:t xml:space="preserve"> </w:t>
      </w:r>
      <w:r w:rsidR="00A55FCE" w:rsidRPr="00185E0A">
        <w:t>The analysis below is therefore relatively high-</w:t>
      </w:r>
      <w:r w:rsidR="00A55FCE" w:rsidRPr="008E6693">
        <w:t>level.</w:t>
      </w:r>
    </w:p>
    <w:tbl>
      <w:tblPr>
        <w:tblStyle w:val="Deloittetable"/>
        <w:tblW w:w="5167" w:type="pct"/>
        <w:tblLook w:val="04A0" w:firstRow="1" w:lastRow="0" w:firstColumn="1" w:lastColumn="0" w:noHBand="0" w:noVBand="1"/>
      </w:tblPr>
      <w:tblGrid>
        <w:gridCol w:w="2054"/>
        <w:gridCol w:w="1984"/>
        <w:gridCol w:w="1984"/>
        <w:gridCol w:w="1984"/>
        <w:gridCol w:w="1984"/>
      </w:tblGrid>
      <w:tr w:rsidR="00D46CDC" w:rsidRPr="00BF281D" w14:paraId="39A7321F" w14:textId="77777777" w:rsidTr="00764265">
        <w:trPr>
          <w:cnfStyle w:val="100000000000" w:firstRow="1" w:lastRow="0" w:firstColumn="0" w:lastColumn="0" w:oddVBand="0" w:evenVBand="0" w:oddHBand="0" w:evenHBand="0" w:firstRowFirstColumn="0" w:firstRowLastColumn="0" w:lastRowFirstColumn="0" w:lastRowLastColumn="0"/>
          <w:trHeight w:val="363"/>
        </w:trPr>
        <w:tc>
          <w:tcPr>
            <w:tcW w:w="0" w:type="pct"/>
          </w:tcPr>
          <w:p w14:paraId="632A8834" w14:textId="77777777" w:rsidR="00D46CDC" w:rsidRPr="00B93105" w:rsidRDefault="00D46CDC" w:rsidP="00764265">
            <w:pPr>
              <w:spacing w:after="0" w:line="240" w:lineRule="auto"/>
              <w:rPr>
                <w:rFonts w:eastAsia="Times New Roman" w:cs="Times New Roman"/>
                <w:b/>
                <w:bCs/>
                <w:color w:val="000000"/>
                <w:sz w:val="16"/>
                <w:szCs w:val="16"/>
                <w:lang w:eastAsia="en-AU"/>
              </w:rPr>
            </w:pPr>
            <w:r w:rsidRPr="00BF281D">
              <w:rPr>
                <w:rFonts w:asciiTheme="minorHAnsi" w:eastAsia="Times New Roman" w:hAnsiTheme="minorHAnsi" w:cs="Calibri"/>
                <w:b/>
                <w:bCs/>
                <w:color w:val="000000"/>
                <w:sz w:val="16"/>
                <w:szCs w:val="16"/>
                <w:lang w:eastAsia="en-AU"/>
              </w:rPr>
              <w:t>Criteria</w:t>
            </w:r>
          </w:p>
        </w:tc>
        <w:tc>
          <w:tcPr>
            <w:tcW w:w="0" w:type="pct"/>
          </w:tcPr>
          <w:p w14:paraId="71B8163E" w14:textId="77777777" w:rsidR="00D46CDC" w:rsidRPr="00BF281D" w:rsidRDefault="00D46CD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b/>
                <w:bCs/>
                <w:color w:val="000000"/>
                <w:sz w:val="16"/>
                <w:szCs w:val="16"/>
                <w:lang w:eastAsia="en-AU"/>
              </w:rPr>
              <w:t>Base Case</w:t>
            </w:r>
          </w:p>
        </w:tc>
        <w:tc>
          <w:tcPr>
            <w:tcW w:w="0" w:type="pct"/>
          </w:tcPr>
          <w:p w14:paraId="3E3A432E" w14:textId="77777777" w:rsidR="00D46CDC" w:rsidRPr="00BF281D" w:rsidRDefault="00D46CD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b/>
                <w:bCs/>
                <w:color w:val="000000"/>
                <w:sz w:val="16"/>
                <w:szCs w:val="16"/>
                <w:lang w:eastAsia="en-AU"/>
              </w:rPr>
              <w:t>Status Quo</w:t>
            </w:r>
          </w:p>
        </w:tc>
        <w:tc>
          <w:tcPr>
            <w:tcW w:w="0" w:type="pct"/>
          </w:tcPr>
          <w:p w14:paraId="5C3022E3" w14:textId="77777777" w:rsidR="00D46CDC" w:rsidRPr="00BF281D" w:rsidRDefault="00D46CD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b/>
                <w:bCs/>
                <w:color w:val="000000"/>
                <w:sz w:val="16"/>
                <w:szCs w:val="16"/>
                <w:lang w:eastAsia="en-AU"/>
              </w:rPr>
              <w:t>Option 1</w:t>
            </w:r>
          </w:p>
        </w:tc>
        <w:tc>
          <w:tcPr>
            <w:tcW w:w="0" w:type="pct"/>
          </w:tcPr>
          <w:p w14:paraId="3DB73CE0" w14:textId="77777777" w:rsidR="00D46CDC" w:rsidRPr="00BF281D" w:rsidRDefault="00D46CD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b/>
                <w:bCs/>
                <w:color w:val="000000"/>
                <w:sz w:val="16"/>
                <w:szCs w:val="16"/>
                <w:lang w:eastAsia="en-AU"/>
              </w:rPr>
              <w:t>Option 2</w:t>
            </w:r>
          </w:p>
        </w:tc>
      </w:tr>
      <w:tr w:rsidR="00D46CDC" w:rsidRPr="00BF281D" w14:paraId="7C14121C" w14:textId="77777777" w:rsidTr="00764265">
        <w:trPr>
          <w:trHeight w:val="363"/>
        </w:trPr>
        <w:tc>
          <w:tcPr>
            <w:tcW w:w="1028" w:type="pct"/>
            <w:vAlign w:val="center"/>
          </w:tcPr>
          <w:p w14:paraId="5E3A9372" w14:textId="77777777" w:rsidR="00D46CDC" w:rsidRPr="00BF281D" w:rsidRDefault="00D46CDC" w:rsidP="00764265">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Cost to industry (positive score is lower cost than </w:t>
            </w:r>
            <w:r>
              <w:rPr>
                <w:rFonts w:eastAsia="Times New Roman" w:cs="Times New Roman"/>
                <w:color w:val="000000"/>
                <w:sz w:val="16"/>
                <w:szCs w:val="16"/>
                <w:lang w:eastAsia="en-AU"/>
              </w:rPr>
              <w:t>B</w:t>
            </w:r>
            <w:r w:rsidRPr="00BF281D">
              <w:rPr>
                <w:rFonts w:eastAsia="Times New Roman" w:cs="Times New Roman"/>
                <w:color w:val="000000"/>
                <w:sz w:val="16"/>
                <w:szCs w:val="16"/>
                <w:lang w:eastAsia="en-AU"/>
              </w:rPr>
              <w:t xml:space="preserve">ase </w:t>
            </w:r>
            <w:r>
              <w:rPr>
                <w:rFonts w:eastAsia="Times New Roman" w:cs="Times New Roman"/>
                <w:color w:val="000000"/>
                <w:sz w:val="16"/>
                <w:szCs w:val="16"/>
                <w:lang w:eastAsia="en-AU"/>
              </w:rPr>
              <w:t>C</w:t>
            </w:r>
            <w:r w:rsidRPr="00BF281D">
              <w:rPr>
                <w:rFonts w:eastAsia="Times New Roman" w:cs="Times New Roman"/>
                <w:color w:val="000000"/>
                <w:sz w:val="16"/>
                <w:szCs w:val="16"/>
                <w:lang w:eastAsia="en-AU"/>
              </w:rPr>
              <w:t>ase</w:t>
            </w:r>
            <w:r w:rsidRPr="00817682">
              <w:rPr>
                <w:rFonts w:eastAsia="Times New Roman" w:cs="Times New Roman"/>
                <w:color w:val="000000"/>
                <w:sz w:val="16"/>
                <w:szCs w:val="16"/>
                <w:lang w:eastAsia="en-AU"/>
              </w:rPr>
              <w:t>)</w:t>
            </w:r>
          </w:p>
        </w:tc>
        <w:tc>
          <w:tcPr>
            <w:tcW w:w="993" w:type="pct"/>
          </w:tcPr>
          <w:p w14:paraId="0837617F" w14:textId="77777777" w:rsidR="00D46CDC" w:rsidRPr="00BF281D" w:rsidRDefault="00D46CD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0</w:t>
            </w:r>
          </w:p>
        </w:tc>
        <w:tc>
          <w:tcPr>
            <w:tcW w:w="993" w:type="pct"/>
          </w:tcPr>
          <w:p w14:paraId="4FA3F9E3" w14:textId="77777777" w:rsidR="00D46CDC" w:rsidRPr="00BF281D" w:rsidRDefault="00D46CD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w:t>
            </w:r>
          </w:p>
        </w:tc>
        <w:tc>
          <w:tcPr>
            <w:tcW w:w="993" w:type="pct"/>
          </w:tcPr>
          <w:p w14:paraId="60B64E82" w14:textId="77777777" w:rsidR="00D46CDC" w:rsidRPr="00BF281D" w:rsidRDefault="00D46CD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5</w:t>
            </w:r>
          </w:p>
        </w:tc>
        <w:tc>
          <w:tcPr>
            <w:tcW w:w="993" w:type="pct"/>
          </w:tcPr>
          <w:p w14:paraId="4CEEB149" w14:textId="77777777" w:rsidR="00D46CDC" w:rsidRPr="00BF281D" w:rsidRDefault="00D46CD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3</w:t>
            </w:r>
          </w:p>
        </w:tc>
      </w:tr>
      <w:tr w:rsidR="00D46CDC" w:rsidRPr="00BF281D" w14:paraId="67E3856A" w14:textId="77777777" w:rsidTr="00764265">
        <w:trPr>
          <w:trHeight w:val="363"/>
        </w:trPr>
        <w:tc>
          <w:tcPr>
            <w:tcW w:w="1028" w:type="pct"/>
            <w:vAlign w:val="center"/>
          </w:tcPr>
          <w:p w14:paraId="2907BF26" w14:textId="77777777" w:rsidR="00D46CDC" w:rsidRPr="00BF281D" w:rsidRDefault="00D46CDC" w:rsidP="00764265">
            <w:pPr>
              <w:spacing w:after="0" w:line="240" w:lineRule="auto"/>
              <w:rPr>
                <w:rFonts w:eastAsia="Times New Roman" w:cs="Times New Roman"/>
                <w:color w:val="000000"/>
                <w:sz w:val="16"/>
                <w:szCs w:val="16"/>
                <w:lang w:eastAsia="en-AU"/>
              </w:rPr>
            </w:pPr>
            <w:r w:rsidRPr="00BF281D">
              <w:rPr>
                <w:rFonts w:eastAsia="Times New Roman" w:cs="Times New Roman"/>
                <w:color w:val="000000"/>
                <w:sz w:val="16"/>
                <w:szCs w:val="16"/>
                <w:lang w:eastAsia="en-AU"/>
              </w:rPr>
              <w:t xml:space="preserve">Cost to government (positive score is lower cost than </w:t>
            </w:r>
            <w:r>
              <w:rPr>
                <w:rFonts w:eastAsia="Times New Roman" w:cs="Times New Roman"/>
                <w:color w:val="000000"/>
                <w:sz w:val="16"/>
                <w:szCs w:val="16"/>
                <w:lang w:eastAsia="en-AU"/>
              </w:rPr>
              <w:t>B</w:t>
            </w:r>
            <w:r w:rsidRPr="00BF281D">
              <w:rPr>
                <w:rFonts w:eastAsia="Times New Roman" w:cs="Times New Roman"/>
                <w:color w:val="000000"/>
                <w:sz w:val="16"/>
                <w:szCs w:val="16"/>
                <w:lang w:eastAsia="en-AU"/>
              </w:rPr>
              <w:t xml:space="preserve">ase </w:t>
            </w:r>
            <w:r>
              <w:rPr>
                <w:rFonts w:eastAsia="Times New Roman" w:cs="Times New Roman"/>
                <w:color w:val="000000"/>
                <w:sz w:val="16"/>
                <w:szCs w:val="16"/>
                <w:lang w:eastAsia="en-AU"/>
              </w:rPr>
              <w:t>C</w:t>
            </w:r>
            <w:r w:rsidRPr="00BF281D">
              <w:rPr>
                <w:rFonts w:eastAsia="Times New Roman" w:cs="Times New Roman"/>
                <w:color w:val="000000"/>
                <w:sz w:val="16"/>
                <w:szCs w:val="16"/>
                <w:lang w:eastAsia="en-AU"/>
              </w:rPr>
              <w:t>ase)</w:t>
            </w:r>
          </w:p>
        </w:tc>
        <w:tc>
          <w:tcPr>
            <w:tcW w:w="993" w:type="pct"/>
          </w:tcPr>
          <w:p w14:paraId="293CDBC3" w14:textId="77777777" w:rsidR="00D46CDC" w:rsidRPr="00BF281D" w:rsidRDefault="00D46CD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0</w:t>
            </w:r>
          </w:p>
        </w:tc>
        <w:tc>
          <w:tcPr>
            <w:tcW w:w="993" w:type="pct"/>
          </w:tcPr>
          <w:p w14:paraId="1EC7A235" w14:textId="77777777" w:rsidR="00D46CDC" w:rsidRPr="00BF281D" w:rsidRDefault="00D46CD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2</w:t>
            </w:r>
          </w:p>
        </w:tc>
        <w:tc>
          <w:tcPr>
            <w:tcW w:w="993" w:type="pct"/>
          </w:tcPr>
          <w:p w14:paraId="6BA680FA" w14:textId="77777777" w:rsidR="00D46CDC" w:rsidRPr="00BF281D" w:rsidRDefault="00D46CD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3</w:t>
            </w:r>
          </w:p>
        </w:tc>
        <w:tc>
          <w:tcPr>
            <w:tcW w:w="993" w:type="pct"/>
          </w:tcPr>
          <w:p w14:paraId="6DAED9B9" w14:textId="77777777" w:rsidR="00D46CDC" w:rsidRPr="00BF281D" w:rsidRDefault="00D46CDC" w:rsidP="00764265">
            <w:pPr>
              <w:spacing w:after="0" w:line="240" w:lineRule="auto"/>
              <w:jc w:val="center"/>
              <w:rPr>
                <w:rFonts w:eastAsia="Times New Roman" w:cs="Times New Roman"/>
                <w:color w:val="000000"/>
                <w:sz w:val="16"/>
                <w:szCs w:val="16"/>
                <w:lang w:eastAsia="en-AU"/>
              </w:rPr>
            </w:pPr>
            <w:r w:rsidRPr="00BF281D">
              <w:rPr>
                <w:rFonts w:eastAsia="Times New Roman" w:cs="Times New Roman"/>
                <w:color w:val="000000"/>
                <w:sz w:val="16"/>
                <w:szCs w:val="16"/>
                <w:lang w:eastAsia="en-AU"/>
              </w:rPr>
              <w:t>4</w:t>
            </w:r>
          </w:p>
        </w:tc>
      </w:tr>
    </w:tbl>
    <w:p w14:paraId="7872E111" w14:textId="02246A29" w:rsidR="00A55FCE" w:rsidRPr="00BF281D" w:rsidRDefault="00A55FCE" w:rsidP="001E56C4">
      <w:r>
        <w:t xml:space="preserve"> </w:t>
      </w:r>
    </w:p>
    <w:p w14:paraId="4B5AF4A0" w14:textId="6FD7FB17" w:rsidR="00DE7DF7" w:rsidRPr="00BF281D" w:rsidRDefault="00517549" w:rsidP="00EE32CD">
      <w:pPr>
        <w:pStyle w:val="Heading3"/>
      </w:pPr>
      <w:r w:rsidRPr="00BF281D">
        <w:t>Base Case</w:t>
      </w:r>
    </w:p>
    <w:p w14:paraId="786E05B3" w14:textId="796D9784" w:rsidR="00517549" w:rsidRPr="00BF281D" w:rsidRDefault="00A60C11" w:rsidP="00517549">
      <w:r w:rsidRPr="00BF281D">
        <w:t xml:space="preserve">Under the Base Case, industry and government would face </w:t>
      </w:r>
      <w:r w:rsidR="00731776">
        <w:t xml:space="preserve">high </w:t>
      </w:r>
      <w:r w:rsidRPr="00BF281D">
        <w:t xml:space="preserve">costs </w:t>
      </w:r>
      <w:r w:rsidR="00FC7A84" w:rsidRPr="00BF281D">
        <w:t xml:space="preserve">when attempting to meet the requirements of the </w:t>
      </w:r>
      <w:r w:rsidR="00731776">
        <w:t>Petroleum</w:t>
      </w:r>
      <w:r w:rsidR="00FC7A84" w:rsidRPr="00BF281D">
        <w:t xml:space="preserve"> Act. </w:t>
      </w:r>
      <w:r w:rsidR="00517549" w:rsidRPr="00BF281D">
        <w:t xml:space="preserve">In the absence of regulations, businesses face significant regulatory uncertainty and Government faces significant cost impacts due to increased inefficiencies in </w:t>
      </w:r>
      <w:r w:rsidR="00E94444">
        <w:t xml:space="preserve">attempting to regulate where there is an absence of regulation. </w:t>
      </w:r>
      <w:r w:rsidR="00517549" w:rsidRPr="00BF281D">
        <w:t xml:space="preserve"> The regulatory uncertainty is likely to be substantial, given the lead in times, capital investment and regulatory burden associated with the sector. </w:t>
      </w:r>
    </w:p>
    <w:p w14:paraId="2FDDA6A1" w14:textId="77777777" w:rsidR="00517549" w:rsidRPr="00BF281D" w:rsidRDefault="00517549" w:rsidP="00517549">
      <w:r w:rsidRPr="00BF281D">
        <w:t xml:space="preserve">Any delays to operations </w:t>
      </w:r>
      <w:proofErr w:type="gramStart"/>
      <w:r w:rsidRPr="00BF281D">
        <w:t>as a result of</w:t>
      </w:r>
      <w:proofErr w:type="gramEnd"/>
      <w:r w:rsidRPr="00BF281D">
        <w:t xml:space="preserve"> increased Government administrative requirements can have significant costs due to the scale of the industry and associated mothballing costs. </w:t>
      </w:r>
    </w:p>
    <w:p w14:paraId="1A4B76CC" w14:textId="63448A98" w:rsidR="00517549" w:rsidRPr="00817682" w:rsidRDefault="00517549" w:rsidP="00EE32CD">
      <w:pPr>
        <w:pStyle w:val="Heading3"/>
      </w:pPr>
      <w:r w:rsidRPr="00BF281D">
        <w:lastRenderedPageBreak/>
        <w:t>Status Quo</w:t>
      </w:r>
    </w:p>
    <w:p w14:paraId="7A51F88F" w14:textId="79D18B45" w:rsidR="00566370" w:rsidRPr="00BF281D" w:rsidRDefault="008230B4" w:rsidP="00566370">
      <w:r w:rsidRPr="00BF281D">
        <w:t xml:space="preserve">Under the </w:t>
      </w:r>
      <w:r w:rsidR="00B32BA8" w:rsidRPr="00BF281D">
        <w:t>S</w:t>
      </w:r>
      <w:r w:rsidRPr="00BF281D">
        <w:t xml:space="preserve">tatus </w:t>
      </w:r>
      <w:r w:rsidR="00B32BA8" w:rsidRPr="00BF281D">
        <w:t>Q</w:t>
      </w:r>
      <w:r w:rsidRPr="00BF281D">
        <w:t xml:space="preserve">uo, </w:t>
      </w:r>
      <w:r w:rsidR="00636DEE" w:rsidRPr="00BF281D">
        <w:t xml:space="preserve">costs </w:t>
      </w:r>
      <w:r w:rsidR="00B75AFE">
        <w:t xml:space="preserve">are </w:t>
      </w:r>
      <w:r w:rsidR="00BA48D9" w:rsidRPr="00BF281D">
        <w:t>relatively</w:t>
      </w:r>
      <w:r w:rsidR="00636DEE" w:rsidRPr="00BF281D">
        <w:t xml:space="preserve"> lower</w:t>
      </w:r>
      <w:r w:rsidR="00993F19">
        <w:t xml:space="preserve"> than</w:t>
      </w:r>
      <w:r w:rsidR="00636DEE" w:rsidRPr="00BF281D">
        <w:t xml:space="preserve"> </w:t>
      </w:r>
      <w:r w:rsidR="00B75AFE">
        <w:t xml:space="preserve">the </w:t>
      </w:r>
      <w:r w:rsidR="008E6693">
        <w:t>B</w:t>
      </w:r>
      <w:r w:rsidR="00B75AFE">
        <w:t xml:space="preserve">ase </w:t>
      </w:r>
      <w:r w:rsidR="008E6693">
        <w:t>C</w:t>
      </w:r>
      <w:r w:rsidR="00B75AFE">
        <w:t xml:space="preserve">ase. </w:t>
      </w:r>
      <w:r w:rsidR="008B76A1">
        <w:t>In particular, t</w:t>
      </w:r>
      <w:r w:rsidR="00421E5A">
        <w:t>he i</w:t>
      </w:r>
      <w:r w:rsidR="00636DEE" w:rsidRPr="00BF281D">
        <w:t>nitial</w:t>
      </w:r>
      <w:r w:rsidR="00B75AFE">
        <w:t xml:space="preserve"> costs </w:t>
      </w:r>
      <w:r w:rsidR="00421E5A">
        <w:t>will be lower</w:t>
      </w:r>
      <w:r w:rsidR="00636DEE" w:rsidRPr="00BF281D">
        <w:t xml:space="preserve"> </w:t>
      </w:r>
      <w:r w:rsidR="00EB06C9">
        <w:t>in the Status Quo</w:t>
      </w:r>
      <w:r w:rsidR="00636DEE" w:rsidRPr="00BF281D">
        <w:t xml:space="preserve"> as industry and government </w:t>
      </w:r>
      <w:r w:rsidR="000C081F" w:rsidRPr="00BF281D">
        <w:t xml:space="preserve">are mostly familiar with the regulatory landscape. </w:t>
      </w:r>
      <w:r w:rsidR="00A51C59">
        <w:t xml:space="preserve">While costs are still lower than the </w:t>
      </w:r>
      <w:r w:rsidR="00EB06C9">
        <w:t>B</w:t>
      </w:r>
      <w:r w:rsidR="00A51C59">
        <w:t xml:space="preserve">ase </w:t>
      </w:r>
      <w:r w:rsidR="00EB06C9">
        <w:t>C</w:t>
      </w:r>
      <w:r w:rsidR="00A51C59">
        <w:t>ase, they</w:t>
      </w:r>
      <w:r w:rsidR="00EE2530">
        <w:t xml:space="preserve"> are likely to increase </w:t>
      </w:r>
      <w:r w:rsidR="00A51C59">
        <w:t>as</w:t>
      </w:r>
      <w:r w:rsidR="008B76A1">
        <w:t xml:space="preserve"> </w:t>
      </w:r>
      <w:r w:rsidR="00F25D0A" w:rsidRPr="00BF281D">
        <w:t>firms</w:t>
      </w:r>
      <w:r w:rsidR="009718A3" w:rsidRPr="00BF281D">
        <w:t xml:space="preserve"> and government</w:t>
      </w:r>
      <w:r w:rsidR="00F25D0A" w:rsidRPr="00BF281D">
        <w:t xml:space="preserve"> grapple with </w:t>
      </w:r>
      <w:r w:rsidR="00FA3938" w:rsidRPr="00BF281D">
        <w:t>misalignment</w:t>
      </w:r>
      <w:r w:rsidR="00A3644B" w:rsidRPr="00BF281D">
        <w:t xml:space="preserve"> of the Petroleum Act </w:t>
      </w:r>
      <w:r w:rsidR="00E82E47">
        <w:t xml:space="preserve">as amended </w:t>
      </w:r>
      <w:r w:rsidR="00D46CDC">
        <w:t xml:space="preserve">by the </w:t>
      </w:r>
      <w:r w:rsidR="00501462">
        <w:t>Amendment Act</w:t>
      </w:r>
      <w:r w:rsidR="00E82E47">
        <w:t xml:space="preserve"> </w:t>
      </w:r>
      <w:r w:rsidR="00FA3938" w:rsidRPr="00BF281D">
        <w:t>and</w:t>
      </w:r>
      <w:r w:rsidR="00E82E47">
        <w:t xml:space="preserve"> the</w:t>
      </w:r>
      <w:r w:rsidR="00FA3938" w:rsidRPr="00BF281D">
        <w:t xml:space="preserve"> </w:t>
      </w:r>
      <w:r w:rsidR="00EB06C9">
        <w:t>current form of the</w:t>
      </w:r>
      <w:r w:rsidR="00A3644B" w:rsidRPr="00BF281D">
        <w:t xml:space="preserve"> </w:t>
      </w:r>
      <w:r w:rsidR="00EB06C9">
        <w:t>Petroleum R</w:t>
      </w:r>
      <w:r w:rsidR="00A3644B" w:rsidRPr="00BF281D">
        <w:t>egulation</w:t>
      </w:r>
      <w:r w:rsidR="00FA3938" w:rsidRPr="00BF281D">
        <w:t>s</w:t>
      </w:r>
      <w:r w:rsidR="00D46CDC">
        <w:t xml:space="preserve"> which pre-date the relevant Act amendments</w:t>
      </w:r>
      <w:r w:rsidR="00F75A2F" w:rsidRPr="00817682">
        <w:t xml:space="preserve">. </w:t>
      </w:r>
      <w:r w:rsidR="00B21BD6">
        <w:t xml:space="preserve">Therefore, the status quo receives a score of </w:t>
      </w:r>
      <w:r w:rsidR="007303B3" w:rsidRPr="00012DD6">
        <w:rPr>
          <w:b/>
          <w:bCs/>
        </w:rPr>
        <w:t>2</w:t>
      </w:r>
      <w:r w:rsidR="00B21BD6">
        <w:t xml:space="preserve"> for cost to industry and cost to government, as </w:t>
      </w:r>
      <w:r w:rsidR="007303B3">
        <w:t>costs are relatively lower than the Base Case.</w:t>
      </w:r>
    </w:p>
    <w:p w14:paraId="035710EE" w14:textId="5E6239F3" w:rsidR="004C71E2" w:rsidRDefault="004C71E2" w:rsidP="004C71E2">
      <w:pPr>
        <w:pStyle w:val="Heading3"/>
      </w:pPr>
      <w:r>
        <w:t xml:space="preserve">Option 1 costs </w:t>
      </w:r>
    </w:p>
    <w:p w14:paraId="748B5E25" w14:textId="0DF7E353" w:rsidR="004C71E2" w:rsidRDefault="00224992" w:rsidP="00224992">
      <w:pPr>
        <w:pStyle w:val="Heading4"/>
      </w:pPr>
      <w:r w:rsidRPr="001528D0">
        <w:rPr>
          <w:color w:val="012169" w:themeColor="accent4"/>
        </w:rPr>
        <w:t>Costs to industry</w:t>
      </w:r>
    </w:p>
    <w:p w14:paraId="79D88F16" w14:textId="7E5178F5" w:rsidR="00224992" w:rsidRDefault="00AD3A6D" w:rsidP="00224992">
      <w:r>
        <w:t>Under Option 1, the c</w:t>
      </w:r>
      <w:r w:rsidR="00642BBA">
        <w:t xml:space="preserve">osts to industry </w:t>
      </w:r>
      <w:r>
        <w:t xml:space="preserve">are </w:t>
      </w:r>
      <w:r w:rsidRPr="00AD3A6D">
        <w:t xml:space="preserve">expected to be </w:t>
      </w:r>
      <w:r w:rsidR="00642BBA" w:rsidRPr="00AD3A6D">
        <w:t xml:space="preserve">lower than </w:t>
      </w:r>
      <w:r w:rsidR="00E82E47">
        <w:t>the B</w:t>
      </w:r>
      <w:r w:rsidR="00642BBA" w:rsidRPr="00AD3A6D">
        <w:t xml:space="preserve">ase </w:t>
      </w:r>
      <w:r w:rsidR="00E82E47">
        <w:t>C</w:t>
      </w:r>
      <w:r w:rsidR="00642BBA" w:rsidRPr="00AD3A6D">
        <w:t>ase</w:t>
      </w:r>
      <w:r w:rsidR="007303B3">
        <w:t xml:space="preserve"> and Status Quo</w:t>
      </w:r>
      <w:r w:rsidRPr="00AD3A6D">
        <w:t>. Therefore,</w:t>
      </w:r>
      <w:r w:rsidR="00DE18CC" w:rsidRPr="00AD3A6D">
        <w:t xml:space="preserve"> Option 1 receives a score of </w:t>
      </w:r>
      <w:r w:rsidR="00DE18CC" w:rsidRPr="00012DD6">
        <w:rPr>
          <w:b/>
        </w:rPr>
        <w:t>5</w:t>
      </w:r>
      <w:r w:rsidR="00DE18CC" w:rsidRPr="00AD3A6D">
        <w:t xml:space="preserve"> for </w:t>
      </w:r>
      <w:r w:rsidRPr="00AD3A6D">
        <w:t xml:space="preserve">the </w:t>
      </w:r>
      <w:r w:rsidR="00DE18CC" w:rsidRPr="00AD3A6D">
        <w:t>cost to industry</w:t>
      </w:r>
      <w:r w:rsidRPr="00AD3A6D">
        <w:t>.</w:t>
      </w:r>
    </w:p>
    <w:p w14:paraId="3486FF28" w14:textId="76D8C69B" w:rsidR="00E2440D" w:rsidRPr="00BF281D" w:rsidRDefault="00E2440D" w:rsidP="00E2440D">
      <w:r w:rsidRPr="00BF281D">
        <w:t xml:space="preserve">The approach taken under Option 1 </w:t>
      </w:r>
      <w:proofErr w:type="gramStart"/>
      <w:r w:rsidRPr="00BF281D">
        <w:t>is considered to be</w:t>
      </w:r>
      <w:proofErr w:type="gramEnd"/>
      <w:r w:rsidRPr="00BF281D">
        <w:t xml:space="preserve"> similar to the objects-based approach taken by NSW and the Commonwealth (see </w:t>
      </w:r>
      <w:r w:rsidRPr="00BF281D">
        <w:fldChar w:fldCharType="begin"/>
      </w:r>
      <w:r w:rsidRPr="00BF281D">
        <w:instrText xml:space="preserve"> REF _Ref65054690 \r \h </w:instrText>
      </w:r>
      <w:r w:rsidRPr="00BF281D">
        <w:fldChar w:fldCharType="separate"/>
      </w:r>
      <w:r w:rsidR="009B3538">
        <w:t>Appendix C</w:t>
      </w:r>
      <w:r w:rsidRPr="00BF281D">
        <w:fldChar w:fldCharType="end"/>
      </w:r>
      <w:r w:rsidRPr="00817682">
        <w:t>)</w:t>
      </w:r>
      <w:r w:rsidRPr="00BF281D">
        <w:t xml:space="preserve">. The NSW outcome-based conditions outline criteria that must be complied with to achieve an environmental </w:t>
      </w:r>
      <w:proofErr w:type="gramStart"/>
      <w:r w:rsidRPr="00BF281D">
        <w:t>outcome, but</w:t>
      </w:r>
      <w:proofErr w:type="gramEnd"/>
      <w:r w:rsidRPr="00BF281D">
        <w:t xml:space="preserve"> </w:t>
      </w:r>
      <w:r w:rsidR="00E82E47">
        <w:t>are less prescriptive in terms of</w:t>
      </w:r>
      <w:r w:rsidRPr="00BF281D">
        <w:t xml:space="preserve"> how a</w:t>
      </w:r>
      <w:r w:rsidR="00E82E47">
        <w:t>n authority holder</w:t>
      </w:r>
      <w:r w:rsidRPr="00BF281D">
        <w:t xml:space="preserve"> should achieve these outcomes. </w:t>
      </w:r>
    </w:p>
    <w:p w14:paraId="39F77D18" w14:textId="77777777" w:rsidR="00E2440D" w:rsidRPr="00BF281D" w:rsidRDefault="00E2440D" w:rsidP="00E2440D">
      <w:r w:rsidRPr="00BF281D">
        <w:t xml:space="preserve">This is generally considered to be leading practice for reducing administrative costs to industry. The risk-based approach taken by these jurisdictions is aimed at ensuring that the effort and focus of risk investigation and management is commensurate to the significance or complexity of the activity and the risk. Under a risk-based approach, operators are then able to focus time and resources on issues that are likely to present the most risk and avoids unnecessary time spent on immaterial risks. </w:t>
      </w:r>
    </w:p>
    <w:p w14:paraId="04EDDEBF" w14:textId="361C4AA5" w:rsidR="00E2440D" w:rsidRDefault="00E2440D" w:rsidP="00224992">
      <w:r w:rsidRPr="00BF281D">
        <w:t xml:space="preserve">Option 1 will </w:t>
      </w:r>
      <w:r w:rsidR="00230DE4">
        <w:t>assist to</w:t>
      </w:r>
      <w:r w:rsidR="00230DE4" w:rsidRPr="00BF281D">
        <w:t xml:space="preserve"> </w:t>
      </w:r>
      <w:r w:rsidRPr="00BF281D">
        <w:t xml:space="preserve">simplify regulatory burden and </w:t>
      </w:r>
      <w:r w:rsidR="00FA23FE">
        <w:t xml:space="preserve">avoids </w:t>
      </w:r>
      <w:r w:rsidRPr="00BF281D">
        <w:t xml:space="preserve">the </w:t>
      </w:r>
      <w:r w:rsidR="00FA23FE">
        <w:t>‘</w:t>
      </w:r>
      <w:r w:rsidRPr="00BF281D">
        <w:t>one-size fits all</w:t>
      </w:r>
      <w:r w:rsidR="00FA23FE">
        <w:t>’</w:t>
      </w:r>
      <w:r w:rsidRPr="00BF281D">
        <w:t xml:space="preserve"> approach to regulation. Guidance from the NSW Department of Finance</w:t>
      </w:r>
      <w:r w:rsidRPr="00817682">
        <w:rPr>
          <w:rStyle w:val="EndnoteReference"/>
        </w:rPr>
        <w:endnoteReference w:id="19"/>
      </w:r>
      <w:r w:rsidRPr="00817682">
        <w:t xml:space="preserve"> </w:t>
      </w:r>
      <w:r w:rsidRPr="00BF281D">
        <w:t xml:space="preserve">suggests that a potential benefit associated with implementing this framework is reduced regulatory cost burden where regulatory </w:t>
      </w:r>
      <w:r w:rsidR="00316B5B">
        <w:t xml:space="preserve">requirements </w:t>
      </w:r>
      <w:r w:rsidRPr="00BF281D">
        <w:t xml:space="preserve">are </w:t>
      </w:r>
      <w:r w:rsidR="00316B5B">
        <w:t>more</w:t>
      </w:r>
      <w:r w:rsidRPr="00BF281D">
        <w:t xml:space="preserve"> proportionate to </w:t>
      </w:r>
      <w:r w:rsidR="00316B5B">
        <w:t>the</w:t>
      </w:r>
      <w:r w:rsidRPr="00BF281D">
        <w:t xml:space="preserve"> risk</w:t>
      </w:r>
      <w:r w:rsidR="00316B5B">
        <w:t xml:space="preserve"> of the regulated activity</w:t>
      </w:r>
      <w:r w:rsidRPr="00BF281D">
        <w:t xml:space="preserve">. </w:t>
      </w:r>
    </w:p>
    <w:p w14:paraId="6162E349" w14:textId="5DF7316C" w:rsidR="00224992" w:rsidRDefault="00224992" w:rsidP="00224992">
      <w:pPr>
        <w:pStyle w:val="Heading4"/>
      </w:pPr>
      <w:r w:rsidRPr="001528D0">
        <w:rPr>
          <w:color w:val="012169" w:themeColor="accent4"/>
        </w:rPr>
        <w:t>Costs to government</w:t>
      </w:r>
    </w:p>
    <w:p w14:paraId="5062C64B" w14:textId="6B4A06B7" w:rsidR="00065FD8" w:rsidRDefault="00065FD8" w:rsidP="00065FD8">
      <w:r>
        <w:t xml:space="preserve">Under Option 1, the costs to government are </w:t>
      </w:r>
      <w:r w:rsidRPr="00AD3A6D">
        <w:t xml:space="preserve">expected to be </w:t>
      </w:r>
      <w:r>
        <w:t xml:space="preserve">somewhat </w:t>
      </w:r>
      <w:r w:rsidRPr="00AD3A6D">
        <w:t xml:space="preserve">lower than </w:t>
      </w:r>
      <w:r w:rsidR="006103D2">
        <w:t>the B</w:t>
      </w:r>
      <w:r w:rsidRPr="00AD3A6D">
        <w:t xml:space="preserve">ase </w:t>
      </w:r>
      <w:r w:rsidR="006103D2">
        <w:t>C</w:t>
      </w:r>
      <w:r w:rsidRPr="00AD3A6D">
        <w:t>ase</w:t>
      </w:r>
      <w:r w:rsidR="006103D2">
        <w:t xml:space="preserve"> and Status Quo</w:t>
      </w:r>
      <w:r w:rsidR="0044783A">
        <w:t xml:space="preserve">. </w:t>
      </w:r>
      <w:r w:rsidR="00EC3851">
        <w:t xml:space="preserve">Therefore, </w:t>
      </w:r>
      <w:r w:rsidRPr="00AD3A6D">
        <w:t xml:space="preserve">Option 1 receives a score of </w:t>
      </w:r>
      <w:r w:rsidR="00A70587">
        <w:rPr>
          <w:b/>
        </w:rPr>
        <w:t>3</w:t>
      </w:r>
      <w:r w:rsidRPr="00AD3A6D">
        <w:t xml:space="preserve"> for the cost to </w:t>
      </w:r>
      <w:r>
        <w:t>government</w:t>
      </w:r>
      <w:r w:rsidRPr="00AD3A6D">
        <w:t>.</w:t>
      </w:r>
    </w:p>
    <w:p w14:paraId="4A10E6E6" w14:textId="11F08C4D" w:rsidR="005B52AC" w:rsidRPr="00BF281D" w:rsidRDefault="005B52AC" w:rsidP="005B52AC">
      <w:r w:rsidRPr="00BF281D">
        <w:t xml:space="preserve">Governments incur costs in designing, implementing, enforcing, </w:t>
      </w:r>
      <w:proofErr w:type="gramStart"/>
      <w:r w:rsidRPr="00BF281D">
        <w:t>reviewing</w:t>
      </w:r>
      <w:proofErr w:type="gramEnd"/>
      <w:r w:rsidRPr="00BF281D">
        <w:t xml:space="preserve"> and updating regulation. The Victorian Government has and will incur costs in facilitating the orderly restart of the onshore conventional gas industry. Funding has been allocated in the 2020-21 budget for ERR to develop, </w:t>
      </w:r>
      <w:proofErr w:type="gramStart"/>
      <w:r w:rsidRPr="00BF281D">
        <w:t>implement</w:t>
      </w:r>
      <w:proofErr w:type="gramEnd"/>
      <w:r w:rsidRPr="00BF281D">
        <w:t xml:space="preserve"> and enforce the new regulatory regime. </w:t>
      </w:r>
      <w:r w:rsidR="00EC3851">
        <w:t xml:space="preserve">A total of </w:t>
      </w:r>
      <w:r w:rsidRPr="00BF281D">
        <w:t>$3 million has been budgeted in 2020-21 and $2.1 million in 2021-22, total</w:t>
      </w:r>
      <w:r w:rsidR="00EC3851">
        <w:t>ling</w:t>
      </w:r>
      <w:r w:rsidRPr="00BF281D">
        <w:t xml:space="preserve"> $5.1 million. </w:t>
      </w:r>
    </w:p>
    <w:p w14:paraId="0ED2DA64" w14:textId="2CB5A824" w:rsidR="005B52AC" w:rsidRDefault="00987FF2" w:rsidP="00224992">
      <w:r w:rsidRPr="00BF281D">
        <w:t>Option 1 allows regulators to focus time and resources on issues that are likely to present the most risk.</w:t>
      </w:r>
    </w:p>
    <w:p w14:paraId="74B7F362" w14:textId="663972EB" w:rsidR="00224992" w:rsidRPr="00224992" w:rsidRDefault="00224992" w:rsidP="00224992">
      <w:pPr>
        <w:pStyle w:val="Heading3"/>
      </w:pPr>
      <w:r>
        <w:t>Option 2 costs</w:t>
      </w:r>
    </w:p>
    <w:p w14:paraId="4DE24921" w14:textId="77777777" w:rsidR="00224992" w:rsidRDefault="00224992" w:rsidP="00224992">
      <w:pPr>
        <w:pStyle w:val="Heading4"/>
      </w:pPr>
      <w:r w:rsidRPr="001528D0">
        <w:rPr>
          <w:color w:val="012169" w:themeColor="accent4"/>
        </w:rPr>
        <w:t>Costs to industry</w:t>
      </w:r>
    </w:p>
    <w:p w14:paraId="32D1D2E8" w14:textId="50003BFA" w:rsidR="000E4530" w:rsidRDefault="00E2440D" w:rsidP="00E2440D">
      <w:r w:rsidRPr="00BF281D">
        <w:t xml:space="preserve">Costs to industry are likely to be </w:t>
      </w:r>
      <w:r w:rsidR="0081752A">
        <w:t>substantially</w:t>
      </w:r>
      <w:r w:rsidR="0081752A" w:rsidRPr="00BF281D">
        <w:t xml:space="preserve"> </w:t>
      </w:r>
      <w:r w:rsidRPr="00BF281D">
        <w:t>higher under Option 2 than Option 1</w:t>
      </w:r>
      <w:r w:rsidR="00ED242A">
        <w:t xml:space="preserve">, but </w:t>
      </w:r>
      <w:r w:rsidR="00CB0EAD">
        <w:t>less than the Base Case and Status Quo</w:t>
      </w:r>
      <w:r w:rsidRPr="00BF281D">
        <w:t xml:space="preserve">. </w:t>
      </w:r>
      <w:r w:rsidR="000E4530" w:rsidRPr="00AD3A6D">
        <w:t xml:space="preserve">Therefore, Option 1 receives a score of </w:t>
      </w:r>
      <w:r w:rsidR="000E4530" w:rsidRPr="00B3453B">
        <w:rPr>
          <w:b/>
        </w:rPr>
        <w:t>3</w:t>
      </w:r>
      <w:r w:rsidR="000E4530" w:rsidRPr="00AD3A6D">
        <w:t xml:space="preserve"> for the cost to industry.</w:t>
      </w:r>
    </w:p>
    <w:p w14:paraId="75DB555A" w14:textId="03966BD1" w:rsidR="00E2440D" w:rsidRPr="00BF281D" w:rsidRDefault="004A4C3F" w:rsidP="00E2440D">
      <w:r>
        <w:t>U</w:t>
      </w:r>
      <w:r w:rsidR="0009313D">
        <w:t>nder Option 2</w:t>
      </w:r>
      <w:r>
        <w:t>,</w:t>
      </w:r>
      <w:r w:rsidR="0009313D">
        <w:t xml:space="preserve"> </w:t>
      </w:r>
      <w:r w:rsidR="000E4530">
        <w:t>there are likely to be</w:t>
      </w:r>
      <w:r w:rsidR="00E2440D" w:rsidRPr="00BF281D">
        <w:t xml:space="preserve"> relatively higher administration and compliance costs </w:t>
      </w:r>
      <w:r w:rsidR="000E4530">
        <w:t>than</w:t>
      </w:r>
      <w:r w:rsidR="000E4530" w:rsidRPr="00BF281D">
        <w:t xml:space="preserve"> </w:t>
      </w:r>
      <w:r w:rsidR="00E2440D" w:rsidRPr="00BF281D">
        <w:t xml:space="preserve">Option </w:t>
      </w:r>
      <w:r w:rsidR="000E4530">
        <w:t>1</w:t>
      </w:r>
      <w:r w:rsidR="00E2440D" w:rsidRPr="00BF281D">
        <w:t>. Whilst Option 2 does provide more certainty for industry, in many cases there would</w:t>
      </w:r>
      <w:r w:rsidR="00397E12">
        <w:t xml:space="preserve"> be</w:t>
      </w:r>
      <w:r w:rsidR="00E2440D" w:rsidRPr="00BF281D">
        <w:t xml:space="preserve"> additional costs to industry for additional information provision and operational requirements. Additionally, other jurisdictions have acknowledged that this approach can lead to </w:t>
      </w:r>
      <w:r w:rsidR="00967BA5">
        <w:t xml:space="preserve">a higher </w:t>
      </w:r>
      <w:r w:rsidR="00E2440D" w:rsidRPr="00BF281D">
        <w:t>regulatory burden on industry.</w:t>
      </w:r>
      <w:r w:rsidR="00ED242A" w:rsidRPr="00ED242A">
        <w:t xml:space="preserve"> </w:t>
      </w:r>
      <w:r w:rsidR="00F30478">
        <w:t>However, there may be a time / cost saving in some circumstances as the requirements will be more explicit</w:t>
      </w:r>
      <w:r w:rsidR="009708B2">
        <w:t xml:space="preserve"> from the outset.  This may save time </w:t>
      </w:r>
      <w:r w:rsidR="00DF7B63">
        <w:t xml:space="preserve">as it is less likely the ERR would need to request additional information through the authority and operation plan application process.  </w:t>
      </w:r>
    </w:p>
    <w:p w14:paraId="6592A7CB" w14:textId="67A149E9" w:rsidR="00E2440D" w:rsidRPr="00BF281D" w:rsidRDefault="00E2440D" w:rsidP="00E2440D">
      <w:r w:rsidRPr="00BF281D">
        <w:t xml:space="preserve">The industry cost of consultation would also be higher under Option 2 due to the increased level of </w:t>
      </w:r>
      <w:r w:rsidR="00967BA5">
        <w:t xml:space="preserve">mandated </w:t>
      </w:r>
      <w:r w:rsidRPr="00BF281D">
        <w:t xml:space="preserve">community consultation, and therefore the associated time and resource cost. </w:t>
      </w:r>
    </w:p>
    <w:p w14:paraId="278D2A3A" w14:textId="0AFBF3E4" w:rsidR="00E2440D" w:rsidRPr="00BF281D" w:rsidRDefault="00E2440D" w:rsidP="00E2440D">
      <w:r w:rsidRPr="00BF281D">
        <w:t xml:space="preserve">However, the </w:t>
      </w:r>
      <w:r w:rsidR="00EC7FFE">
        <w:t xml:space="preserve">additional detail in the legislative Code of Practice which will accompany the </w:t>
      </w:r>
      <w:r w:rsidR="004A4C3F">
        <w:t>regulations</w:t>
      </w:r>
      <w:r w:rsidR="00EC7FFE">
        <w:t xml:space="preserve"> in Option 2 is</w:t>
      </w:r>
      <w:r w:rsidRPr="00BF281D">
        <w:t xml:space="preserve"> broadly </w:t>
      </w:r>
      <w:proofErr w:type="gramStart"/>
      <w:r w:rsidRPr="00BF281D">
        <w:t>similar to</w:t>
      </w:r>
      <w:proofErr w:type="gramEnd"/>
      <w:r w:rsidRPr="00BF281D">
        <w:t xml:space="preserve"> arrangements that are in place in other Australian jurisdictions</w:t>
      </w:r>
      <w:r w:rsidRPr="00817682">
        <w:t xml:space="preserve">. This means </w:t>
      </w:r>
      <w:r w:rsidRPr="00817682">
        <w:lastRenderedPageBreak/>
        <w:t xml:space="preserve">that Victorian authority holders who operate across multiple jurisdictions will be </w:t>
      </w:r>
      <w:r w:rsidR="00EC7FFE">
        <w:t xml:space="preserve">generally </w:t>
      </w:r>
      <w:r w:rsidRPr="00817682">
        <w:t>familiar with the</w:t>
      </w:r>
      <w:r w:rsidR="00EC7FFE">
        <w:t>se requirements</w:t>
      </w:r>
      <w:r w:rsidRPr="00817682">
        <w:t xml:space="preserve">, and the incremental cost of this regulatory component is </w:t>
      </w:r>
      <w:r w:rsidR="00EC7FFE">
        <w:t>therefore</w:t>
      </w:r>
      <w:r w:rsidRPr="00817682">
        <w:t xml:space="preserve"> likely to be minimal. </w:t>
      </w:r>
    </w:p>
    <w:p w14:paraId="7D1C56BE" w14:textId="46350A03" w:rsidR="00224992" w:rsidRDefault="00E6297D" w:rsidP="00224992">
      <w:r w:rsidRPr="00BF281D">
        <w:t>While there are a variety of approaches taken to petroleum regulations across Australia, in general, an outcomes-based approach is considered to impose the lowest cost on industry</w:t>
      </w:r>
      <w:r w:rsidR="004A4C3F">
        <w:t xml:space="preserve"> (</w:t>
      </w:r>
      <w:r w:rsidR="006810C1">
        <w:t xml:space="preserve">under </w:t>
      </w:r>
      <w:r w:rsidR="004A4C3F">
        <w:t>Option 1)</w:t>
      </w:r>
      <w:r w:rsidRPr="00BF281D">
        <w:t>. Prescriptive requirements are generally more costly but provide a higher level of assurance to industry</w:t>
      </w:r>
      <w:r w:rsidR="00786762">
        <w:t xml:space="preserve"> and to the </w:t>
      </w:r>
      <w:r w:rsidR="00D26A0E">
        <w:t>Victorian community</w:t>
      </w:r>
      <w:r w:rsidRPr="00BF281D">
        <w:t xml:space="preserve">. </w:t>
      </w:r>
    </w:p>
    <w:p w14:paraId="4338BC79" w14:textId="712EC94B" w:rsidR="00224992" w:rsidRDefault="00224992" w:rsidP="00224992">
      <w:pPr>
        <w:pStyle w:val="Heading4"/>
      </w:pPr>
      <w:r w:rsidRPr="001528D0">
        <w:rPr>
          <w:color w:val="012169" w:themeColor="accent4"/>
        </w:rPr>
        <w:t>Costs to government</w:t>
      </w:r>
    </w:p>
    <w:p w14:paraId="37D83E10" w14:textId="3EA443D5" w:rsidR="008D32D1" w:rsidRDefault="008D32D1" w:rsidP="008D32D1">
      <w:r>
        <w:t xml:space="preserve">Under Option 2, the costs to government are </w:t>
      </w:r>
      <w:r w:rsidRPr="00AD3A6D">
        <w:t xml:space="preserve">expected to be lower than </w:t>
      </w:r>
      <w:r w:rsidR="00536FCB">
        <w:t>B</w:t>
      </w:r>
      <w:r w:rsidRPr="00AD3A6D">
        <w:t xml:space="preserve">ase </w:t>
      </w:r>
      <w:r w:rsidR="00536FCB">
        <w:t>C</w:t>
      </w:r>
      <w:r w:rsidRPr="00AD3A6D">
        <w:t>ase</w:t>
      </w:r>
      <w:r w:rsidR="00A276BE">
        <w:t xml:space="preserve">, </w:t>
      </w:r>
      <w:proofErr w:type="gramStart"/>
      <w:r w:rsidR="00A276BE">
        <w:t>Status Quo</w:t>
      </w:r>
      <w:proofErr w:type="gramEnd"/>
      <w:r w:rsidR="00A276BE">
        <w:t xml:space="preserve"> and Option 1</w:t>
      </w:r>
      <w:r>
        <w:t xml:space="preserve">. </w:t>
      </w:r>
      <w:r w:rsidRPr="00AD3A6D">
        <w:t xml:space="preserve">Therefore, Option </w:t>
      </w:r>
      <w:r>
        <w:t>2</w:t>
      </w:r>
      <w:r w:rsidRPr="00AD3A6D">
        <w:t xml:space="preserve"> receives a score of </w:t>
      </w:r>
      <w:r w:rsidR="00A276BE">
        <w:rPr>
          <w:b/>
          <w:bCs/>
        </w:rPr>
        <w:t>4</w:t>
      </w:r>
      <w:r w:rsidR="00A276BE" w:rsidRPr="00AD3A6D">
        <w:t xml:space="preserve"> </w:t>
      </w:r>
      <w:r w:rsidRPr="00AD3A6D">
        <w:t xml:space="preserve">for the cost to </w:t>
      </w:r>
      <w:r>
        <w:t>government</w:t>
      </w:r>
      <w:r w:rsidRPr="00AD3A6D">
        <w:t>.</w:t>
      </w:r>
    </w:p>
    <w:p w14:paraId="24DA8A43" w14:textId="203BEDD5" w:rsidR="00032EDD" w:rsidRDefault="00032EDD" w:rsidP="00032EDD">
      <w:r>
        <w:t>To</w:t>
      </w:r>
      <w:r w:rsidRPr="00BF281D">
        <w:t xml:space="preserve"> the extent that the prescriptive elements of Option 2 are straightforward for ERR or</w:t>
      </w:r>
      <w:r w:rsidR="00D21150">
        <w:t xml:space="preserve"> the</w:t>
      </w:r>
      <w:r w:rsidRPr="00BF281D">
        <w:t xml:space="preserve"> Minister to assess, the resources required to administer Option 2 would be lower than Option 1, where more discretion and discussion with industry may be required. As outlined by the OECD,</w:t>
      </w:r>
      <w:r w:rsidRPr="00817682">
        <w:rPr>
          <w:rStyle w:val="EndnoteReference"/>
        </w:rPr>
        <w:endnoteReference w:id="20"/>
      </w:r>
      <w:r w:rsidRPr="00817682">
        <w:t xml:space="preserve"> there are costs associated with outcomes-based regulations. They can be difficult to develop, as they require measurement or specification of desired outcomes</w:t>
      </w:r>
      <w:r w:rsidR="004C05FC">
        <w:t xml:space="preserve"> or criteria</w:t>
      </w:r>
      <w:r w:rsidRPr="00817682">
        <w:t>, which are not always apparent. The fact that they allow for a range of different compliance str</w:t>
      </w:r>
      <w:r w:rsidRPr="00BF281D">
        <w:t xml:space="preserve">ategies suggests that the verification of compliance </w:t>
      </w:r>
      <w:r w:rsidR="002171FC">
        <w:t>may be</w:t>
      </w:r>
      <w:r w:rsidRPr="00BF281D">
        <w:t xml:space="preserve"> more difficult, and that administrative and monitoring costs may be increased as a result. </w:t>
      </w:r>
      <w:r w:rsidR="008F3F72">
        <w:t xml:space="preserve"> </w:t>
      </w:r>
      <w:r w:rsidR="002171FC">
        <w:t xml:space="preserve">This risk is amplified by the fact that the industry is re-commencing after </w:t>
      </w:r>
      <w:r w:rsidR="00D82DA9">
        <w:t>the moratori</w:t>
      </w:r>
      <w:r w:rsidR="0081752A">
        <w:t>um</w:t>
      </w:r>
      <w:r w:rsidR="00D82DA9">
        <w:t xml:space="preserve">, and the regulator will also be </w:t>
      </w:r>
      <w:r w:rsidR="00AD2F88">
        <w:t xml:space="preserve">ramping </w:t>
      </w:r>
      <w:r w:rsidR="00F73DEF">
        <w:t>up regulatory</w:t>
      </w:r>
      <w:r w:rsidR="00D82DA9">
        <w:t xml:space="preserve"> oversight</w:t>
      </w:r>
      <w:r w:rsidR="00AD2F88">
        <w:t xml:space="preserve"> to meet the increased industry activity</w:t>
      </w:r>
      <w:r w:rsidR="00D82DA9">
        <w:t xml:space="preserve">. </w:t>
      </w:r>
      <w:r w:rsidR="008F3F72">
        <w:t>There may also be additional ‘back and forth’ between applicants and the ERR, increasing the risk of time delay that could be costly to both industry and government.</w:t>
      </w:r>
    </w:p>
    <w:p w14:paraId="4A028BB3" w14:textId="7254CADC" w:rsidR="0090608E" w:rsidRPr="00BF281D" w:rsidRDefault="008D32D1" w:rsidP="00B97214">
      <w:r>
        <w:t xml:space="preserve">Therefore, </w:t>
      </w:r>
      <w:r w:rsidR="0090608E" w:rsidRPr="00817682">
        <w:t xml:space="preserve">we consider that the cost to the Victorian government may be </w:t>
      </w:r>
      <w:r w:rsidR="006346E2">
        <w:t>lower</w:t>
      </w:r>
      <w:r w:rsidR="006346E2" w:rsidRPr="00817682">
        <w:t xml:space="preserve"> </w:t>
      </w:r>
      <w:r w:rsidR="0090608E" w:rsidRPr="00817682">
        <w:t xml:space="preserve">under Option </w:t>
      </w:r>
      <w:r w:rsidR="006346E2">
        <w:t>2</w:t>
      </w:r>
      <w:r>
        <w:t xml:space="preserve"> than </w:t>
      </w:r>
      <w:r w:rsidR="006346E2">
        <w:t xml:space="preserve">the Base Case, </w:t>
      </w:r>
      <w:proofErr w:type="gramStart"/>
      <w:r w:rsidR="006346E2">
        <w:t>Status Quo</w:t>
      </w:r>
      <w:proofErr w:type="gramEnd"/>
      <w:r w:rsidR="006346E2">
        <w:t xml:space="preserve"> and </w:t>
      </w:r>
      <w:r>
        <w:t xml:space="preserve">Option </w:t>
      </w:r>
      <w:r w:rsidR="006346E2">
        <w:t>1</w:t>
      </w:r>
      <w:r w:rsidR="0090608E" w:rsidRPr="00817682">
        <w:t>.</w:t>
      </w:r>
      <w:r w:rsidR="006346E2">
        <w:t xml:space="preserve"> </w:t>
      </w:r>
      <w:r w:rsidR="0090608E" w:rsidRPr="00817682">
        <w:t xml:space="preserve">This is due to the need to consider multiple </w:t>
      </w:r>
      <w:r w:rsidR="0090608E" w:rsidRPr="00BF281D">
        <w:t>and varying compliance strategies (rather than compliance with the specific Code of Practice)</w:t>
      </w:r>
      <w:r w:rsidR="006346E2">
        <w:t xml:space="preserve"> under Option 1</w:t>
      </w:r>
      <w:r w:rsidR="00AB7ECF">
        <w:t xml:space="preserve"> as compared to Option 2</w:t>
      </w:r>
      <w:r w:rsidR="0090608E" w:rsidRPr="00BF281D">
        <w:t>. Further,</w:t>
      </w:r>
      <w:r w:rsidR="0090608E" w:rsidRPr="00BF281D" w:rsidDel="00190B17">
        <w:t xml:space="preserve"> </w:t>
      </w:r>
      <w:r w:rsidR="0090608E" w:rsidRPr="00BF281D">
        <w:t>ERR will be re-building capacity and regulatory oversight, and in bringing in new staff and expertise, it may be less resource intensive (and hence costly), if the regulatory requirements are more detailed rather than objectives based.</w:t>
      </w:r>
    </w:p>
    <w:p w14:paraId="19BE94AF" w14:textId="31A7EF8E" w:rsidR="00380FB8" w:rsidRPr="00BF281D" w:rsidRDefault="00380FB8" w:rsidP="00380FB8"/>
    <w:p w14:paraId="1969B80D" w14:textId="77777777" w:rsidR="00405644" w:rsidRPr="00BF281D" w:rsidRDefault="00405644" w:rsidP="0040427F"/>
    <w:p w14:paraId="129DE55E" w14:textId="77777777" w:rsidR="008C16FB" w:rsidRPr="00BF281D" w:rsidRDefault="008C16FB" w:rsidP="0040427F"/>
    <w:p w14:paraId="6DC6CE98" w14:textId="7E069AF7" w:rsidR="00E21C22" w:rsidRPr="00BF281D" w:rsidRDefault="00E21C22" w:rsidP="00E21C22">
      <w:pPr>
        <w:pStyle w:val="Heading1"/>
      </w:pPr>
      <w:bookmarkStart w:id="156" w:name="_Toc69839588"/>
      <w:bookmarkStart w:id="157" w:name="_Toc67663770"/>
      <w:r w:rsidRPr="00BF281D">
        <w:lastRenderedPageBreak/>
        <w:t>Impact on competition and small business</w:t>
      </w:r>
      <w:bookmarkEnd w:id="156"/>
      <w:bookmarkEnd w:id="157"/>
    </w:p>
    <w:p w14:paraId="19A177A8" w14:textId="42CA5874" w:rsidR="00FA41A8" w:rsidRPr="00BF281D" w:rsidRDefault="00FA41A8" w:rsidP="00FA41A8">
      <w:r w:rsidRPr="00BF281D">
        <w:t xml:space="preserve">This chapter discusses </w:t>
      </w:r>
      <w:bookmarkStart w:id="158" w:name="_Hlk63344361"/>
      <w:r w:rsidR="00427D07" w:rsidRPr="00BF281D">
        <w:t>some of the considerations for</w:t>
      </w:r>
      <w:r w:rsidRPr="00BF281D">
        <w:t xml:space="preserve"> competition and small business</w:t>
      </w:r>
      <w:bookmarkEnd w:id="158"/>
      <w:r w:rsidR="000F4D7C" w:rsidRPr="00817682">
        <w:t>.</w:t>
      </w:r>
    </w:p>
    <w:p w14:paraId="7D150858" w14:textId="62660C66" w:rsidR="00FA41A8" w:rsidRPr="00817682" w:rsidRDefault="00FA41A8" w:rsidP="00FA41A8">
      <w:pPr>
        <w:pStyle w:val="Heading2"/>
      </w:pPr>
      <w:bookmarkStart w:id="159" w:name="_Toc69839589"/>
      <w:bookmarkStart w:id="160" w:name="_Toc67663771"/>
      <w:r w:rsidRPr="001528D0">
        <w:rPr>
          <w:color w:val="012169" w:themeColor="accent4"/>
        </w:rPr>
        <w:t>Competitio</w:t>
      </w:r>
      <w:r w:rsidR="002B40B2" w:rsidRPr="001528D0">
        <w:rPr>
          <w:color w:val="012169" w:themeColor="accent4"/>
        </w:rPr>
        <w:t>n</w:t>
      </w:r>
      <w:bookmarkEnd w:id="159"/>
      <w:bookmarkEnd w:id="160"/>
    </w:p>
    <w:p w14:paraId="2A81C343" w14:textId="1264D391" w:rsidR="00FD3B26" w:rsidRPr="00BF281D" w:rsidRDefault="00BD6B7B" w:rsidP="00FA41A8">
      <w:r w:rsidRPr="00BF281D">
        <w:t xml:space="preserve">As </w:t>
      </w:r>
      <w:r w:rsidR="001743AF" w:rsidRPr="00BF281D">
        <w:t xml:space="preserve">Victoria is </w:t>
      </w:r>
      <w:r w:rsidRPr="00BF281D">
        <w:t xml:space="preserve">a party to the Competition Principles Agreement, </w:t>
      </w:r>
      <w:r w:rsidR="006C5A71" w:rsidRPr="00BF281D">
        <w:t>regulation in Victoria is required</w:t>
      </w:r>
      <w:r w:rsidR="00D27F94" w:rsidRPr="00BF281D">
        <w:t xml:space="preserve"> to include a competition assessment</w:t>
      </w:r>
      <w:r w:rsidR="00764E7A" w:rsidRPr="00817682">
        <w:rPr>
          <w:rStyle w:val="FootnoteReference"/>
        </w:rPr>
        <w:footnoteReference w:id="14"/>
      </w:r>
      <w:r w:rsidR="00D27F94" w:rsidRPr="00817682">
        <w:t>. The Competition Principles Agreement sets out that any new primary or subordinate regulation should not restrict competition except w</w:t>
      </w:r>
      <w:r w:rsidR="00D27F94" w:rsidRPr="00BF281D">
        <w:t>here</w:t>
      </w:r>
      <w:r w:rsidR="00FD3B26" w:rsidRPr="00BF281D">
        <w:t>:</w:t>
      </w:r>
    </w:p>
    <w:p w14:paraId="29ABE81C" w14:textId="65CDEDF6" w:rsidR="007B7153" w:rsidRPr="00BF281D" w:rsidRDefault="0095355C" w:rsidP="00AE11D2">
      <w:pPr>
        <w:pStyle w:val="ListParagraph"/>
        <w:numPr>
          <w:ilvl w:val="0"/>
          <w:numId w:val="30"/>
        </w:numPr>
      </w:pPr>
      <w:r w:rsidRPr="00BF281D">
        <w:t>r</w:t>
      </w:r>
      <w:r w:rsidR="00FD3B26" w:rsidRPr="00BF281D">
        <w:t>estrictio</w:t>
      </w:r>
      <w:r w:rsidR="007B7153" w:rsidRPr="00BF281D">
        <w:t>n of competition is</w:t>
      </w:r>
      <w:r w:rsidR="00DA04EE" w:rsidRPr="00BF281D">
        <w:t xml:space="preserve"> required to meet the government’s objectives</w:t>
      </w:r>
      <w:r w:rsidR="007B7153" w:rsidRPr="00BF281D">
        <w:t>; and</w:t>
      </w:r>
    </w:p>
    <w:p w14:paraId="6CFF09D1" w14:textId="282ED275" w:rsidR="007B7153" w:rsidRPr="00BF281D" w:rsidRDefault="00DA04EE" w:rsidP="00AE11D2">
      <w:pPr>
        <w:pStyle w:val="ListParagraph"/>
        <w:numPr>
          <w:ilvl w:val="0"/>
          <w:numId w:val="30"/>
        </w:numPr>
      </w:pPr>
      <w:r w:rsidRPr="00BF281D">
        <w:t>the benefits of the restriction outweigh the costs</w:t>
      </w:r>
      <w:r w:rsidR="0095355C" w:rsidRPr="00BF281D">
        <w:t>.</w:t>
      </w:r>
    </w:p>
    <w:p w14:paraId="074ABCE7" w14:textId="378F4EC8" w:rsidR="00BD6B7B" w:rsidRPr="00BF281D" w:rsidRDefault="00EC03C0" w:rsidP="007B7153">
      <w:r>
        <w:t>R</w:t>
      </w:r>
      <w:r w:rsidR="00DD7855">
        <w:t>estrictions</w:t>
      </w:r>
      <w:r w:rsidR="00DD7855" w:rsidRPr="00BF281D">
        <w:t xml:space="preserve"> on competition can be identified where</w:t>
      </w:r>
      <w:r w:rsidR="00762416" w:rsidRPr="00BF281D">
        <w:t xml:space="preserve"> there will be changes to the way a market functions due to the implementation of the proposed regulation. </w:t>
      </w:r>
      <w:r w:rsidR="00B54D42" w:rsidRPr="00BF281D">
        <w:t>Specifically, restriction can occur where:</w:t>
      </w:r>
    </w:p>
    <w:p w14:paraId="1502E94B" w14:textId="247C9BA1" w:rsidR="00DD7855" w:rsidRPr="00BF281D" w:rsidRDefault="0095355C" w:rsidP="00AE11D2">
      <w:pPr>
        <w:pStyle w:val="ListParagraph"/>
        <w:numPr>
          <w:ilvl w:val="0"/>
          <w:numId w:val="30"/>
        </w:numPr>
      </w:pPr>
      <w:r w:rsidRPr="00BF281D">
        <w:t>the</w:t>
      </w:r>
      <w:r w:rsidR="005703CD" w:rsidRPr="00BF281D">
        <w:t xml:space="preserve"> number or range of suppliers is limited</w:t>
      </w:r>
    </w:p>
    <w:p w14:paraId="6C7A9045" w14:textId="3AD550A0" w:rsidR="005703CD" w:rsidRPr="00BF281D" w:rsidRDefault="0095355C" w:rsidP="00AE11D2">
      <w:pPr>
        <w:pStyle w:val="ListParagraph"/>
        <w:numPr>
          <w:ilvl w:val="0"/>
          <w:numId w:val="30"/>
        </w:numPr>
      </w:pPr>
      <w:r w:rsidRPr="00BF281D">
        <w:t>the</w:t>
      </w:r>
      <w:r w:rsidR="005703CD" w:rsidRPr="00BF281D">
        <w:t xml:space="preserve"> ability of supplies to compete is limited</w:t>
      </w:r>
    </w:p>
    <w:p w14:paraId="3D4F82F4" w14:textId="114FC721" w:rsidR="005703CD" w:rsidRPr="00BF281D" w:rsidRDefault="0095355C" w:rsidP="00AE11D2">
      <w:pPr>
        <w:pStyle w:val="ListParagraph"/>
        <w:numPr>
          <w:ilvl w:val="0"/>
          <w:numId w:val="30"/>
        </w:numPr>
      </w:pPr>
      <w:r w:rsidRPr="00BF281D">
        <w:t>the</w:t>
      </w:r>
      <w:r w:rsidR="005703CD" w:rsidRPr="00BF281D">
        <w:t xml:space="preserve"> incentive of suppliers to compete vigorously is reduced</w:t>
      </w:r>
      <w:r w:rsidRPr="00BF281D">
        <w:t>.</w:t>
      </w:r>
    </w:p>
    <w:p w14:paraId="741022A8" w14:textId="39578F24" w:rsidR="00BE32A2" w:rsidRPr="00BF281D" w:rsidRDefault="0064056C" w:rsidP="00FA41A8">
      <w:r w:rsidRPr="00BF281D">
        <w:t xml:space="preserve">Any affirmative answers to the following questions </w:t>
      </w:r>
      <w:r w:rsidR="00E22620" w:rsidRPr="00BF281D">
        <w:t>indicate that the regulation is considered to restrict competition</w:t>
      </w:r>
      <w:r w:rsidR="00FC2D61" w:rsidRPr="00BF281D">
        <w:t>:</w:t>
      </w:r>
    </w:p>
    <w:p w14:paraId="23CFFCBA" w14:textId="72A41F15" w:rsidR="00CC2222" w:rsidRDefault="00CC2222" w:rsidP="00012DD6">
      <w:pPr>
        <w:pStyle w:val="CaptionTable"/>
      </w:pPr>
      <w:bookmarkStart w:id="161" w:name="_Ref67576452"/>
      <w:bookmarkStart w:id="162" w:name="_Toc68799772"/>
      <w:bookmarkStart w:id="163" w:name="_Toc67663782"/>
      <w:r w:rsidRPr="001528D0">
        <w:rPr>
          <w:color w:val="auto"/>
        </w:rPr>
        <w:t xml:space="preserve">: Competition assessment </w:t>
      </w:r>
      <w:r w:rsidR="00D201B2" w:rsidRPr="001528D0">
        <w:rPr>
          <w:color w:val="auto"/>
        </w:rPr>
        <w:t>questions</w:t>
      </w:r>
      <w:bookmarkEnd w:id="161"/>
      <w:bookmarkEnd w:id="162"/>
      <w:bookmarkEnd w:id="163"/>
    </w:p>
    <w:tbl>
      <w:tblPr>
        <w:tblStyle w:val="Deloittetable"/>
        <w:tblW w:w="0" w:type="auto"/>
        <w:tblLook w:val="04A0" w:firstRow="1" w:lastRow="0" w:firstColumn="1" w:lastColumn="0" w:noHBand="0" w:noVBand="1"/>
      </w:tblPr>
      <w:tblGrid>
        <w:gridCol w:w="3402"/>
        <w:gridCol w:w="2268"/>
        <w:gridCol w:w="3828"/>
      </w:tblGrid>
      <w:tr w:rsidR="005E7198" w14:paraId="2C3FA21C" w14:textId="77777777" w:rsidTr="00012DD6">
        <w:trPr>
          <w:cnfStyle w:val="100000000000" w:firstRow="1" w:lastRow="0" w:firstColumn="0" w:lastColumn="0" w:oddVBand="0" w:evenVBand="0" w:oddHBand="0" w:evenHBand="0" w:firstRowFirstColumn="0" w:firstRowLastColumn="0" w:lastRowFirstColumn="0" w:lastRowLastColumn="0"/>
          <w:tblHeader/>
        </w:trPr>
        <w:tc>
          <w:tcPr>
            <w:tcW w:w="3402" w:type="dxa"/>
          </w:tcPr>
          <w:p w14:paraId="5418BBB3" w14:textId="3BC9D55C" w:rsidR="005E7198" w:rsidRDefault="005E7198" w:rsidP="00FA41A8">
            <w:r>
              <w:t>Test question</w:t>
            </w:r>
          </w:p>
        </w:tc>
        <w:tc>
          <w:tcPr>
            <w:tcW w:w="2268" w:type="dxa"/>
          </w:tcPr>
          <w:p w14:paraId="53E5A6E1" w14:textId="30F0B2BD" w:rsidR="005E7198" w:rsidRDefault="000A4311" w:rsidP="00FA41A8">
            <w:r>
              <w:t>Answer</w:t>
            </w:r>
          </w:p>
        </w:tc>
        <w:tc>
          <w:tcPr>
            <w:tcW w:w="3828" w:type="dxa"/>
          </w:tcPr>
          <w:p w14:paraId="2C3FF250" w14:textId="21A0484F" w:rsidR="005E7198" w:rsidRDefault="000A4311" w:rsidP="00FA41A8">
            <w:r>
              <w:t>Explanation</w:t>
            </w:r>
          </w:p>
        </w:tc>
      </w:tr>
      <w:tr w:rsidR="005E7198" w14:paraId="7B23F7A1" w14:textId="77777777" w:rsidTr="00012DD6">
        <w:tc>
          <w:tcPr>
            <w:tcW w:w="3402" w:type="dxa"/>
          </w:tcPr>
          <w:p w14:paraId="2F0CEC13" w14:textId="4CCD5537" w:rsidR="00065806" w:rsidRPr="00065806" w:rsidRDefault="00065806" w:rsidP="00065806">
            <w:pPr>
              <w:ind w:left="0"/>
            </w:pPr>
            <w:r>
              <w:t>I</w:t>
            </w:r>
            <w:r w:rsidRPr="00065806">
              <w:t xml:space="preserve">s the proposed measure likely to limit the numbers of producers or suppliers </w:t>
            </w:r>
            <w:proofErr w:type="gramStart"/>
            <w:r w:rsidRPr="00065806">
              <w:t>to:</w:t>
            </w:r>
            <w:proofErr w:type="gramEnd"/>
          </w:p>
          <w:p w14:paraId="1DC9532C" w14:textId="77777777" w:rsidR="00065806" w:rsidRPr="00065806" w:rsidRDefault="00065806" w:rsidP="00065806">
            <w:pPr>
              <w:pStyle w:val="ListParagraph"/>
              <w:numPr>
                <w:ilvl w:val="0"/>
                <w:numId w:val="77"/>
              </w:numPr>
            </w:pPr>
            <w:r w:rsidRPr="00065806">
              <w:t>only one producer?</w:t>
            </w:r>
          </w:p>
          <w:p w14:paraId="4F887049" w14:textId="77777777" w:rsidR="00065806" w:rsidRPr="00065806" w:rsidRDefault="00065806" w:rsidP="00065806">
            <w:pPr>
              <w:pStyle w:val="ListParagraph"/>
              <w:numPr>
                <w:ilvl w:val="0"/>
                <w:numId w:val="77"/>
              </w:numPr>
            </w:pPr>
            <w:r w:rsidRPr="00065806">
              <w:t>only one buyer?</w:t>
            </w:r>
          </w:p>
          <w:p w14:paraId="203AC4BF" w14:textId="75244051" w:rsidR="005E7198" w:rsidRDefault="00065806" w:rsidP="00065806">
            <w:pPr>
              <w:pStyle w:val="ListParagraph"/>
              <w:numPr>
                <w:ilvl w:val="0"/>
                <w:numId w:val="77"/>
              </w:numPr>
            </w:pPr>
            <w:r w:rsidRPr="00065806">
              <w:t>less than four producers?</w:t>
            </w:r>
          </w:p>
        </w:tc>
        <w:tc>
          <w:tcPr>
            <w:tcW w:w="2268" w:type="dxa"/>
          </w:tcPr>
          <w:p w14:paraId="099A8C30" w14:textId="551E77B9" w:rsidR="005E7198" w:rsidRDefault="00E5196C" w:rsidP="00FA41A8">
            <w:r>
              <w:t>No.</w:t>
            </w:r>
          </w:p>
        </w:tc>
        <w:tc>
          <w:tcPr>
            <w:tcW w:w="3828" w:type="dxa"/>
          </w:tcPr>
          <w:p w14:paraId="0900B4C7" w14:textId="09AE10A5" w:rsidR="005E7198" w:rsidRDefault="004D6616" w:rsidP="00FA41A8">
            <w:r>
              <w:t xml:space="preserve">There are more than four petroleum producers in Victoria, </w:t>
            </w:r>
            <w:r w:rsidR="008A4920">
              <w:t xml:space="preserve">and </w:t>
            </w:r>
            <w:r w:rsidR="00437A02">
              <w:t xml:space="preserve">the </w:t>
            </w:r>
            <w:r w:rsidR="009B2B24">
              <w:t>preferred</w:t>
            </w:r>
            <w:r w:rsidR="00227820">
              <w:t xml:space="preserve"> </w:t>
            </w:r>
            <w:r w:rsidR="000847B4">
              <w:t>o</w:t>
            </w:r>
            <w:r w:rsidR="00437A02">
              <w:t>ption</w:t>
            </w:r>
            <w:r w:rsidR="00227820">
              <w:t xml:space="preserve"> </w:t>
            </w:r>
            <w:r w:rsidR="00437A02">
              <w:t xml:space="preserve">does </w:t>
            </w:r>
            <w:r w:rsidR="00C00489">
              <w:t>place any restrictions on the number of producers or suppliers.</w:t>
            </w:r>
          </w:p>
        </w:tc>
      </w:tr>
      <w:tr w:rsidR="005E7198" w14:paraId="675678D5" w14:textId="77777777" w:rsidTr="00012DD6">
        <w:tc>
          <w:tcPr>
            <w:tcW w:w="3402" w:type="dxa"/>
          </w:tcPr>
          <w:p w14:paraId="2DDFC450" w14:textId="2DA4A773" w:rsidR="005E7198" w:rsidRDefault="00082F05" w:rsidP="00082F05">
            <w:pPr>
              <w:ind w:left="0"/>
            </w:pPr>
            <w:r>
              <w:t>W</w:t>
            </w:r>
            <w:r w:rsidRPr="00082F05">
              <w:t xml:space="preserve">ould the proposed measure restrict the ability of businesses to choose their output, </w:t>
            </w:r>
            <w:proofErr w:type="gramStart"/>
            <w:r w:rsidRPr="00082F05">
              <w:t>price</w:t>
            </w:r>
            <w:proofErr w:type="gramEnd"/>
            <w:r w:rsidRPr="00082F05">
              <w:t xml:space="preserve"> or service quality?</w:t>
            </w:r>
          </w:p>
        </w:tc>
        <w:tc>
          <w:tcPr>
            <w:tcW w:w="2268" w:type="dxa"/>
          </w:tcPr>
          <w:p w14:paraId="7C7B0F65" w14:textId="4047143F" w:rsidR="005E7198" w:rsidRDefault="008036E8" w:rsidP="00FA41A8">
            <w:r>
              <w:t xml:space="preserve">No. </w:t>
            </w:r>
          </w:p>
        </w:tc>
        <w:tc>
          <w:tcPr>
            <w:tcW w:w="3828" w:type="dxa"/>
          </w:tcPr>
          <w:p w14:paraId="180A89D5" w14:textId="5F9A22C5" w:rsidR="005E7198" w:rsidRDefault="000847B4" w:rsidP="00FA41A8">
            <w:r>
              <w:t>T</w:t>
            </w:r>
            <w:r w:rsidR="009320B7">
              <w:t xml:space="preserve">he petroleum industry </w:t>
            </w:r>
            <w:r w:rsidR="003A6C15">
              <w:t>is sufficiently competitive</w:t>
            </w:r>
            <w:r w:rsidR="00316F13">
              <w:t xml:space="preserve">, </w:t>
            </w:r>
            <w:r>
              <w:t xml:space="preserve">and the preferred option is unlikely to change this. </w:t>
            </w:r>
            <w:r w:rsidR="000F75A2">
              <w:t xml:space="preserve">There are no provisions in the preferred option that restrict </w:t>
            </w:r>
            <w:r w:rsidR="00495DE9">
              <w:t xml:space="preserve">the ability to choose output, </w:t>
            </w:r>
            <w:proofErr w:type="gramStart"/>
            <w:r w:rsidR="00495DE9">
              <w:t>price</w:t>
            </w:r>
            <w:proofErr w:type="gramEnd"/>
            <w:r w:rsidR="00495DE9">
              <w:t xml:space="preserve"> or service quality. </w:t>
            </w:r>
          </w:p>
        </w:tc>
      </w:tr>
      <w:tr w:rsidR="005E7198" w14:paraId="70D760AD" w14:textId="77777777" w:rsidTr="00012DD6">
        <w:tc>
          <w:tcPr>
            <w:tcW w:w="3402" w:type="dxa"/>
          </w:tcPr>
          <w:p w14:paraId="353BDA6E" w14:textId="29DD247B" w:rsidR="00082F05" w:rsidRPr="00082F05" w:rsidRDefault="00082F05" w:rsidP="00082F05">
            <w:pPr>
              <w:ind w:left="0"/>
            </w:pPr>
            <w:r>
              <w:t>W</w:t>
            </w:r>
            <w:r w:rsidRPr="00082F05">
              <w:t xml:space="preserve">ould the proposed measure discourage entry into the industry by new firms/individuals or encourage exit from existing providers? </w:t>
            </w:r>
          </w:p>
          <w:p w14:paraId="7B667604" w14:textId="3C083095" w:rsidR="005E7198" w:rsidRDefault="00082F05" w:rsidP="00082F05">
            <w:pPr>
              <w:ind w:left="0"/>
            </w:pPr>
            <w:r>
              <w:t>W</w:t>
            </w:r>
            <w:r w:rsidRPr="00082F05">
              <w:t xml:space="preserve">ould the proposed measure impose higher costs on a particular class or </w:t>
            </w:r>
            <w:r w:rsidRPr="00082F05">
              <w:lastRenderedPageBreak/>
              <w:t>business or type of service (</w:t>
            </w:r>
            <w:proofErr w:type="gramStart"/>
            <w:r w:rsidRPr="00082F05">
              <w:t>e.g.</w:t>
            </w:r>
            <w:proofErr w:type="gramEnd"/>
            <w:r w:rsidRPr="00082F05">
              <w:t xml:space="preserve"> small business)?</w:t>
            </w:r>
          </w:p>
        </w:tc>
        <w:tc>
          <w:tcPr>
            <w:tcW w:w="2268" w:type="dxa"/>
          </w:tcPr>
          <w:p w14:paraId="24CA7436" w14:textId="28F27F46" w:rsidR="005E7198" w:rsidRDefault="00024655" w:rsidP="00FA41A8">
            <w:r>
              <w:lastRenderedPageBreak/>
              <w:t xml:space="preserve">Yes. </w:t>
            </w:r>
          </w:p>
        </w:tc>
        <w:tc>
          <w:tcPr>
            <w:tcW w:w="3828" w:type="dxa"/>
          </w:tcPr>
          <w:p w14:paraId="05D8FFBB" w14:textId="7535E098" w:rsidR="005E7198" w:rsidRDefault="00403462" w:rsidP="00FA41A8">
            <w:r>
              <w:t xml:space="preserve">The preferred option may </w:t>
            </w:r>
            <w:r w:rsidR="00576F62">
              <w:t xml:space="preserve">present a small barrier to </w:t>
            </w:r>
            <w:r w:rsidR="00511A95">
              <w:t xml:space="preserve">new entrants </w:t>
            </w:r>
            <w:r w:rsidR="007B7F95">
              <w:t xml:space="preserve">and small business due to its prescriptiveness. </w:t>
            </w:r>
            <w:r w:rsidR="002609D4">
              <w:t>Our assessment suggests that it is easier for larger, mor</w:t>
            </w:r>
            <w:r w:rsidR="00335E88">
              <w:t>e</w:t>
            </w:r>
            <w:r w:rsidR="002609D4">
              <w:t xml:space="preserve"> established businesses to meet </w:t>
            </w:r>
            <w:r w:rsidR="001F50F4">
              <w:t xml:space="preserve">the requirements of the new regulations, but this is unlikely to have a </w:t>
            </w:r>
            <w:r w:rsidR="001F50F4">
              <w:lastRenderedPageBreak/>
              <w:t xml:space="preserve">significant impact on the level of competition </w:t>
            </w:r>
            <w:r w:rsidR="007A040A">
              <w:t xml:space="preserve">in the industry because </w:t>
            </w:r>
            <w:r w:rsidR="009C5BE5">
              <w:t xml:space="preserve">there are several </w:t>
            </w:r>
            <w:r w:rsidR="002D0737">
              <w:t xml:space="preserve">established players. </w:t>
            </w:r>
          </w:p>
        </w:tc>
      </w:tr>
      <w:tr w:rsidR="005E7198" w14:paraId="680B5D7E" w14:textId="77777777" w:rsidTr="00012DD6">
        <w:tc>
          <w:tcPr>
            <w:tcW w:w="3402" w:type="dxa"/>
          </w:tcPr>
          <w:p w14:paraId="11A4D273" w14:textId="5A9EC6D7" w:rsidR="005E7198" w:rsidRDefault="00082F05" w:rsidP="00082F05">
            <w:pPr>
              <w:ind w:left="0"/>
            </w:pPr>
            <w:r>
              <w:lastRenderedPageBreak/>
              <w:t>I</w:t>
            </w:r>
            <w:r w:rsidRPr="00082F05">
              <w:t>s the proposed measure likely to make it more difficult for consumers to move between or leave service providers?</w:t>
            </w:r>
          </w:p>
        </w:tc>
        <w:tc>
          <w:tcPr>
            <w:tcW w:w="2268" w:type="dxa"/>
          </w:tcPr>
          <w:p w14:paraId="7B2A3428" w14:textId="1C5240D8" w:rsidR="005E7198" w:rsidRDefault="008A1DE6" w:rsidP="00FA41A8">
            <w:r>
              <w:t>No.</w:t>
            </w:r>
          </w:p>
        </w:tc>
        <w:tc>
          <w:tcPr>
            <w:tcW w:w="3828" w:type="dxa"/>
          </w:tcPr>
          <w:p w14:paraId="1D1FCD15" w14:textId="431C9613" w:rsidR="005E7198" w:rsidRDefault="008A1DE6" w:rsidP="00FA41A8">
            <w:r>
              <w:t xml:space="preserve">Consumers purchase from retailers, not producers, and the </w:t>
            </w:r>
            <w:r w:rsidR="00AD7F6D">
              <w:t>retailer industry is unlikely to be affected by these regulations.</w:t>
            </w:r>
            <w:r>
              <w:t xml:space="preserve"> </w:t>
            </w:r>
          </w:p>
        </w:tc>
      </w:tr>
      <w:tr w:rsidR="00082F05" w14:paraId="5ED17855" w14:textId="77777777" w:rsidTr="00012DD6">
        <w:tc>
          <w:tcPr>
            <w:tcW w:w="3402" w:type="dxa"/>
          </w:tcPr>
          <w:p w14:paraId="4882B23D" w14:textId="462C4C88" w:rsidR="00082F05" w:rsidRDefault="00082F05" w:rsidP="00082F05">
            <w:pPr>
              <w:ind w:left="0"/>
            </w:pPr>
            <w:r>
              <w:t>W</w:t>
            </w:r>
            <w:r w:rsidRPr="00082F05">
              <w:t>ould the proposed measure affect the ability of businesses to innovate, adopt new technology or respond to the changing demands of consumers?</w:t>
            </w:r>
          </w:p>
        </w:tc>
        <w:tc>
          <w:tcPr>
            <w:tcW w:w="2268" w:type="dxa"/>
          </w:tcPr>
          <w:p w14:paraId="58FCB1F7" w14:textId="47883891" w:rsidR="00082F05" w:rsidRDefault="003F4E59" w:rsidP="00FA41A8">
            <w:r>
              <w:t xml:space="preserve">Yes. </w:t>
            </w:r>
          </w:p>
        </w:tc>
        <w:tc>
          <w:tcPr>
            <w:tcW w:w="3828" w:type="dxa"/>
          </w:tcPr>
          <w:p w14:paraId="71442878" w14:textId="3734C445" w:rsidR="00082F05" w:rsidRDefault="003F4E59" w:rsidP="00FA41A8">
            <w:r>
              <w:t xml:space="preserve">Some of the prescriptive </w:t>
            </w:r>
            <w:r w:rsidR="005026B4">
              <w:t>elements of the regulations</w:t>
            </w:r>
            <w:r>
              <w:t xml:space="preserve"> may limit the ability of producers to </w:t>
            </w:r>
            <w:r w:rsidR="00D42EF2">
              <w:t xml:space="preserve">meet </w:t>
            </w:r>
            <w:r w:rsidR="005026B4">
              <w:t xml:space="preserve">the requirements </w:t>
            </w:r>
            <w:r w:rsidR="00460AA0">
              <w:t xml:space="preserve">in an innovative </w:t>
            </w:r>
            <w:r w:rsidR="00AE318F">
              <w:t xml:space="preserve">way that is more efficient. </w:t>
            </w:r>
            <w:r w:rsidR="00D953A9">
              <w:t>However</w:t>
            </w:r>
            <w:r w:rsidR="00767FFE">
              <w:t>,</w:t>
            </w:r>
            <w:r w:rsidR="00D953A9">
              <w:t xml:space="preserve"> </w:t>
            </w:r>
            <w:r w:rsidR="003660AA">
              <w:t xml:space="preserve">our assessment is that </w:t>
            </w:r>
            <w:r w:rsidR="00C74C85">
              <w:t xml:space="preserve">this is unlikely to </w:t>
            </w:r>
            <w:r w:rsidR="009C5BE5">
              <w:t>reduce</w:t>
            </w:r>
            <w:r w:rsidR="00C74C85">
              <w:t xml:space="preserve"> competition in the sector, </w:t>
            </w:r>
            <w:r w:rsidR="00674075">
              <w:t xml:space="preserve">and consumers </w:t>
            </w:r>
            <w:r w:rsidR="000A2BCA">
              <w:t xml:space="preserve">will not be impacted because the </w:t>
            </w:r>
            <w:proofErr w:type="gramStart"/>
            <w:r w:rsidR="000A2BCA">
              <w:t>end product</w:t>
            </w:r>
            <w:proofErr w:type="gramEnd"/>
            <w:r w:rsidR="000A2BCA">
              <w:t xml:space="preserve"> </w:t>
            </w:r>
            <w:r w:rsidR="003A6C15">
              <w:t>is homogenous.</w:t>
            </w:r>
            <w:r w:rsidR="000A2BCA">
              <w:t xml:space="preserve"> </w:t>
            </w:r>
          </w:p>
        </w:tc>
      </w:tr>
    </w:tbl>
    <w:p w14:paraId="6552C254" w14:textId="77777777" w:rsidR="005E7198" w:rsidRDefault="005E7198" w:rsidP="00FA41A8"/>
    <w:p w14:paraId="0F254AEB" w14:textId="60ECB229" w:rsidR="00600312" w:rsidRPr="00BF281D" w:rsidRDefault="00EC03C0" w:rsidP="00FA41A8">
      <w:r>
        <w:t>I</w:t>
      </w:r>
      <w:r w:rsidR="00F019BB">
        <w:t>t</w:t>
      </w:r>
      <w:r w:rsidR="00F019BB" w:rsidRPr="00BF281D">
        <w:t xml:space="preserve"> is necessary to articulate the objective that is achieved through restriction of competition in the </w:t>
      </w:r>
      <w:r w:rsidR="00540246" w:rsidRPr="00BF281D">
        <w:t>regulation and</w:t>
      </w:r>
      <w:r w:rsidR="00F019BB" w:rsidRPr="00BF281D">
        <w:t xml:space="preserve"> assess other reasonable means of achieving the objectives without competition restriction. </w:t>
      </w:r>
      <w:r w:rsidR="00A24693" w:rsidRPr="00BF281D">
        <w:t xml:space="preserve">Demonstration of a specific link is required to sufficiently </w:t>
      </w:r>
      <w:r w:rsidR="00540246" w:rsidRPr="00BF281D">
        <w:t xml:space="preserve">meet the competition assessment requirements. </w:t>
      </w:r>
    </w:p>
    <w:p w14:paraId="636FD9CA" w14:textId="58B8CCD4" w:rsidR="0079629F" w:rsidRPr="0079629F" w:rsidRDefault="00CC2222" w:rsidP="0079629F">
      <w:r>
        <w:t xml:space="preserve">As shown </w:t>
      </w:r>
      <w:r w:rsidR="00D201B2">
        <w:t xml:space="preserve">in </w:t>
      </w:r>
      <w:r w:rsidR="00D201B2">
        <w:fldChar w:fldCharType="begin"/>
      </w:r>
      <w:r w:rsidR="00D201B2">
        <w:instrText xml:space="preserve"> REF _Ref67576452 \r \h </w:instrText>
      </w:r>
      <w:r w:rsidR="00D201B2">
        <w:fldChar w:fldCharType="separate"/>
      </w:r>
      <w:r w:rsidR="009B3538">
        <w:t>Table 5.1</w:t>
      </w:r>
      <w:r w:rsidR="00D201B2">
        <w:fldChar w:fldCharType="end"/>
      </w:r>
      <w:r w:rsidR="00D201B2">
        <w:t xml:space="preserve">, there will be some impacts to competition and innovation </w:t>
      </w:r>
      <w:proofErr w:type="gramStart"/>
      <w:r w:rsidR="00D201B2">
        <w:t>as a result of</w:t>
      </w:r>
      <w:proofErr w:type="gramEnd"/>
      <w:r w:rsidR="00D201B2">
        <w:t xml:space="preserve"> the new regulations, </w:t>
      </w:r>
      <w:r w:rsidR="00AC06C1">
        <w:t>but these impacts are likely to be minimal</w:t>
      </w:r>
      <w:r w:rsidR="0053331D">
        <w:t xml:space="preserve"> based on the current state of the industry and feedback from stakeholders. </w:t>
      </w:r>
      <w:r w:rsidR="007C2DF0">
        <w:t>Other options, including a non-regulatory approach, are unlikely to achieve the objectives of</w:t>
      </w:r>
      <w:r w:rsidR="00E308A3">
        <w:t xml:space="preserve"> the regulation with a smaller impact on competition. </w:t>
      </w:r>
    </w:p>
    <w:p w14:paraId="516EF4EB" w14:textId="77777777" w:rsidR="00073C18" w:rsidRDefault="00204244" w:rsidP="00FA41A8">
      <w:r>
        <w:t>The ACCC has for some time noted</w:t>
      </w:r>
      <w:r w:rsidR="006E0197">
        <w:rPr>
          <w:rStyle w:val="FootnoteReference"/>
        </w:rPr>
        <w:footnoteReference w:id="15"/>
      </w:r>
      <w:r>
        <w:t xml:space="preserve"> that more </w:t>
      </w:r>
      <w:r w:rsidR="00F8219F">
        <w:t xml:space="preserve">competition is needed </w:t>
      </w:r>
      <w:r w:rsidR="001B631C">
        <w:t xml:space="preserve">to secure fairer </w:t>
      </w:r>
      <w:r w:rsidR="006727FC">
        <w:t>retai</w:t>
      </w:r>
      <w:r w:rsidR="001B631C">
        <w:t xml:space="preserve">l gas prices. </w:t>
      </w:r>
      <w:r w:rsidR="006727FC">
        <w:t>According to the ACCC’s ‘Overcoming Gas Affordability Issues</w:t>
      </w:r>
      <w:r w:rsidR="004F47B2">
        <w:t xml:space="preserve">’ inquiry, allocating new domestic sources of supply and infrastructure are some of the factors that need to be addressed </w:t>
      </w:r>
      <w:proofErr w:type="gramStart"/>
      <w:r w:rsidR="004F47B2">
        <w:t>in order to</w:t>
      </w:r>
      <w:proofErr w:type="gramEnd"/>
      <w:r w:rsidR="004F47B2">
        <w:t xml:space="preserve"> </w:t>
      </w:r>
      <w:r w:rsidR="002B091C">
        <w:t>avoid</w:t>
      </w:r>
      <w:r w:rsidR="00E73F5C">
        <w:t xml:space="preserve"> the projected east coast shortfall and bring down prices</w:t>
      </w:r>
      <w:r w:rsidR="007725DC">
        <w:t xml:space="preserve">. </w:t>
      </w:r>
      <w:r w:rsidR="002B091C">
        <w:t>A lack of competition at the producer level has also been identified as contributing to high</w:t>
      </w:r>
      <w:r w:rsidR="00073C18">
        <w:t xml:space="preserve"> prices for industrial and commercial users. </w:t>
      </w:r>
    </w:p>
    <w:p w14:paraId="49291B03" w14:textId="60F4BB8F" w:rsidR="009C6B13" w:rsidRPr="00BF281D" w:rsidRDefault="00A2674E" w:rsidP="00FA41A8">
      <w:r>
        <w:t xml:space="preserve">As Option 2 receives the highest score for </w:t>
      </w:r>
      <w:r w:rsidR="002B091C" w:rsidRPr="002B091C">
        <w:rPr>
          <w:i/>
          <w:iCs/>
        </w:rPr>
        <w:t>encouraging petroleum development</w:t>
      </w:r>
      <w:r>
        <w:t xml:space="preserve"> in the MCA</w:t>
      </w:r>
      <w:r w:rsidR="00546BA8">
        <w:t xml:space="preserve">, it is most likely to increase competition and </w:t>
      </w:r>
      <w:r w:rsidR="004635C6">
        <w:t xml:space="preserve">reduce </w:t>
      </w:r>
      <w:r w:rsidR="00546BA8">
        <w:t xml:space="preserve">prices in the Victorian petroleum market. </w:t>
      </w:r>
      <w:r w:rsidR="00316C76">
        <w:t>If the regulations encourage new sources of productions, gas retailers will have more producers to buy from, increasing competition</w:t>
      </w:r>
      <w:r w:rsidR="00F55EBF">
        <w:t xml:space="preserve"> at the wholesale level. Lower wholesale prices will then flow through to lower retail prices for consumers. </w:t>
      </w:r>
    </w:p>
    <w:p w14:paraId="5BCC3015" w14:textId="11EE58D4" w:rsidR="00100C2D" w:rsidRPr="00817682" w:rsidRDefault="00B166C5" w:rsidP="00B166C5">
      <w:pPr>
        <w:pStyle w:val="Heading2"/>
        <w:numPr>
          <w:ilvl w:val="1"/>
          <w:numId w:val="1"/>
        </w:numPr>
        <w:spacing w:before="0" w:line="240" w:lineRule="atLeast"/>
      </w:pPr>
      <w:bookmarkStart w:id="164" w:name="_Toc23952875"/>
      <w:bookmarkStart w:id="165" w:name="_Toc69839590"/>
      <w:bookmarkStart w:id="166" w:name="_Toc67663772"/>
      <w:r w:rsidRPr="001528D0">
        <w:rPr>
          <w:color w:val="012169" w:themeColor="accent4"/>
        </w:rPr>
        <w:t>Small business impacts</w:t>
      </w:r>
      <w:bookmarkEnd w:id="164"/>
      <w:bookmarkEnd w:id="165"/>
      <w:bookmarkEnd w:id="166"/>
    </w:p>
    <w:p w14:paraId="241061DF" w14:textId="1B4C7FAA" w:rsidR="005C1CCF" w:rsidRPr="00BF281D" w:rsidRDefault="005B1C9C" w:rsidP="00B166C5">
      <w:r w:rsidRPr="00BF281D">
        <w:t>T</w:t>
      </w:r>
      <w:r w:rsidR="008E016E" w:rsidRPr="00BF281D">
        <w:t xml:space="preserve">o ensure the impacts of regulation on small business are examined appropriately, </w:t>
      </w:r>
      <w:r w:rsidR="00464A8A" w:rsidRPr="00BF281D">
        <w:t>an assessment of the</w:t>
      </w:r>
      <w:r w:rsidRPr="00BF281D">
        <w:t xml:space="preserve"> </w:t>
      </w:r>
      <w:r w:rsidR="001367A2" w:rsidRPr="00BF281D">
        <w:t>effect</w:t>
      </w:r>
      <w:r w:rsidR="00464A8A" w:rsidRPr="00BF281D">
        <w:t>s</w:t>
      </w:r>
      <w:r w:rsidR="001367A2" w:rsidRPr="00BF281D">
        <w:t xml:space="preserve"> </w:t>
      </w:r>
      <w:r w:rsidRPr="00BF281D">
        <w:t xml:space="preserve">on small business </w:t>
      </w:r>
      <w:r w:rsidR="00BD6B7B" w:rsidRPr="00BF281D">
        <w:t xml:space="preserve">is highly desirable in a </w:t>
      </w:r>
      <w:r w:rsidR="00FC0CC5" w:rsidRPr="00BF281D">
        <w:t xml:space="preserve">RIS. </w:t>
      </w:r>
      <w:r w:rsidR="00272E88" w:rsidRPr="00BF281D">
        <w:t xml:space="preserve">This small business impact assessment fulfils the purpose to ensure that regulation does not </w:t>
      </w:r>
      <w:r w:rsidR="00651441" w:rsidRPr="00BF281D">
        <w:t xml:space="preserve">impact </w:t>
      </w:r>
      <w:r w:rsidR="00E23630" w:rsidRPr="00BF281D">
        <w:t xml:space="preserve">business growth and productivity unreasonably, especially that of small businesses. </w:t>
      </w:r>
      <w:r w:rsidR="00153BD3" w:rsidRPr="00BF281D">
        <w:t xml:space="preserve"> </w:t>
      </w:r>
    </w:p>
    <w:p w14:paraId="638ECDCF" w14:textId="37D1CFD8" w:rsidR="00CD5942" w:rsidRPr="00BF281D" w:rsidRDefault="000F7D6B" w:rsidP="00CD5942">
      <w:r w:rsidRPr="00BF281D">
        <w:t xml:space="preserve">Small businesses can experience disproportionate impacts from regulation due to limited resources for </w:t>
      </w:r>
      <w:r w:rsidR="006E5134" w:rsidRPr="00BF281D">
        <w:t xml:space="preserve">interpretation of updates in compliance requirements, and the cumulation of different requirements. </w:t>
      </w:r>
      <w:r w:rsidR="00AA660F" w:rsidRPr="00BF281D">
        <w:t xml:space="preserve">The lack of economies of scale may affect </w:t>
      </w:r>
      <w:r w:rsidR="00FF5EF8" w:rsidRPr="00BF281D">
        <w:t>these businesses’ ability to comply with different options.</w:t>
      </w:r>
    </w:p>
    <w:p w14:paraId="423BA468" w14:textId="0DEA0520" w:rsidR="00F46046" w:rsidRPr="00BF281D" w:rsidRDefault="00B720BF" w:rsidP="00B166C5">
      <w:r w:rsidRPr="00BF281D">
        <w:lastRenderedPageBreak/>
        <w:t xml:space="preserve">The nature of the petroleum sector </w:t>
      </w:r>
      <w:r w:rsidR="00240B43" w:rsidRPr="00BF281D">
        <w:t>hinders small business participation</w:t>
      </w:r>
      <w:r w:rsidR="006C53A8" w:rsidRPr="00BF281D">
        <w:t xml:space="preserve"> because of the</w:t>
      </w:r>
      <w:r w:rsidRPr="00BF281D">
        <w:t xml:space="preserve"> high capital costs of entry and </w:t>
      </w:r>
      <w:r w:rsidR="00B93AFF" w:rsidRPr="00BF281D">
        <w:t>significant operating</w:t>
      </w:r>
      <w:r w:rsidR="00715FA6" w:rsidRPr="00BF281D">
        <w:t>.</w:t>
      </w:r>
      <w:r w:rsidR="00A01737" w:rsidRPr="00BF281D">
        <w:t xml:space="preserve"> </w:t>
      </w:r>
      <w:r w:rsidR="005009FD" w:rsidRPr="00BF281D">
        <w:t xml:space="preserve">Many companies that operate in the sector are vertically integrated, where exploration is treated as an expense completed at cost without immediate profit. </w:t>
      </w:r>
      <w:r w:rsidR="007B77D6" w:rsidRPr="00BF281D">
        <w:t xml:space="preserve">The </w:t>
      </w:r>
      <w:r w:rsidR="00EE382F" w:rsidRPr="00BF281D">
        <w:t xml:space="preserve">inability for small business </w:t>
      </w:r>
      <w:r w:rsidR="007B77D6" w:rsidRPr="00BF281D">
        <w:t xml:space="preserve">to achieve vertical integration, economies of scale and participate in joint ventures contributes to the </w:t>
      </w:r>
      <w:r w:rsidR="005009FD" w:rsidRPr="00BF281D">
        <w:t xml:space="preserve">domination by major gas companies. </w:t>
      </w:r>
      <w:r w:rsidR="00A537DD" w:rsidRPr="00BF281D">
        <w:t xml:space="preserve">Despite these difficulties, small business does play a role in the sector through supply and maintenance of equipment and services of a technical or scientific nature. </w:t>
      </w:r>
    </w:p>
    <w:p w14:paraId="76450579" w14:textId="7E5A69B3" w:rsidR="00A537DD" w:rsidRPr="00BF281D" w:rsidRDefault="00A537DD" w:rsidP="00B166C5">
      <w:pPr>
        <w:rPr>
          <w:color w:val="FF0000"/>
        </w:rPr>
      </w:pPr>
      <w:r w:rsidRPr="00BF281D">
        <w:t xml:space="preserve">The ACCC has been concerned in the past </w:t>
      </w:r>
      <w:proofErr w:type="gramStart"/>
      <w:r w:rsidR="00BE73D4" w:rsidRPr="00BF281D">
        <w:t>with regard to</w:t>
      </w:r>
      <w:proofErr w:type="gramEnd"/>
      <w:r w:rsidRPr="00BF281D">
        <w:t xml:space="preserve"> the degree of competition in the supply of gas in the East Coast Gas Market</w:t>
      </w:r>
      <w:bookmarkStart w:id="167" w:name="_Ref61446569"/>
      <w:r w:rsidR="00C77009" w:rsidRPr="00817682">
        <w:rPr>
          <w:rStyle w:val="FootnoteReference"/>
        </w:rPr>
        <w:footnoteReference w:id="16"/>
      </w:r>
      <w:bookmarkEnd w:id="167"/>
      <w:r w:rsidRPr="00817682">
        <w:t>. LNG producers in the final quarter of 2019 and early 2020 sold 18 LNG</w:t>
      </w:r>
      <w:r w:rsidRPr="00BF281D">
        <w:t xml:space="preserve"> spot cargoes into international markets at prices substantially below domestic gas price offers</w:t>
      </w:r>
      <w:r w:rsidR="00764E7A" w:rsidRPr="00BF281D">
        <w:fldChar w:fldCharType="begin"/>
      </w:r>
      <w:r w:rsidR="00764E7A" w:rsidRPr="00BF281D">
        <w:instrText xml:space="preserve"> NOTEREF _Ref61446569 \f \h </w:instrText>
      </w:r>
      <w:r w:rsidR="00764E7A" w:rsidRPr="00BF281D">
        <w:fldChar w:fldCharType="separate"/>
      </w:r>
      <w:r w:rsidR="009B3538" w:rsidRPr="009B3538">
        <w:rPr>
          <w:rStyle w:val="FootnoteReference"/>
        </w:rPr>
        <w:t>16</w:t>
      </w:r>
      <w:r w:rsidR="00764E7A" w:rsidRPr="00BF281D">
        <w:fldChar w:fldCharType="end"/>
      </w:r>
      <w:r w:rsidRPr="00817682">
        <w:t xml:space="preserve">.  </w:t>
      </w:r>
    </w:p>
    <w:p w14:paraId="7A4CC6BF" w14:textId="26D91865" w:rsidR="00ED75E3" w:rsidRPr="00BF281D" w:rsidRDefault="00F54A64" w:rsidP="00B166C5">
      <w:r w:rsidRPr="00BF281D">
        <w:t>For example, t</w:t>
      </w:r>
      <w:r w:rsidR="00FB10C8" w:rsidRPr="00BF281D">
        <w:t xml:space="preserve">he ACCC was concerned about </w:t>
      </w:r>
      <w:r w:rsidR="00FC45BC" w:rsidRPr="00BF281D">
        <w:t xml:space="preserve">the </w:t>
      </w:r>
      <w:r w:rsidR="00E6122E" w:rsidRPr="00BF281D">
        <w:t>lessening</w:t>
      </w:r>
      <w:r w:rsidR="00FC45BC" w:rsidRPr="00BF281D">
        <w:t xml:space="preserve"> of </w:t>
      </w:r>
      <w:r w:rsidR="00E6122E" w:rsidRPr="00BF281D">
        <w:t>competition</w:t>
      </w:r>
      <w:r w:rsidR="00FC45BC" w:rsidRPr="00BF281D">
        <w:t xml:space="preserve"> between BHP and Esso due to their Gippsland Basin Joint Venture</w:t>
      </w:r>
      <w:r w:rsidR="003052E0" w:rsidRPr="00BF281D">
        <w:t xml:space="preserve"> (GBJV)</w:t>
      </w:r>
      <w:r w:rsidR="00F46046" w:rsidRPr="00BF281D">
        <w:t>, the largest producer of gas in the Southern states.</w:t>
      </w:r>
      <w:r w:rsidR="00FC45BC" w:rsidRPr="00BF281D">
        <w:t xml:space="preserve"> </w:t>
      </w:r>
      <w:r w:rsidR="00FB10C8" w:rsidRPr="00BF281D">
        <w:t>From</w:t>
      </w:r>
      <w:r w:rsidR="000644C3" w:rsidRPr="00BF281D">
        <w:t xml:space="preserve"> </w:t>
      </w:r>
      <w:r w:rsidR="005F2B84" w:rsidRPr="00BF281D">
        <w:t>201</w:t>
      </w:r>
      <w:r w:rsidR="004D24FC" w:rsidRPr="00BF281D">
        <w:t>9</w:t>
      </w:r>
      <w:r w:rsidR="005F2B84" w:rsidRPr="00BF281D">
        <w:t>,</w:t>
      </w:r>
      <w:r w:rsidR="000644C3" w:rsidRPr="00BF281D">
        <w:t xml:space="preserve"> </w:t>
      </w:r>
      <w:r w:rsidR="00906B42" w:rsidRPr="00BF281D">
        <w:t>BHP Billiton Petroleum (Bass Strait) Pty Ltd (BHP) and Esso Australia Resources Pty Ltd (Esso)</w:t>
      </w:r>
      <w:r w:rsidR="00FB10C8" w:rsidRPr="00BF281D">
        <w:t xml:space="preserve"> have marketed their share of gas </w:t>
      </w:r>
      <w:r w:rsidR="004D24FC" w:rsidRPr="00BF281D">
        <w:t>produced under the GB</w:t>
      </w:r>
      <w:r w:rsidR="003052E0" w:rsidRPr="00BF281D">
        <w:t>JV</w:t>
      </w:r>
      <w:r w:rsidR="008E7765" w:rsidRPr="00BF281D">
        <w:t xml:space="preserve"> separatel</w:t>
      </w:r>
      <w:r w:rsidR="00F46046" w:rsidRPr="00BF281D">
        <w:t>y</w:t>
      </w:r>
      <w:r w:rsidR="00764E7A" w:rsidRPr="00817682">
        <w:rPr>
          <w:rStyle w:val="FootnoteReference"/>
        </w:rPr>
        <w:footnoteReference w:id="17"/>
      </w:r>
      <w:r w:rsidR="00F46046" w:rsidRPr="00817682">
        <w:t>.</w:t>
      </w:r>
      <w:r w:rsidR="00EC53E3" w:rsidRPr="00BF281D">
        <w:t xml:space="preserve"> As a result, the competitive landscape </w:t>
      </w:r>
      <w:r w:rsidR="00DD131C" w:rsidRPr="00BF281D">
        <w:t>for gas buyers on</w:t>
      </w:r>
      <w:r w:rsidR="00EC53E3" w:rsidRPr="00BF281D">
        <w:t xml:space="preserve"> the</w:t>
      </w:r>
      <w:r w:rsidR="00DD131C" w:rsidRPr="00BF281D">
        <w:t xml:space="preserve"> east coast should improve. </w:t>
      </w:r>
    </w:p>
    <w:p w14:paraId="57DA5604" w14:textId="6D95E1AC" w:rsidR="00A537DD" w:rsidRPr="00BF281D" w:rsidRDefault="00F54A64" w:rsidP="00B166C5">
      <w:r w:rsidRPr="00BF281D">
        <w:t xml:space="preserve">The three </w:t>
      </w:r>
      <w:r w:rsidR="00DA352A" w:rsidRPr="00BF281D">
        <w:t>dominant</w:t>
      </w:r>
      <w:r w:rsidRPr="00BF281D">
        <w:t xml:space="preserve"> retailers of AGL, Origin and Energy Australia continue to have large market shares, but there has been a shift in the last few years to a wider market structure. </w:t>
      </w:r>
      <w:r w:rsidR="00DA352A" w:rsidRPr="00BF281D">
        <w:t>In several network regions, there is now a “Big 5” rather than a “Big 3”</w:t>
      </w:r>
      <w:r w:rsidR="00DA352A" w:rsidRPr="00BF281D">
        <w:fldChar w:fldCharType="begin"/>
      </w:r>
      <w:r w:rsidR="00DA352A" w:rsidRPr="00BF281D">
        <w:instrText xml:space="preserve"> NOTEREF _Ref61446569 \f \h </w:instrText>
      </w:r>
      <w:r w:rsidR="00DA352A" w:rsidRPr="00BF281D">
        <w:fldChar w:fldCharType="separate"/>
      </w:r>
      <w:r w:rsidR="009B3538" w:rsidRPr="009B3538">
        <w:rPr>
          <w:rStyle w:val="FootnoteReference"/>
        </w:rPr>
        <w:t>16</w:t>
      </w:r>
      <w:r w:rsidR="00DA352A" w:rsidRPr="00BF281D">
        <w:fldChar w:fldCharType="end"/>
      </w:r>
      <w:r w:rsidR="00DA352A" w:rsidRPr="00817682">
        <w:t>.</w:t>
      </w:r>
      <w:r w:rsidRPr="00BF281D">
        <w:t xml:space="preserve"> </w:t>
      </w:r>
      <w:r w:rsidR="00A537DD" w:rsidRPr="00BF281D">
        <w:t>In 2018, there was a competitive response to the rel</w:t>
      </w:r>
      <w:r w:rsidRPr="00BF281D">
        <w:t>e</w:t>
      </w:r>
      <w:r w:rsidR="00A537DD" w:rsidRPr="00BF281D">
        <w:t>ase of five new Victorian offshore gas acreage areas in the Otway basin</w:t>
      </w:r>
      <w:r w:rsidR="00292E76" w:rsidRPr="00817682">
        <w:rPr>
          <w:rStyle w:val="FootnoteReference"/>
        </w:rPr>
        <w:footnoteReference w:id="18"/>
      </w:r>
      <w:r w:rsidR="00A537DD" w:rsidRPr="00817682">
        <w:t xml:space="preserve">. </w:t>
      </w:r>
    </w:p>
    <w:p w14:paraId="544A8732" w14:textId="77777777" w:rsidR="00E15648" w:rsidRPr="00BF281D" w:rsidRDefault="00B166C5" w:rsidP="00E15648">
      <w:r w:rsidRPr="00BF281D">
        <w:t>Small businesses will be impacted by the options discussed in this RIS largely because:</w:t>
      </w:r>
    </w:p>
    <w:p w14:paraId="203A04DE" w14:textId="77777777" w:rsidR="00E15648" w:rsidRPr="00BF281D" w:rsidRDefault="00FC2D61" w:rsidP="00AE11D2">
      <w:pPr>
        <w:pStyle w:val="ListParagraph"/>
        <w:numPr>
          <w:ilvl w:val="0"/>
          <w:numId w:val="27"/>
        </w:numPr>
      </w:pPr>
      <w:r w:rsidRPr="00BF281D">
        <w:t>t</w:t>
      </w:r>
      <w:r w:rsidR="00B166C5" w:rsidRPr="00BF281D">
        <w:t>hey provide services to gas businesses, or</w:t>
      </w:r>
    </w:p>
    <w:p w14:paraId="2E1A117E" w14:textId="3170B8D7" w:rsidR="00E15648" w:rsidRPr="00BF281D" w:rsidRDefault="00FC2D61" w:rsidP="00AE11D2">
      <w:pPr>
        <w:pStyle w:val="ListParagraph"/>
        <w:numPr>
          <w:ilvl w:val="0"/>
          <w:numId w:val="27"/>
        </w:numPr>
      </w:pPr>
      <w:r w:rsidRPr="00BF281D">
        <w:t>t</w:t>
      </w:r>
      <w:r w:rsidR="00B166C5" w:rsidRPr="00BF281D">
        <w:t>hey are consumers of gas. Small businesses that consume large amounts of gas can include those that use natural gas to heat buildings and water, operate refrigeration and cooling equipment, cook, dry clothes, and provide outdoor lighting.</w:t>
      </w:r>
    </w:p>
    <w:p w14:paraId="3785D60C" w14:textId="4B1840ED" w:rsidR="00E15648" w:rsidRPr="00817682" w:rsidRDefault="00AB7ECF" w:rsidP="00E15648">
      <w:r>
        <w:t>W</w:t>
      </w:r>
      <w:r w:rsidR="00B166C5" w:rsidRPr="00BF281D">
        <w:t>hile large industrial users of gas may be able to purchase gas either on a delivered basis from retailers or acquire gas at the wholesale level and arrange their own transportation, small business users of gas generally do not have this option. Producers will not usually supply gas direct to customers with low annual usage, and these users typically cannot acquire the pipeline capacity necessary to have gas delivered to their location (either because of their small capacity requirements or because they do not have the internal capacity to manage the complexity of gas transportation arrangements).</w:t>
      </w:r>
      <w:r w:rsidR="00B166C5" w:rsidRPr="00817682">
        <w:rPr>
          <w:rStyle w:val="FootnoteReference"/>
        </w:rPr>
        <w:footnoteReference w:id="19"/>
      </w:r>
    </w:p>
    <w:p w14:paraId="0D709556" w14:textId="0BA7ECB3" w:rsidR="00B166C5" w:rsidRPr="00817682" w:rsidRDefault="00B166C5" w:rsidP="00FA41A8">
      <w:r w:rsidRPr="00BF281D">
        <w:t>Small gas users typically pay higher prices than large users, and research by the ACCC suggests that the retail margin for gas supplied to mass market consumers including small businesses, is much larger (on a</w:t>
      </w:r>
      <w:r w:rsidR="00583302">
        <w:t xml:space="preserve"> </w:t>
      </w:r>
      <w:r w:rsidRPr="00BF281D">
        <w:t>$/GJ basis) than for large users.</w:t>
      </w:r>
      <w:r w:rsidRPr="00817682">
        <w:rPr>
          <w:rStyle w:val="FootnoteReference"/>
        </w:rPr>
        <w:footnoteReference w:id="20"/>
      </w:r>
    </w:p>
    <w:p w14:paraId="74B47901" w14:textId="4E53078E" w:rsidR="00C42DB5" w:rsidRPr="00FA41A8" w:rsidRDefault="00C42DB5" w:rsidP="00FA41A8">
      <w:r>
        <w:t xml:space="preserve">Both options are expected to result in similar levels of gas production in Victoria, so the impact on pricing and availability for small businesses will not be material. </w:t>
      </w:r>
    </w:p>
    <w:p w14:paraId="6CF98011" w14:textId="01822F4D" w:rsidR="00FE05CB" w:rsidRPr="00BF281D" w:rsidRDefault="00815187" w:rsidP="00FA41A8">
      <w:r w:rsidRPr="00817682">
        <w:t xml:space="preserve">Overall, </w:t>
      </w:r>
      <w:r w:rsidR="009D6717" w:rsidRPr="00BF281D">
        <w:t xml:space="preserve">the restart of the industry and </w:t>
      </w:r>
      <w:r w:rsidR="003A5175" w:rsidRPr="00BF281D">
        <w:t xml:space="preserve">remade regulations will </w:t>
      </w:r>
      <w:r w:rsidR="00D06B0D" w:rsidRPr="00BF281D">
        <w:t xml:space="preserve">have </w:t>
      </w:r>
      <w:r w:rsidR="0071015E" w:rsidRPr="00BF281D">
        <w:t xml:space="preserve">differing indirect impacts </w:t>
      </w:r>
      <w:r w:rsidR="008C45B8" w:rsidRPr="00BF281D">
        <w:t xml:space="preserve">on petroleum firms </w:t>
      </w:r>
      <w:r w:rsidR="008B7F41" w:rsidRPr="00BF281D">
        <w:t xml:space="preserve">depending </w:t>
      </w:r>
      <w:r w:rsidR="00530A3B" w:rsidRPr="00BF281D">
        <w:t xml:space="preserve">on the business size. </w:t>
      </w:r>
      <w:r w:rsidR="00365C93" w:rsidRPr="00BF281D">
        <w:t xml:space="preserve">Both options </w:t>
      </w:r>
      <w:r w:rsidR="00747FCE" w:rsidRPr="00BF281D">
        <w:t xml:space="preserve">provide </w:t>
      </w:r>
      <w:r w:rsidR="00AD0C15" w:rsidRPr="00BF281D">
        <w:t xml:space="preserve">sufficient guidance for, and do not </w:t>
      </w:r>
      <w:r w:rsidR="00587596" w:rsidRPr="00BF281D">
        <w:t xml:space="preserve">excessively burden, </w:t>
      </w:r>
      <w:r w:rsidR="00A219FB" w:rsidRPr="00BF281D">
        <w:t xml:space="preserve">small petroleum businesses relative to large. </w:t>
      </w:r>
      <w:r w:rsidR="00EC3EEA" w:rsidRPr="00BF281D">
        <w:t xml:space="preserve">Option 1 provides less certainty than Option 2, but this </w:t>
      </w:r>
      <w:r w:rsidR="008176F7" w:rsidRPr="00BF281D">
        <w:t xml:space="preserve">is more likely to impact </w:t>
      </w:r>
      <w:r w:rsidR="00321F24" w:rsidRPr="00BF281D">
        <w:t>new entrants rather than</w:t>
      </w:r>
      <w:r w:rsidR="00620562" w:rsidRPr="00BF281D">
        <w:t xml:space="preserve"> established</w:t>
      </w:r>
      <w:r w:rsidR="00321F24" w:rsidRPr="00BF281D">
        <w:t xml:space="preserve"> businesses</w:t>
      </w:r>
      <w:r w:rsidR="00321F24" w:rsidRPr="00817682">
        <w:t xml:space="preserve">. </w:t>
      </w:r>
    </w:p>
    <w:p w14:paraId="1AA5EC15" w14:textId="2755CFAD" w:rsidR="009E740F" w:rsidRDefault="00845423" w:rsidP="00FA41A8">
      <w:r>
        <w:t xml:space="preserve">The main small business concern </w:t>
      </w:r>
      <w:r w:rsidR="004C0A27">
        <w:t xml:space="preserve">with </w:t>
      </w:r>
      <w:r w:rsidR="0085024F">
        <w:t xml:space="preserve">regards to </w:t>
      </w:r>
      <w:r w:rsidR="004C0A27">
        <w:t xml:space="preserve">the proposed option is that </w:t>
      </w:r>
      <w:r w:rsidR="00053AA0">
        <w:t xml:space="preserve">they </w:t>
      </w:r>
      <w:r w:rsidR="001E487A">
        <w:t xml:space="preserve">may experience disproportionate </w:t>
      </w:r>
      <w:r w:rsidR="0092027A">
        <w:t>regulatory</w:t>
      </w:r>
      <w:r w:rsidR="001E487A">
        <w:t xml:space="preserve"> burden to larger businesses when meeting the </w:t>
      </w:r>
      <w:r w:rsidR="00607FF4">
        <w:t>requirements</w:t>
      </w:r>
      <w:r w:rsidR="0085024F">
        <w:t>. This can be</w:t>
      </w:r>
      <w:r w:rsidR="00E925BA">
        <w:t xml:space="preserve"> for a range of reasons, including </w:t>
      </w:r>
      <w:r w:rsidR="00575364">
        <w:t>limited in-house capability</w:t>
      </w:r>
      <w:r w:rsidR="00613751">
        <w:t>,</w:t>
      </w:r>
      <w:r w:rsidR="00575364">
        <w:t xml:space="preserve"> </w:t>
      </w:r>
      <w:proofErr w:type="gramStart"/>
      <w:r w:rsidR="00575364">
        <w:t>knowledge</w:t>
      </w:r>
      <w:proofErr w:type="gramEnd"/>
      <w:r w:rsidR="00613751">
        <w:t xml:space="preserve"> and </w:t>
      </w:r>
      <w:r w:rsidR="00E914B3">
        <w:t>administrative economies of scale</w:t>
      </w:r>
      <w:r w:rsidR="00575364">
        <w:t xml:space="preserve">. </w:t>
      </w:r>
      <w:r w:rsidR="00E869FC">
        <w:t xml:space="preserve">Most operators in the Victorian petroleum industry tend to be medium-large sized due to the large capital requirements and specialist knowledge required. </w:t>
      </w:r>
      <w:r w:rsidR="00503C8C">
        <w:t xml:space="preserve">Disproportionate regulatory burden is more likely to be a </w:t>
      </w:r>
      <w:r w:rsidR="00503C8C">
        <w:lastRenderedPageBreak/>
        <w:t xml:space="preserve">problem for </w:t>
      </w:r>
      <w:r w:rsidR="004449E8">
        <w:t xml:space="preserve">new entrants, but the code of practice to be provided under the preferred option </w:t>
      </w:r>
      <w:r w:rsidR="00AB63F5">
        <w:t xml:space="preserve">is likely to mitigate this. </w:t>
      </w:r>
      <w:r w:rsidR="004648F4">
        <w:t xml:space="preserve">Some stakeholders indicated that </w:t>
      </w:r>
      <w:r w:rsidR="002F1538">
        <w:t xml:space="preserve">they already collect some of the information that might be required under the preferred option, but there is no indication that this </w:t>
      </w:r>
      <w:r w:rsidR="000120F1">
        <w:t>i</w:t>
      </w:r>
      <w:r w:rsidR="002F1538">
        <w:t xml:space="preserve">s </w:t>
      </w:r>
      <w:r w:rsidR="000120F1">
        <w:t>cor</w:t>
      </w:r>
      <w:r w:rsidR="002F1538">
        <w:t xml:space="preserve">related </w:t>
      </w:r>
      <w:r w:rsidR="000120F1">
        <w:t>with</w:t>
      </w:r>
      <w:r w:rsidR="002F1538">
        <w:t xml:space="preserve"> business size. </w:t>
      </w:r>
      <w:r w:rsidR="000A06F8">
        <w:t xml:space="preserve">The additional reporting required under the preferred option </w:t>
      </w:r>
      <w:r w:rsidR="000F387E">
        <w:t xml:space="preserve">is also more relevant for </w:t>
      </w:r>
      <w:r w:rsidR="003C5B5F">
        <w:t xml:space="preserve">impacts on new entrants than small business. </w:t>
      </w:r>
    </w:p>
    <w:p w14:paraId="494EC636" w14:textId="66C426F0" w:rsidR="00CA633E" w:rsidRPr="00FA41A8" w:rsidRDefault="00CA633E" w:rsidP="00FA41A8">
      <w:r>
        <w:t xml:space="preserve">As such, the preferred option is unlikely to disproportionately affect </w:t>
      </w:r>
      <w:r w:rsidR="001C14B8">
        <w:t xml:space="preserve">small business relative to large. </w:t>
      </w:r>
    </w:p>
    <w:p w14:paraId="3B6C8569" w14:textId="563335BF" w:rsidR="00E21C22" w:rsidRPr="00BF281D" w:rsidRDefault="006143B2" w:rsidP="00E21C22">
      <w:pPr>
        <w:pStyle w:val="Heading1"/>
      </w:pPr>
      <w:bookmarkStart w:id="168" w:name="_Toc69839591"/>
      <w:bookmarkStart w:id="169" w:name="_Toc67663773"/>
      <w:r w:rsidRPr="00BF281D">
        <w:lastRenderedPageBreak/>
        <w:t>Implementation and evaluation</w:t>
      </w:r>
      <w:bookmarkEnd w:id="168"/>
      <w:bookmarkEnd w:id="169"/>
    </w:p>
    <w:p w14:paraId="4CC2026E" w14:textId="23B80A1B" w:rsidR="003D3539" w:rsidRPr="00BF281D" w:rsidRDefault="003D3539" w:rsidP="003D3539">
      <w:pPr>
        <w:pStyle w:val="Heading2"/>
        <w:spacing w:after="120"/>
      </w:pPr>
      <w:bookmarkStart w:id="170" w:name="_Toc69839592"/>
      <w:bookmarkStart w:id="171" w:name="_Toc67663774"/>
      <w:r w:rsidRPr="001528D0">
        <w:rPr>
          <w:color w:val="012169" w:themeColor="accent4"/>
        </w:rPr>
        <w:t>Implementation</w:t>
      </w:r>
      <w:bookmarkEnd w:id="170"/>
      <w:bookmarkEnd w:id="171"/>
    </w:p>
    <w:p w14:paraId="63CDEB7C" w14:textId="34477A63" w:rsidR="0013498F" w:rsidRPr="00BF281D" w:rsidRDefault="0013498F" w:rsidP="003D3539">
      <w:pPr>
        <w:spacing w:after="120"/>
      </w:pPr>
      <w:r w:rsidRPr="00BF281D">
        <w:t xml:space="preserve">The results of the MCA show that the preferred option is Option </w:t>
      </w:r>
      <w:r w:rsidR="007706FD" w:rsidRPr="00BF281D">
        <w:t>2</w:t>
      </w:r>
      <w:r w:rsidRPr="00BF281D">
        <w:t xml:space="preserve">. </w:t>
      </w:r>
      <w:r w:rsidR="00100C2D" w:rsidRPr="00BF281D">
        <w:t>This conclusion is made on the basis that</w:t>
      </w:r>
      <w:r w:rsidR="007F0CF2" w:rsidRPr="00BF281D">
        <w:t xml:space="preserve"> it is </w:t>
      </w:r>
      <w:r w:rsidR="007706FD" w:rsidRPr="00BF281D">
        <w:t xml:space="preserve">significantly better at achieving the objectives of the </w:t>
      </w:r>
      <w:r w:rsidR="001F0D2D" w:rsidRPr="00BF281D">
        <w:t>Act but</w:t>
      </w:r>
      <w:r w:rsidR="00083B6F" w:rsidRPr="00BF281D">
        <w:t xml:space="preserve"> does not impose</w:t>
      </w:r>
      <w:r w:rsidR="007706FD" w:rsidRPr="00BF281D">
        <w:t xml:space="preserve"> excessive</w:t>
      </w:r>
      <w:r w:rsidR="00083B6F" w:rsidRPr="00BF281D">
        <w:t xml:space="preserve"> cost</w:t>
      </w:r>
      <w:r w:rsidR="007706FD" w:rsidRPr="00BF281D">
        <w:t xml:space="preserve"> burden on industry or government. </w:t>
      </w:r>
    </w:p>
    <w:p w14:paraId="7B6C02DA" w14:textId="01D02DB0" w:rsidR="00100C2D" w:rsidRPr="00BF281D" w:rsidRDefault="00100C2D" w:rsidP="0013498F">
      <w:r w:rsidRPr="00BF281D">
        <w:t xml:space="preserve">The actions in </w:t>
      </w:r>
      <w:r w:rsidRPr="00BF281D">
        <w:fldChar w:fldCharType="begin"/>
      </w:r>
      <w:r w:rsidRPr="00BF281D">
        <w:instrText xml:space="preserve"> REF _Ref61264797 \w \h </w:instrText>
      </w:r>
      <w:r w:rsidRPr="00BF281D">
        <w:fldChar w:fldCharType="separate"/>
      </w:r>
      <w:r w:rsidR="009B3538">
        <w:t>Table 6.1</w:t>
      </w:r>
      <w:r w:rsidRPr="00BF281D">
        <w:fldChar w:fldCharType="end"/>
      </w:r>
      <w:r w:rsidRPr="00817682">
        <w:t xml:space="preserve"> will need to take place</w:t>
      </w:r>
      <w:r w:rsidR="00E1359F" w:rsidRPr="00BF281D">
        <w:t xml:space="preserve"> </w:t>
      </w:r>
      <w:r w:rsidR="00BE2CDD" w:rsidRPr="00BF281D">
        <w:t>leading up to that date</w:t>
      </w:r>
      <w:r w:rsidRPr="00BF281D">
        <w:t xml:space="preserve"> to implement the preferred option.</w:t>
      </w:r>
    </w:p>
    <w:p w14:paraId="09B21B39" w14:textId="50E3929C" w:rsidR="0013498F" w:rsidRPr="00BF281D" w:rsidRDefault="00100C2D" w:rsidP="00100C2D">
      <w:pPr>
        <w:pStyle w:val="CaptionTable"/>
      </w:pPr>
      <w:bookmarkStart w:id="172" w:name="_Ref61264797"/>
      <w:bookmarkStart w:id="173" w:name="_Toc68799773"/>
      <w:bookmarkStart w:id="174" w:name="_Toc67663783"/>
      <w:r w:rsidRPr="001528D0">
        <w:rPr>
          <w:color w:val="auto"/>
        </w:rPr>
        <w:t xml:space="preserve">: </w:t>
      </w:r>
      <w:r w:rsidR="0013498F" w:rsidRPr="001528D0">
        <w:rPr>
          <w:color w:val="auto"/>
        </w:rPr>
        <w:t>Implementation and evaluation</w:t>
      </w:r>
      <w:bookmarkEnd w:id="172"/>
      <w:r w:rsidR="00A24A13" w:rsidRPr="001528D0">
        <w:rPr>
          <w:color w:val="auto"/>
        </w:rPr>
        <w:t xml:space="preserve"> actions</w:t>
      </w:r>
      <w:bookmarkEnd w:id="173"/>
      <w:bookmarkEnd w:id="174"/>
    </w:p>
    <w:tbl>
      <w:tblPr>
        <w:tblStyle w:val="Deloittetable"/>
        <w:tblW w:w="0" w:type="auto"/>
        <w:tblLook w:val="04A0" w:firstRow="1" w:lastRow="0" w:firstColumn="1" w:lastColumn="0" w:noHBand="0" w:noVBand="1"/>
      </w:tblPr>
      <w:tblGrid>
        <w:gridCol w:w="3222"/>
        <w:gridCol w:w="3222"/>
        <w:gridCol w:w="3223"/>
      </w:tblGrid>
      <w:tr w:rsidR="00A9483B" w:rsidRPr="00BF281D" w14:paraId="3D1E9588" w14:textId="77777777" w:rsidTr="00A9483B">
        <w:trPr>
          <w:cnfStyle w:val="100000000000" w:firstRow="1" w:lastRow="0" w:firstColumn="0" w:lastColumn="0" w:oddVBand="0" w:evenVBand="0" w:oddHBand="0" w:evenHBand="0" w:firstRowFirstColumn="0" w:firstRowLastColumn="0" w:lastRowFirstColumn="0" w:lastRowLastColumn="0"/>
        </w:trPr>
        <w:tc>
          <w:tcPr>
            <w:tcW w:w="3222" w:type="dxa"/>
          </w:tcPr>
          <w:p w14:paraId="74940885" w14:textId="504CF83E" w:rsidR="00A9483B" w:rsidRPr="00817682" w:rsidRDefault="00CD68CA" w:rsidP="008B2DCC">
            <w:r w:rsidRPr="00BF281D">
              <w:t>Action</w:t>
            </w:r>
          </w:p>
        </w:tc>
        <w:tc>
          <w:tcPr>
            <w:tcW w:w="3222" w:type="dxa"/>
          </w:tcPr>
          <w:p w14:paraId="6E17DDDC" w14:textId="5C0AF588" w:rsidR="00A9483B" w:rsidRPr="00BF281D" w:rsidRDefault="00CD68CA" w:rsidP="008B2DCC">
            <w:r w:rsidRPr="00BF281D">
              <w:t>Responsible party</w:t>
            </w:r>
          </w:p>
        </w:tc>
        <w:tc>
          <w:tcPr>
            <w:tcW w:w="3223" w:type="dxa"/>
          </w:tcPr>
          <w:p w14:paraId="24A73164" w14:textId="7F4EA38F" w:rsidR="00A9483B" w:rsidRPr="00BF281D" w:rsidRDefault="00CD68CA" w:rsidP="008B2DCC">
            <w:r w:rsidRPr="00BF281D">
              <w:t>Timeframe</w:t>
            </w:r>
          </w:p>
        </w:tc>
      </w:tr>
      <w:tr w:rsidR="00A9483B" w:rsidRPr="00BF281D" w14:paraId="2684B4A6" w14:textId="77777777" w:rsidTr="00A9483B">
        <w:tc>
          <w:tcPr>
            <w:tcW w:w="3222" w:type="dxa"/>
          </w:tcPr>
          <w:p w14:paraId="595B51D4" w14:textId="1D4BD1E1" w:rsidR="00A9483B" w:rsidRPr="00BF281D" w:rsidRDefault="004D364D" w:rsidP="008B2DCC">
            <w:r w:rsidRPr="00BF281D">
              <w:t>Finish drafting new regulations</w:t>
            </w:r>
          </w:p>
        </w:tc>
        <w:tc>
          <w:tcPr>
            <w:tcW w:w="3222" w:type="dxa"/>
          </w:tcPr>
          <w:p w14:paraId="1F5F208A" w14:textId="57462873" w:rsidR="00A9483B" w:rsidRPr="00BF281D" w:rsidRDefault="00594753" w:rsidP="008B2DCC">
            <w:r w:rsidRPr="00BF281D">
              <w:t xml:space="preserve">The </w:t>
            </w:r>
            <w:r w:rsidR="00BD5089" w:rsidRPr="00BF281D">
              <w:t>Department (legislative arm)</w:t>
            </w:r>
          </w:p>
        </w:tc>
        <w:tc>
          <w:tcPr>
            <w:tcW w:w="3223" w:type="dxa"/>
          </w:tcPr>
          <w:p w14:paraId="1F6FFE8A" w14:textId="4CD19898" w:rsidR="00A9483B" w:rsidRPr="00BF281D" w:rsidRDefault="0032012F" w:rsidP="008B2DCC">
            <w:r>
              <w:t xml:space="preserve"> June</w:t>
            </w:r>
            <w:r w:rsidR="004540E9" w:rsidRPr="00BF281D">
              <w:t xml:space="preserve"> 2021</w:t>
            </w:r>
          </w:p>
        </w:tc>
      </w:tr>
      <w:tr w:rsidR="00FB793A" w:rsidRPr="00BF281D" w14:paraId="44B8F2BA" w14:textId="77777777" w:rsidTr="00A9483B">
        <w:tc>
          <w:tcPr>
            <w:tcW w:w="3222" w:type="dxa"/>
          </w:tcPr>
          <w:p w14:paraId="7F4DE3C5" w14:textId="615BCE96" w:rsidR="00FB793A" w:rsidRPr="00BF281D" w:rsidRDefault="004267E8" w:rsidP="008B2DCC">
            <w:r w:rsidRPr="00BF281D">
              <w:t>Prepare guidance material explaining</w:t>
            </w:r>
            <w:r w:rsidR="00427714" w:rsidRPr="00BF281D">
              <w:t xml:space="preserve"> transition</w:t>
            </w:r>
            <w:r w:rsidRPr="00BF281D">
              <w:t xml:space="preserve"> </w:t>
            </w:r>
            <w:r w:rsidR="008E1341">
              <w:t xml:space="preserve">and </w:t>
            </w:r>
            <w:r w:rsidRPr="00BF281D">
              <w:t>new regulatory arrangement</w:t>
            </w:r>
            <w:r w:rsidR="008A4D12">
              <w:t>s</w:t>
            </w:r>
          </w:p>
        </w:tc>
        <w:tc>
          <w:tcPr>
            <w:tcW w:w="3222" w:type="dxa"/>
          </w:tcPr>
          <w:p w14:paraId="6A27ED7B" w14:textId="00479827" w:rsidR="00FB793A" w:rsidRPr="00BF281D" w:rsidRDefault="00594753" w:rsidP="008B2DCC">
            <w:r w:rsidRPr="00BF281D">
              <w:t>The Department</w:t>
            </w:r>
          </w:p>
        </w:tc>
        <w:tc>
          <w:tcPr>
            <w:tcW w:w="3223" w:type="dxa"/>
          </w:tcPr>
          <w:p w14:paraId="18CE7DB3" w14:textId="3901EB5A" w:rsidR="00FB793A" w:rsidRPr="00BF281D" w:rsidRDefault="00094D27" w:rsidP="008B2DCC">
            <w:r>
              <w:t xml:space="preserve"> June </w:t>
            </w:r>
            <w:r w:rsidR="00947C36" w:rsidRPr="00BF281D">
              <w:t>2021</w:t>
            </w:r>
          </w:p>
        </w:tc>
      </w:tr>
      <w:tr w:rsidR="00034C1A" w:rsidRPr="00BF281D" w14:paraId="1426ADB0" w14:textId="77777777" w:rsidTr="00A9483B">
        <w:tc>
          <w:tcPr>
            <w:tcW w:w="3222" w:type="dxa"/>
          </w:tcPr>
          <w:p w14:paraId="0950EAE2" w14:textId="3D868677" w:rsidR="00034C1A" w:rsidRPr="00BF281D" w:rsidRDefault="00034C1A" w:rsidP="00034C1A">
            <w:r w:rsidRPr="00BF281D">
              <w:t>Develop code of practice</w:t>
            </w:r>
          </w:p>
        </w:tc>
        <w:tc>
          <w:tcPr>
            <w:tcW w:w="3222" w:type="dxa"/>
          </w:tcPr>
          <w:p w14:paraId="004FA869" w14:textId="150AFF80" w:rsidR="00034C1A" w:rsidRPr="00BF281D" w:rsidRDefault="00594753" w:rsidP="00034C1A">
            <w:r w:rsidRPr="00BF281D">
              <w:t>The Department</w:t>
            </w:r>
          </w:p>
        </w:tc>
        <w:tc>
          <w:tcPr>
            <w:tcW w:w="3223" w:type="dxa"/>
          </w:tcPr>
          <w:p w14:paraId="0AFC827D" w14:textId="19AEAC05" w:rsidR="00034C1A" w:rsidRPr="00BF281D" w:rsidRDefault="00034C1A" w:rsidP="00034C1A">
            <w:r w:rsidRPr="00BF281D">
              <w:t>June 2021</w:t>
            </w:r>
          </w:p>
        </w:tc>
      </w:tr>
      <w:tr w:rsidR="00034C1A" w:rsidRPr="00BF281D" w14:paraId="6A85C634" w14:textId="77777777" w:rsidTr="00A9483B">
        <w:tc>
          <w:tcPr>
            <w:tcW w:w="3222" w:type="dxa"/>
          </w:tcPr>
          <w:p w14:paraId="5688C6D1" w14:textId="1E6ADF66" w:rsidR="00034C1A" w:rsidRPr="00BF281D" w:rsidRDefault="00857537" w:rsidP="00034C1A">
            <w:r w:rsidRPr="00BF281D">
              <w:t xml:space="preserve">Recruit and train staff </w:t>
            </w:r>
            <w:r w:rsidR="00CB10CD" w:rsidRPr="00BF281D">
              <w:t>to administer the new requirements of the regulations</w:t>
            </w:r>
          </w:p>
        </w:tc>
        <w:tc>
          <w:tcPr>
            <w:tcW w:w="3222" w:type="dxa"/>
          </w:tcPr>
          <w:p w14:paraId="5840230E" w14:textId="28C2E372" w:rsidR="00034C1A" w:rsidRPr="00BF281D" w:rsidRDefault="00594753" w:rsidP="00034C1A">
            <w:r w:rsidRPr="00BF281D">
              <w:t>The Department</w:t>
            </w:r>
            <w:r w:rsidR="00D774E0" w:rsidRPr="00BF281D">
              <w:t xml:space="preserve"> (ERR)</w:t>
            </w:r>
          </w:p>
        </w:tc>
        <w:tc>
          <w:tcPr>
            <w:tcW w:w="3223" w:type="dxa"/>
          </w:tcPr>
          <w:p w14:paraId="2F8DB5D7" w14:textId="5D0A0ADD" w:rsidR="00034C1A" w:rsidRPr="00BF281D" w:rsidRDefault="008F2148" w:rsidP="00034C1A">
            <w:r>
              <w:t xml:space="preserve">June-July 2021 </w:t>
            </w:r>
            <w:r w:rsidR="00094D27">
              <w:t xml:space="preserve"> </w:t>
            </w:r>
          </w:p>
        </w:tc>
      </w:tr>
      <w:tr w:rsidR="00E22A8A" w:rsidRPr="00BF281D" w14:paraId="3BD8AF54" w14:textId="77777777" w:rsidTr="00A9483B">
        <w:tc>
          <w:tcPr>
            <w:tcW w:w="3222" w:type="dxa"/>
          </w:tcPr>
          <w:p w14:paraId="108D4B40" w14:textId="21DFDC3A" w:rsidR="00E22A8A" w:rsidRPr="00BF281D" w:rsidRDefault="00E22A8A" w:rsidP="00034C1A">
            <w:r w:rsidRPr="00BF281D">
              <w:t>Establish process</w:t>
            </w:r>
            <w:r w:rsidR="00426432" w:rsidRPr="00BF281D">
              <w:t xml:space="preserve">es for </w:t>
            </w:r>
            <w:r w:rsidR="00906050">
              <w:t>management of</w:t>
            </w:r>
            <w:r w:rsidR="00426432" w:rsidRPr="00BF281D">
              <w:t xml:space="preserve"> </w:t>
            </w:r>
            <w:r w:rsidR="00C011E3" w:rsidRPr="00BF281D">
              <w:t xml:space="preserve">new data </w:t>
            </w:r>
            <w:r w:rsidR="00594753" w:rsidRPr="00BF281D">
              <w:t>required under the regulations</w:t>
            </w:r>
          </w:p>
        </w:tc>
        <w:tc>
          <w:tcPr>
            <w:tcW w:w="3222" w:type="dxa"/>
          </w:tcPr>
          <w:p w14:paraId="178C7F2A" w14:textId="73A1BC33" w:rsidR="00E22A8A" w:rsidRPr="00BF281D" w:rsidRDefault="00165163" w:rsidP="00034C1A">
            <w:r w:rsidRPr="00BF281D">
              <w:t>The Department</w:t>
            </w:r>
            <w:r w:rsidR="00D774E0" w:rsidRPr="00BF281D">
              <w:t xml:space="preserve"> (ERR)</w:t>
            </w:r>
          </w:p>
        </w:tc>
        <w:tc>
          <w:tcPr>
            <w:tcW w:w="3223" w:type="dxa"/>
          </w:tcPr>
          <w:p w14:paraId="03F7287B" w14:textId="654FB253" w:rsidR="00E22A8A" w:rsidRPr="00BF281D" w:rsidRDefault="00165163" w:rsidP="00034C1A">
            <w:r w:rsidRPr="00BF281D">
              <w:t>June 2021</w:t>
            </w:r>
          </w:p>
        </w:tc>
      </w:tr>
      <w:tr w:rsidR="000120F1" w14:paraId="4CC03E58" w14:textId="77777777" w:rsidTr="00A9483B">
        <w:tc>
          <w:tcPr>
            <w:tcW w:w="3222" w:type="dxa"/>
          </w:tcPr>
          <w:p w14:paraId="084183C8" w14:textId="5154445F" w:rsidR="000120F1" w:rsidRDefault="000120F1" w:rsidP="00034C1A">
            <w:r>
              <w:t>RIS release</w:t>
            </w:r>
          </w:p>
        </w:tc>
        <w:tc>
          <w:tcPr>
            <w:tcW w:w="3222" w:type="dxa"/>
          </w:tcPr>
          <w:p w14:paraId="546939B1" w14:textId="0C124755" w:rsidR="000120F1" w:rsidRDefault="000120F1" w:rsidP="00034C1A">
            <w:r>
              <w:t>The Department</w:t>
            </w:r>
          </w:p>
        </w:tc>
        <w:tc>
          <w:tcPr>
            <w:tcW w:w="3223" w:type="dxa"/>
          </w:tcPr>
          <w:p w14:paraId="63D71151" w14:textId="1E22D117" w:rsidR="000120F1" w:rsidRPr="0037125C" w:rsidRDefault="00594052" w:rsidP="00034C1A">
            <w:r>
              <w:t>August</w:t>
            </w:r>
            <w:r w:rsidR="00F32D16" w:rsidRPr="0037125C">
              <w:t xml:space="preserve"> </w:t>
            </w:r>
            <w:r w:rsidR="000120F1" w:rsidRPr="0037125C">
              <w:t>2021</w:t>
            </w:r>
          </w:p>
        </w:tc>
      </w:tr>
      <w:tr w:rsidR="000120F1" w14:paraId="4A90031D" w14:textId="77777777" w:rsidTr="00A9483B">
        <w:tc>
          <w:tcPr>
            <w:tcW w:w="3222" w:type="dxa"/>
          </w:tcPr>
          <w:p w14:paraId="723280D7" w14:textId="533E49B5" w:rsidR="000120F1" w:rsidRDefault="000120F1" w:rsidP="00034C1A">
            <w:r>
              <w:t>Consultation period</w:t>
            </w:r>
          </w:p>
        </w:tc>
        <w:tc>
          <w:tcPr>
            <w:tcW w:w="3222" w:type="dxa"/>
          </w:tcPr>
          <w:p w14:paraId="16859D43" w14:textId="45D73721" w:rsidR="000120F1" w:rsidRDefault="00C2415D" w:rsidP="00034C1A">
            <w:r>
              <w:t>The Department</w:t>
            </w:r>
          </w:p>
        </w:tc>
        <w:tc>
          <w:tcPr>
            <w:tcW w:w="3223" w:type="dxa"/>
          </w:tcPr>
          <w:p w14:paraId="1EEECF36" w14:textId="413BEE27" w:rsidR="000120F1" w:rsidRPr="0037125C" w:rsidRDefault="00F32D16" w:rsidP="00034C1A">
            <w:r>
              <w:t>August</w:t>
            </w:r>
            <w:r w:rsidR="00594052">
              <w:t xml:space="preserve"> - September</w:t>
            </w:r>
            <w:r w:rsidR="00C2415D" w:rsidRPr="0037125C">
              <w:t xml:space="preserve"> 2021</w:t>
            </w:r>
          </w:p>
        </w:tc>
      </w:tr>
      <w:tr w:rsidR="00B470A9" w14:paraId="0B19B136" w14:textId="77777777" w:rsidTr="00A9483B">
        <w:tc>
          <w:tcPr>
            <w:tcW w:w="3222" w:type="dxa"/>
          </w:tcPr>
          <w:p w14:paraId="5485F207" w14:textId="706850A5" w:rsidR="00B470A9" w:rsidRDefault="00A966B7" w:rsidP="00034C1A">
            <w:r>
              <w:t>Submissions considered</w:t>
            </w:r>
          </w:p>
        </w:tc>
        <w:tc>
          <w:tcPr>
            <w:tcW w:w="3222" w:type="dxa"/>
          </w:tcPr>
          <w:p w14:paraId="31A2CE0F" w14:textId="66D66185" w:rsidR="00B470A9" w:rsidRDefault="00A966B7" w:rsidP="00034C1A">
            <w:r>
              <w:t>Minister</w:t>
            </w:r>
          </w:p>
        </w:tc>
        <w:tc>
          <w:tcPr>
            <w:tcW w:w="3223" w:type="dxa"/>
          </w:tcPr>
          <w:p w14:paraId="4DC7F548" w14:textId="5FED1105" w:rsidR="00B470A9" w:rsidRPr="0037125C" w:rsidRDefault="00594052" w:rsidP="00034C1A">
            <w:r>
              <w:t>September</w:t>
            </w:r>
            <w:r w:rsidR="006636C4" w:rsidRPr="0037125C">
              <w:t xml:space="preserve"> </w:t>
            </w:r>
            <w:r w:rsidR="0037125C" w:rsidRPr="0037125C">
              <w:t>2021</w:t>
            </w:r>
          </w:p>
        </w:tc>
      </w:tr>
      <w:tr w:rsidR="008E2842" w14:paraId="29DCF114" w14:textId="77777777" w:rsidTr="00A9483B">
        <w:tc>
          <w:tcPr>
            <w:tcW w:w="3222" w:type="dxa"/>
          </w:tcPr>
          <w:p w14:paraId="000B5B77" w14:textId="6F5EF04A" w:rsidR="008E2842" w:rsidRDefault="008E2842" w:rsidP="00034C1A">
            <w:r>
              <w:t>Recommend and make Regulations</w:t>
            </w:r>
          </w:p>
        </w:tc>
        <w:tc>
          <w:tcPr>
            <w:tcW w:w="3222" w:type="dxa"/>
          </w:tcPr>
          <w:p w14:paraId="4EC09349" w14:textId="0D77E5FB" w:rsidR="008E2842" w:rsidRDefault="008E2842" w:rsidP="00034C1A">
            <w:r>
              <w:t>Governor in Council</w:t>
            </w:r>
          </w:p>
        </w:tc>
        <w:tc>
          <w:tcPr>
            <w:tcW w:w="3223" w:type="dxa"/>
          </w:tcPr>
          <w:p w14:paraId="4CDF340F" w14:textId="0CA71327" w:rsidR="008E2842" w:rsidRPr="0037125C" w:rsidRDefault="00C53543" w:rsidP="00034C1A">
            <w:r>
              <w:t>October</w:t>
            </w:r>
            <w:r w:rsidR="006636C4">
              <w:t xml:space="preserve"> </w:t>
            </w:r>
            <w:r w:rsidR="0037125C" w:rsidRPr="0037125C">
              <w:t>2021</w:t>
            </w:r>
          </w:p>
        </w:tc>
      </w:tr>
      <w:tr w:rsidR="00034C1A" w:rsidRPr="00BF281D" w14:paraId="54E34B43" w14:textId="77777777" w:rsidTr="00A9483B">
        <w:tc>
          <w:tcPr>
            <w:tcW w:w="3222" w:type="dxa"/>
          </w:tcPr>
          <w:p w14:paraId="4C1306D7" w14:textId="768500C0" w:rsidR="00034C1A" w:rsidRPr="00BF281D" w:rsidRDefault="002F1EAB" w:rsidP="00034C1A">
            <w:r w:rsidRPr="00BF281D">
              <w:t xml:space="preserve">Proposed </w:t>
            </w:r>
            <w:r w:rsidR="006C5DDC">
              <w:t>regulations</w:t>
            </w:r>
            <w:r w:rsidR="00034C1A" w:rsidRPr="00BF281D">
              <w:t xml:space="preserve"> </w:t>
            </w:r>
            <w:r w:rsidR="007B7CF7" w:rsidRPr="00BF281D">
              <w:t>come into effect</w:t>
            </w:r>
          </w:p>
        </w:tc>
        <w:tc>
          <w:tcPr>
            <w:tcW w:w="3222" w:type="dxa"/>
          </w:tcPr>
          <w:p w14:paraId="10FA4B56" w14:textId="677AC25B" w:rsidR="00034C1A" w:rsidRPr="00BF281D" w:rsidRDefault="008E2842" w:rsidP="00034C1A">
            <w:r>
              <w:t>Governor in Council</w:t>
            </w:r>
          </w:p>
        </w:tc>
        <w:tc>
          <w:tcPr>
            <w:tcW w:w="3223" w:type="dxa"/>
          </w:tcPr>
          <w:p w14:paraId="6D28E4ED" w14:textId="2A12E3AC" w:rsidR="00034C1A" w:rsidRPr="0037125C" w:rsidRDefault="00C53543" w:rsidP="00034C1A">
            <w:r>
              <w:t>October</w:t>
            </w:r>
            <w:r w:rsidR="005A14B2">
              <w:t xml:space="preserve"> </w:t>
            </w:r>
            <w:r w:rsidR="00165163" w:rsidRPr="0037125C">
              <w:t>2021</w:t>
            </w:r>
          </w:p>
        </w:tc>
      </w:tr>
    </w:tbl>
    <w:p w14:paraId="666F8F48" w14:textId="19E7A8A1" w:rsidR="008B2DCC" w:rsidRPr="00BF281D" w:rsidRDefault="008B2DCC" w:rsidP="008B2DCC"/>
    <w:p w14:paraId="673CF2F7" w14:textId="7BC8D746" w:rsidR="003D3539" w:rsidRPr="00817682" w:rsidRDefault="003D3539" w:rsidP="002707CA">
      <w:pPr>
        <w:pStyle w:val="Heading2"/>
        <w:spacing w:after="120"/>
      </w:pPr>
      <w:bookmarkStart w:id="175" w:name="_Toc69839593"/>
      <w:bookmarkStart w:id="176" w:name="_Toc67663775"/>
      <w:r w:rsidRPr="001528D0">
        <w:rPr>
          <w:color w:val="012169" w:themeColor="accent4"/>
        </w:rPr>
        <w:t>Evaluation</w:t>
      </w:r>
      <w:bookmarkEnd w:id="175"/>
      <w:bookmarkEnd w:id="176"/>
    </w:p>
    <w:p w14:paraId="62F7830D" w14:textId="175A0BB1" w:rsidR="003D3539" w:rsidRPr="00BF281D" w:rsidRDefault="00D76194" w:rsidP="002707CA">
      <w:pPr>
        <w:spacing w:after="120"/>
      </w:pPr>
      <w:r w:rsidRPr="00BF281D">
        <w:t xml:space="preserve">This section </w:t>
      </w:r>
      <w:r w:rsidR="0051699B" w:rsidRPr="00BF281D">
        <w:t>outlines how to evaluate the success of the implemented option.</w:t>
      </w:r>
    </w:p>
    <w:p w14:paraId="747F5360" w14:textId="2606D8C7" w:rsidR="0051699B" w:rsidRPr="00BF281D" w:rsidRDefault="001D7391" w:rsidP="00B9573C">
      <w:pPr>
        <w:spacing w:after="120"/>
      </w:pPr>
      <w:r w:rsidRPr="00BF281D">
        <w:t xml:space="preserve">The success of the chosen option </w:t>
      </w:r>
      <w:r w:rsidR="00C8318A" w:rsidRPr="00BF281D">
        <w:t xml:space="preserve">can be evaluated by assessing </w:t>
      </w:r>
      <w:r w:rsidR="00B0194B" w:rsidRPr="00BF281D">
        <w:t xml:space="preserve">to what extent it has addressed the problem statement in this RIS and </w:t>
      </w:r>
      <w:r w:rsidR="00923826" w:rsidRPr="00BF281D">
        <w:t>g</w:t>
      </w:r>
      <w:r w:rsidR="00B0194B" w:rsidRPr="00BF281D">
        <w:t>overnment’s objectives</w:t>
      </w:r>
      <w:r w:rsidR="00B9573C" w:rsidRPr="00BF281D">
        <w:t>, namely:</w:t>
      </w:r>
    </w:p>
    <w:p w14:paraId="1640FDAA" w14:textId="7502DF4D" w:rsidR="00B9573C" w:rsidRPr="00BF281D" w:rsidRDefault="000E0EAC" w:rsidP="00AE11D2">
      <w:pPr>
        <w:pStyle w:val="ListParagraph"/>
        <w:numPr>
          <w:ilvl w:val="0"/>
          <w:numId w:val="35"/>
        </w:numPr>
        <w:spacing w:after="120"/>
      </w:pPr>
      <w:r w:rsidRPr="00BF281D">
        <w:lastRenderedPageBreak/>
        <w:t>onshore conventional petroleum is insufficiently encouraged</w:t>
      </w:r>
      <w:r w:rsidR="002B6805" w:rsidRPr="00BF281D">
        <w:t xml:space="preserve"> in </w:t>
      </w:r>
      <w:proofErr w:type="gramStart"/>
      <w:r w:rsidR="002B6805" w:rsidRPr="00BF281D">
        <w:t>Victoria;</w:t>
      </w:r>
      <w:proofErr w:type="gramEnd"/>
    </w:p>
    <w:p w14:paraId="01287F67" w14:textId="013A2293" w:rsidR="002B6805" w:rsidRPr="00BF281D" w:rsidRDefault="002B6805" w:rsidP="00AE11D2">
      <w:pPr>
        <w:pStyle w:val="ListParagraph"/>
        <w:numPr>
          <w:ilvl w:val="0"/>
          <w:numId w:val="35"/>
        </w:numPr>
        <w:spacing w:after="120"/>
      </w:pPr>
      <w:r w:rsidRPr="00BF281D">
        <w:t xml:space="preserve">the petroleum industry lacks </w:t>
      </w:r>
      <w:r w:rsidR="0054704E">
        <w:t>social license</w:t>
      </w:r>
      <w:r w:rsidRPr="00BF281D">
        <w:t xml:space="preserve"> to operate; and</w:t>
      </w:r>
    </w:p>
    <w:p w14:paraId="02076695" w14:textId="78E621F4" w:rsidR="002B6805" w:rsidRPr="00BF281D" w:rsidRDefault="00F04AA6" w:rsidP="00AE11D2">
      <w:pPr>
        <w:pStyle w:val="ListParagraph"/>
        <w:numPr>
          <w:ilvl w:val="0"/>
          <w:numId w:val="35"/>
        </w:numPr>
        <w:spacing w:after="120"/>
      </w:pPr>
      <w:r w:rsidRPr="00BF281D">
        <w:t>Victoria’s social and environmental interests are insufficiently protected.</w:t>
      </w:r>
    </w:p>
    <w:p w14:paraId="4687CCA7" w14:textId="72C72346" w:rsidR="00F04AA6" w:rsidRPr="00BF281D" w:rsidRDefault="00230079" w:rsidP="00B9573C">
      <w:pPr>
        <w:spacing w:after="120"/>
      </w:pPr>
      <w:r w:rsidRPr="00BF281D">
        <w:t xml:space="preserve">Given these </w:t>
      </w:r>
      <w:r w:rsidR="00915AE0" w:rsidRPr="00BF281D">
        <w:t>problems, the foll</w:t>
      </w:r>
      <w:r w:rsidR="00C3422D" w:rsidRPr="00BF281D">
        <w:t>owing indicators could be used to evaluate the success of the chosen option.</w:t>
      </w:r>
    </w:p>
    <w:p w14:paraId="2A30E92B" w14:textId="29C63547" w:rsidR="005265A9" w:rsidRPr="00BF281D" w:rsidRDefault="005265A9" w:rsidP="00B9573C">
      <w:pPr>
        <w:spacing w:after="120"/>
        <w:rPr>
          <w:b/>
          <w:bCs/>
        </w:rPr>
      </w:pPr>
      <w:r w:rsidRPr="00BF281D">
        <w:rPr>
          <w:b/>
          <w:bCs/>
        </w:rPr>
        <w:t>The level of investment and exploration in the Victorian onshore conventional petroleum sector.</w:t>
      </w:r>
    </w:p>
    <w:p w14:paraId="484F21A7" w14:textId="6C2089D8" w:rsidR="00BF6CA1" w:rsidRPr="00BF281D" w:rsidRDefault="00BF6CA1" w:rsidP="00B9573C">
      <w:pPr>
        <w:spacing w:after="120"/>
      </w:pPr>
      <w:r w:rsidRPr="00BF281D">
        <w:t>Increasing levels of investment and exploration in the petroleum sector</w:t>
      </w:r>
      <w:r w:rsidR="00555CD9" w:rsidRPr="00BF281D">
        <w:t xml:space="preserve"> indicate that this activity is being further encouraged by the regulations, while decreasing levels indicate the opposite. </w:t>
      </w:r>
      <w:r w:rsidR="00E33022" w:rsidRPr="00BF281D">
        <w:t xml:space="preserve">This could be evaluated by examining entries and exits into the sector, the number of applications, </w:t>
      </w:r>
      <w:r w:rsidR="00D175FC" w:rsidRPr="00BF281D">
        <w:t xml:space="preserve">and feedback from industry with regards to their commercial viability. </w:t>
      </w:r>
    </w:p>
    <w:p w14:paraId="3755137D" w14:textId="34050E5F" w:rsidR="00D175FC" w:rsidRPr="00BF281D" w:rsidRDefault="00757D63" w:rsidP="00B9573C">
      <w:pPr>
        <w:spacing w:after="120"/>
        <w:rPr>
          <w:b/>
          <w:bCs/>
        </w:rPr>
      </w:pPr>
      <w:r w:rsidRPr="00BF281D">
        <w:rPr>
          <w:b/>
          <w:bCs/>
        </w:rPr>
        <w:t xml:space="preserve">The </w:t>
      </w:r>
      <w:r w:rsidR="005F78DE" w:rsidRPr="00BF281D">
        <w:rPr>
          <w:b/>
          <w:bCs/>
        </w:rPr>
        <w:t>extent of conflict and dispute between industry and community</w:t>
      </w:r>
      <w:r w:rsidR="00ED282E" w:rsidRPr="00BF281D">
        <w:rPr>
          <w:b/>
          <w:bCs/>
        </w:rPr>
        <w:t>.</w:t>
      </w:r>
    </w:p>
    <w:p w14:paraId="7C3EA47D" w14:textId="5EDEC522" w:rsidR="00ED282E" w:rsidRPr="00BF281D" w:rsidRDefault="00C711D7" w:rsidP="00B9573C">
      <w:pPr>
        <w:spacing w:after="120"/>
      </w:pPr>
      <w:r w:rsidRPr="00BF281D">
        <w:t xml:space="preserve">Community </w:t>
      </w:r>
      <w:r w:rsidR="004B40A7" w:rsidRPr="00BF281D">
        <w:t xml:space="preserve">protests and disputes relating to the petroleum sector are a sign that </w:t>
      </w:r>
      <w:r w:rsidR="006F4DF5" w:rsidRPr="00BF281D">
        <w:t xml:space="preserve">the sector does not have </w:t>
      </w:r>
      <w:r w:rsidR="0054704E">
        <w:t>social license</w:t>
      </w:r>
      <w:r w:rsidR="006F4DF5" w:rsidRPr="00BF281D">
        <w:t xml:space="preserve">. </w:t>
      </w:r>
      <w:r w:rsidR="00265363" w:rsidRPr="00BF281D">
        <w:t xml:space="preserve">A decreasing presence of </w:t>
      </w:r>
      <w:r w:rsidR="007B5093" w:rsidRPr="00BF281D">
        <w:t>conflict and disputes wou</w:t>
      </w:r>
      <w:r w:rsidR="00880CDD" w:rsidRPr="00BF281D">
        <w:t xml:space="preserve">ld indicate that the regulations </w:t>
      </w:r>
      <w:r w:rsidR="00CC0165" w:rsidRPr="00BF281D">
        <w:t xml:space="preserve">have helped build </w:t>
      </w:r>
      <w:r w:rsidR="0054704E">
        <w:t>social license</w:t>
      </w:r>
      <w:r w:rsidR="00CC0165" w:rsidRPr="00BF281D">
        <w:t xml:space="preserve"> in the sector, </w:t>
      </w:r>
      <w:r w:rsidR="007E3B63" w:rsidRPr="00BF281D">
        <w:t xml:space="preserve">while an increasing presence indicates the opposite. This could be evaluated by analysing </w:t>
      </w:r>
      <w:r w:rsidR="001428AA" w:rsidRPr="00BF281D">
        <w:t>the</w:t>
      </w:r>
      <w:r w:rsidR="00053288" w:rsidRPr="00BF281D">
        <w:t xml:space="preserve"> extent of disputes</w:t>
      </w:r>
      <w:r w:rsidR="008A0BD4" w:rsidRPr="00BF281D">
        <w:t xml:space="preserve"> between </w:t>
      </w:r>
      <w:r w:rsidR="001D5F00" w:rsidRPr="00BF281D">
        <w:t xml:space="preserve">industry and community following </w:t>
      </w:r>
      <w:r w:rsidR="00AF0C8F" w:rsidRPr="00BF281D">
        <w:t>the passing of the regulations</w:t>
      </w:r>
      <w:r w:rsidR="009C1468" w:rsidRPr="00BF281D">
        <w:t xml:space="preserve"> and comparing this to historical levels. </w:t>
      </w:r>
    </w:p>
    <w:p w14:paraId="2AEC4476" w14:textId="0C3EB529" w:rsidR="003471AE" w:rsidRPr="00BF281D" w:rsidRDefault="00462CBF" w:rsidP="00B9573C">
      <w:pPr>
        <w:spacing w:after="120"/>
        <w:rPr>
          <w:b/>
          <w:bCs/>
        </w:rPr>
      </w:pPr>
      <w:r w:rsidRPr="00BF281D">
        <w:rPr>
          <w:b/>
          <w:bCs/>
        </w:rPr>
        <w:t>T</w:t>
      </w:r>
      <w:r w:rsidR="0045158C" w:rsidRPr="00BF281D">
        <w:rPr>
          <w:b/>
          <w:bCs/>
        </w:rPr>
        <w:t xml:space="preserve">he </w:t>
      </w:r>
      <w:r w:rsidR="00D33E90" w:rsidRPr="00BF281D">
        <w:rPr>
          <w:b/>
          <w:bCs/>
        </w:rPr>
        <w:t>quantity</w:t>
      </w:r>
      <w:r w:rsidR="00193778" w:rsidRPr="00BF281D">
        <w:rPr>
          <w:b/>
          <w:bCs/>
        </w:rPr>
        <w:t xml:space="preserve"> and extent</w:t>
      </w:r>
      <w:r w:rsidR="0045158C" w:rsidRPr="00BF281D">
        <w:rPr>
          <w:b/>
          <w:bCs/>
        </w:rPr>
        <w:t xml:space="preserve"> </w:t>
      </w:r>
      <w:r w:rsidR="006D614A" w:rsidRPr="00BF281D">
        <w:rPr>
          <w:b/>
          <w:bCs/>
        </w:rPr>
        <w:t>of</w:t>
      </w:r>
      <w:r w:rsidR="00193778" w:rsidRPr="00BF281D">
        <w:rPr>
          <w:b/>
          <w:bCs/>
        </w:rPr>
        <w:t xml:space="preserve"> incidents </w:t>
      </w:r>
      <w:r w:rsidR="00A2649F" w:rsidRPr="00BF281D">
        <w:rPr>
          <w:b/>
          <w:bCs/>
        </w:rPr>
        <w:t>occurring in</w:t>
      </w:r>
      <w:r w:rsidR="00193778" w:rsidRPr="00BF281D">
        <w:rPr>
          <w:b/>
          <w:bCs/>
        </w:rPr>
        <w:t xml:space="preserve"> the </w:t>
      </w:r>
      <w:r w:rsidR="007C36DC" w:rsidRPr="00BF281D">
        <w:rPr>
          <w:b/>
          <w:bCs/>
        </w:rPr>
        <w:t>petroleum sector</w:t>
      </w:r>
      <w:r w:rsidR="00193778" w:rsidRPr="00BF281D">
        <w:rPr>
          <w:b/>
          <w:bCs/>
        </w:rPr>
        <w:t>.</w:t>
      </w:r>
    </w:p>
    <w:p w14:paraId="27EA1EA1" w14:textId="777D3758" w:rsidR="002F1AA7" w:rsidRDefault="0084732E" w:rsidP="00B9573C">
      <w:pPr>
        <w:spacing w:after="120"/>
      </w:pPr>
      <w:r w:rsidRPr="00BF281D">
        <w:t xml:space="preserve">This indicator shows the extent to which Victoria’s environmental interests are protected. A reduction in the quantity and extent of </w:t>
      </w:r>
      <w:r w:rsidR="00CF19B7">
        <w:t>non-compliance</w:t>
      </w:r>
      <w:r w:rsidR="00CF19B7" w:rsidRPr="00BF281D">
        <w:t xml:space="preserve"> </w:t>
      </w:r>
      <w:r w:rsidRPr="00BF281D">
        <w:t xml:space="preserve">indicates that the regulations are offering additional protection to Victoria’s environmental </w:t>
      </w:r>
      <w:r w:rsidR="008A561B">
        <w:t>and social</w:t>
      </w:r>
      <w:r w:rsidRPr="00BF281D">
        <w:t xml:space="preserve"> interests, while an increase indicates the opposite. This could be evaluated by analysing the change in incident numbers and severity following the passing of the regulation</w:t>
      </w:r>
      <w:r w:rsidR="0095347D">
        <w:t>s</w:t>
      </w:r>
      <w:r w:rsidR="0017319E" w:rsidRPr="00BF281D">
        <w:t>.</w:t>
      </w:r>
      <w:r w:rsidR="0095347D">
        <w:t xml:space="preserve"> </w:t>
      </w:r>
    </w:p>
    <w:p w14:paraId="02F566B6" w14:textId="0128953E" w:rsidR="002F1AA7" w:rsidRDefault="001E1B5E" w:rsidP="00B9573C">
      <w:pPr>
        <w:spacing w:after="120"/>
      </w:pPr>
      <w:r>
        <w:t xml:space="preserve">This could also be evaluated through consideration of: </w:t>
      </w:r>
    </w:p>
    <w:p w14:paraId="0CF2285E" w14:textId="3C8F8F7C" w:rsidR="001E1B5E" w:rsidRDefault="001E1B5E" w:rsidP="001E1B5E">
      <w:pPr>
        <w:pStyle w:val="ListParagraph"/>
        <w:numPr>
          <w:ilvl w:val="0"/>
          <w:numId w:val="88"/>
        </w:numPr>
        <w:spacing w:after="120"/>
      </w:pPr>
      <w:r>
        <w:t>Ease of assessment for licences, permits, leases and plans</w:t>
      </w:r>
    </w:p>
    <w:p w14:paraId="6A806B40" w14:textId="20B62622" w:rsidR="001B7E39" w:rsidRDefault="001B7E39" w:rsidP="001B7E39">
      <w:pPr>
        <w:pStyle w:val="ListParagraph"/>
        <w:numPr>
          <w:ilvl w:val="1"/>
          <w:numId w:val="88"/>
        </w:numPr>
        <w:spacing w:after="120"/>
      </w:pPr>
      <w:r>
        <w:t xml:space="preserve">If the Petroleum Regulations are explicit and clear, and adhered to by applicants, then the assessment burden should be reduced for both industry and government </w:t>
      </w:r>
    </w:p>
    <w:p w14:paraId="06E1ACB7" w14:textId="45877153" w:rsidR="001B7E39" w:rsidRDefault="00253754" w:rsidP="00253754">
      <w:pPr>
        <w:pStyle w:val="ListParagraph"/>
        <w:numPr>
          <w:ilvl w:val="0"/>
          <w:numId w:val="88"/>
        </w:numPr>
        <w:spacing w:after="120"/>
      </w:pPr>
      <w:r>
        <w:t>Overall level of industry compliance</w:t>
      </w:r>
    </w:p>
    <w:p w14:paraId="781360F4" w14:textId="57EEE45C" w:rsidR="00253754" w:rsidRDefault="00253754" w:rsidP="00B34FE1">
      <w:pPr>
        <w:pStyle w:val="ListParagraph"/>
        <w:numPr>
          <w:ilvl w:val="1"/>
          <w:numId w:val="88"/>
        </w:numPr>
        <w:spacing w:after="120"/>
      </w:pPr>
      <w:r>
        <w:t xml:space="preserve">This could be measured through the number of compliance actions, such as notices issued to authority holders. </w:t>
      </w:r>
    </w:p>
    <w:p w14:paraId="27B87646" w14:textId="636E510D" w:rsidR="0017319E" w:rsidRDefault="0095347D" w:rsidP="00B9573C">
      <w:pPr>
        <w:spacing w:after="120"/>
      </w:pPr>
      <w:r>
        <w:t>Naturally, any analysis of incident numbers will need to reflect the impact of the moratorium on incidents in recent year</w:t>
      </w:r>
      <w:r w:rsidR="00E9339F">
        <w:t>s</w:t>
      </w:r>
      <w:r w:rsidR="004057C7">
        <w:t>.</w:t>
      </w:r>
      <w:r w:rsidR="00340C6E">
        <w:t xml:space="preserve">  </w:t>
      </w:r>
    </w:p>
    <w:p w14:paraId="663D84B3" w14:textId="2D98B40D" w:rsidR="00C70DC7" w:rsidRPr="00C70DC7" w:rsidRDefault="00254D1F" w:rsidP="00B9573C">
      <w:pPr>
        <w:spacing w:after="120"/>
      </w:pPr>
      <w:r>
        <w:t xml:space="preserve">Some of the questions that the regulator </w:t>
      </w:r>
      <w:r w:rsidR="009C0A2A">
        <w:t>sh</w:t>
      </w:r>
      <w:r>
        <w:t>ould consider when evaluating the regulations include:</w:t>
      </w:r>
    </w:p>
    <w:p w14:paraId="36E7E41C" w14:textId="614A11D4" w:rsidR="00254D1F" w:rsidRPr="00C70DC7" w:rsidRDefault="000B1B39" w:rsidP="00254D1F">
      <w:pPr>
        <w:pStyle w:val="ListParagraph"/>
        <w:numPr>
          <w:ilvl w:val="0"/>
          <w:numId w:val="79"/>
        </w:numPr>
        <w:spacing w:after="120"/>
      </w:pPr>
      <w:r>
        <w:t>How many entries and exits have there been in the industry since the last review?</w:t>
      </w:r>
    </w:p>
    <w:p w14:paraId="5B321ABA" w14:textId="71905B62" w:rsidR="000B1B39" w:rsidRPr="00C70DC7" w:rsidRDefault="004762C5" w:rsidP="008504A9">
      <w:pPr>
        <w:pStyle w:val="ListParagraph"/>
        <w:numPr>
          <w:ilvl w:val="1"/>
          <w:numId w:val="79"/>
        </w:numPr>
        <w:spacing w:after="120"/>
      </w:pPr>
      <w:r>
        <w:t xml:space="preserve">What </w:t>
      </w:r>
      <w:proofErr w:type="gramStart"/>
      <w:r>
        <w:t>are</w:t>
      </w:r>
      <w:proofErr w:type="gramEnd"/>
      <w:r>
        <w:t xml:space="preserve"> the nature of these entries and exits (small/large business, subsidiary of experienced operator</w:t>
      </w:r>
      <w:r w:rsidR="0008042D">
        <w:t xml:space="preserve"> etc</w:t>
      </w:r>
      <w:r w:rsidR="00103BA6">
        <w:t>.)?</w:t>
      </w:r>
    </w:p>
    <w:p w14:paraId="3222738E" w14:textId="41C358F0" w:rsidR="004762C5" w:rsidRPr="00C70DC7" w:rsidRDefault="004633FE" w:rsidP="004762C5">
      <w:pPr>
        <w:pStyle w:val="ListParagraph"/>
        <w:numPr>
          <w:ilvl w:val="0"/>
          <w:numId w:val="79"/>
        </w:numPr>
        <w:spacing w:after="120"/>
      </w:pPr>
      <w:r>
        <w:t>What is the level of petroleum production in Victoria (compare to pre-moratorium levels</w:t>
      </w:r>
      <w:r w:rsidR="00DA1031">
        <w:t xml:space="preserve"> or stakeholder expectations)?</w:t>
      </w:r>
    </w:p>
    <w:p w14:paraId="3F974B24" w14:textId="55578BF8" w:rsidR="00DA1031" w:rsidRPr="00C70DC7" w:rsidRDefault="004268E5" w:rsidP="004762C5">
      <w:pPr>
        <w:pStyle w:val="ListParagraph"/>
        <w:numPr>
          <w:ilvl w:val="0"/>
          <w:numId w:val="79"/>
        </w:numPr>
        <w:spacing w:after="120"/>
      </w:pPr>
      <w:r>
        <w:t>What is the v</w:t>
      </w:r>
      <w:r w:rsidR="00A53598">
        <w:t>olume and type</w:t>
      </w:r>
      <w:r w:rsidR="0031412C">
        <w:t xml:space="preserve"> of community </w:t>
      </w:r>
      <w:proofErr w:type="gramStart"/>
      <w:r w:rsidR="0031412C">
        <w:t xml:space="preserve">engagement </w:t>
      </w:r>
      <w:r>
        <w:t xml:space="preserve"> by</w:t>
      </w:r>
      <w:proofErr w:type="gramEnd"/>
      <w:r w:rsidR="0031412C">
        <w:t xml:space="preserve"> </w:t>
      </w:r>
      <w:r w:rsidR="00843875">
        <w:t>authority holders</w:t>
      </w:r>
      <w:r>
        <w:t>,</w:t>
      </w:r>
      <w:r w:rsidR="00843875">
        <w:t xml:space="preserve"> is </w:t>
      </w:r>
      <w:r>
        <w:t xml:space="preserve">this </w:t>
      </w:r>
      <w:r w:rsidR="00843875">
        <w:t>in accordance with the approved plan</w:t>
      </w:r>
      <w:r>
        <w:t>, and in turn what is the c</w:t>
      </w:r>
      <w:r w:rsidR="00A53598">
        <w:t xml:space="preserve">ommunity response to that </w:t>
      </w:r>
      <w:r w:rsidR="00365723">
        <w:t>engagement</w:t>
      </w:r>
      <w:r>
        <w:t xml:space="preserve">? </w:t>
      </w:r>
    </w:p>
    <w:p w14:paraId="6B04B50D" w14:textId="7D514DC2" w:rsidR="00BD5607" w:rsidRDefault="00BD5607" w:rsidP="004762C5">
      <w:pPr>
        <w:pStyle w:val="ListParagraph"/>
        <w:numPr>
          <w:ilvl w:val="0"/>
          <w:numId w:val="79"/>
        </w:numPr>
        <w:spacing w:after="120"/>
      </w:pPr>
      <w:r>
        <w:t xml:space="preserve">What is the </w:t>
      </w:r>
      <w:r w:rsidR="002C0008">
        <w:t>number of rehabilitations underway and completed</w:t>
      </w:r>
      <w:r w:rsidR="00A6719C">
        <w:t xml:space="preserve">, </w:t>
      </w:r>
      <w:proofErr w:type="gramStart"/>
      <w:r w:rsidR="00A6719C">
        <w:t>i</w:t>
      </w:r>
      <w:r w:rsidR="002C0008">
        <w:t>.e.</w:t>
      </w:r>
      <w:proofErr w:type="gramEnd"/>
      <w:r w:rsidR="002C0008">
        <w:t xml:space="preserve"> </w:t>
      </w:r>
      <w:r w:rsidR="00A6719C">
        <w:t xml:space="preserve">the number of wells successfully decommissioned and surface rehabilitated? </w:t>
      </w:r>
    </w:p>
    <w:p w14:paraId="142C8945" w14:textId="1AA1978A" w:rsidR="00B86E06" w:rsidRPr="00C70DC7" w:rsidRDefault="00AD7A70" w:rsidP="004762C5">
      <w:pPr>
        <w:pStyle w:val="ListParagraph"/>
        <w:numPr>
          <w:ilvl w:val="0"/>
          <w:numId w:val="79"/>
        </w:numPr>
        <w:spacing w:after="120"/>
      </w:pPr>
      <w:r>
        <w:t>What is the level and number of rehabilitation bonds that the industry i</w:t>
      </w:r>
      <w:r w:rsidR="00CA2D63">
        <w:t>s</w:t>
      </w:r>
      <w:r w:rsidR="00C27C0D">
        <w:t xml:space="preserve"> currently</w:t>
      </w:r>
      <w:r w:rsidR="00CA2D63">
        <w:t xml:space="preserve"> </w:t>
      </w:r>
      <w:r w:rsidR="00C27C0D">
        <w:t xml:space="preserve">required to provide under the Petroleum Regulations? </w:t>
      </w:r>
    </w:p>
    <w:p w14:paraId="27E871F2" w14:textId="76E30562" w:rsidR="001D7448" w:rsidRDefault="00471854" w:rsidP="001D7448">
      <w:pPr>
        <w:pStyle w:val="ListParagraph"/>
        <w:numPr>
          <w:ilvl w:val="0"/>
          <w:numId w:val="79"/>
        </w:numPr>
        <w:spacing w:after="120"/>
      </w:pPr>
      <w:r>
        <w:t xml:space="preserve">What is the level and number of incident reports </w:t>
      </w:r>
      <w:r w:rsidR="0067610A">
        <w:t xml:space="preserve">that </w:t>
      </w:r>
      <w:r w:rsidR="001D7448">
        <w:t>industry is providing?</w:t>
      </w:r>
    </w:p>
    <w:p w14:paraId="3DB4158D" w14:textId="443F58EE" w:rsidR="001D7448" w:rsidRPr="00C70DC7" w:rsidRDefault="003B59B2" w:rsidP="001D7448">
      <w:pPr>
        <w:pStyle w:val="ListParagraph"/>
        <w:numPr>
          <w:ilvl w:val="0"/>
          <w:numId w:val="79"/>
        </w:numPr>
        <w:spacing w:after="120"/>
      </w:pPr>
      <w:r>
        <w:t>Is the resourcing requirement from the regulator or the Department</w:t>
      </w:r>
      <w:r w:rsidR="00C67A18">
        <w:t xml:space="preserve"> </w:t>
      </w:r>
      <w:r w:rsidR="006B0E59">
        <w:t xml:space="preserve">currently adequate? What are the future resourcing needs of the </w:t>
      </w:r>
      <w:r w:rsidR="00CF2FCF">
        <w:t xml:space="preserve">ERR – </w:t>
      </w:r>
      <w:proofErr w:type="gramStart"/>
      <w:r w:rsidR="00CF2FCF">
        <w:t>e.g.</w:t>
      </w:r>
      <w:proofErr w:type="gramEnd"/>
      <w:r w:rsidR="00CF2FCF">
        <w:t xml:space="preserve"> staying the same, or trending up or down?</w:t>
      </w:r>
      <w:r w:rsidR="00B06478">
        <w:t xml:space="preserve"> Is the allocated resourcing matching that budgeted </w:t>
      </w:r>
      <w:r w:rsidR="008A41EB">
        <w:t>including via fee</w:t>
      </w:r>
      <w:r w:rsidR="009C76A9">
        <w:t>s</w:t>
      </w:r>
      <w:r w:rsidR="008A41EB">
        <w:t xml:space="preserve">? </w:t>
      </w:r>
    </w:p>
    <w:p w14:paraId="1C6AA02C" w14:textId="740CBE80" w:rsidR="00760C44" w:rsidRPr="00C70DC7" w:rsidRDefault="00760C44" w:rsidP="001D7448">
      <w:pPr>
        <w:pStyle w:val="ListParagraph"/>
        <w:numPr>
          <w:ilvl w:val="0"/>
          <w:numId w:val="79"/>
        </w:numPr>
        <w:spacing w:after="120"/>
      </w:pPr>
      <w:r>
        <w:t xml:space="preserve">Does industry think that </w:t>
      </w:r>
      <w:r w:rsidR="00096752">
        <w:t xml:space="preserve">the processes </w:t>
      </w:r>
      <w:r w:rsidR="009710E3">
        <w:t xml:space="preserve">and systems in the new regulations </w:t>
      </w:r>
      <w:r w:rsidR="001D6E21">
        <w:t>are effective and efficient?</w:t>
      </w:r>
    </w:p>
    <w:p w14:paraId="00541D11" w14:textId="32BEF17A" w:rsidR="002E665E" w:rsidRPr="00C70DC7" w:rsidRDefault="002E665E" w:rsidP="001D7448">
      <w:pPr>
        <w:pStyle w:val="ListParagraph"/>
        <w:numPr>
          <w:ilvl w:val="0"/>
          <w:numId w:val="79"/>
        </w:numPr>
        <w:spacing w:after="120"/>
      </w:pPr>
      <w:r>
        <w:lastRenderedPageBreak/>
        <w:t xml:space="preserve">What </w:t>
      </w:r>
      <w:r w:rsidR="00905722">
        <w:t xml:space="preserve">other </w:t>
      </w:r>
      <w:r>
        <w:t xml:space="preserve">data is available </w:t>
      </w:r>
      <w:r w:rsidR="00905722">
        <w:t>to help evaluate the effectiveness of the regulations?</w:t>
      </w:r>
    </w:p>
    <w:p w14:paraId="40F17076" w14:textId="4E09BA51" w:rsidR="00C2415D" w:rsidRDefault="00C2415D" w:rsidP="00B9573C">
      <w:pPr>
        <w:spacing w:after="120"/>
        <w:rPr>
          <w:b/>
          <w:bCs/>
        </w:rPr>
      </w:pPr>
      <w:r>
        <w:rPr>
          <w:b/>
          <w:bCs/>
        </w:rPr>
        <w:t>Timing of evaluation</w:t>
      </w:r>
    </w:p>
    <w:p w14:paraId="3F3E55C6" w14:textId="455F2CE7" w:rsidR="00E14180" w:rsidRDefault="00C2415D" w:rsidP="00B9573C">
      <w:pPr>
        <w:spacing w:after="120"/>
      </w:pPr>
      <w:r>
        <w:t>As</w:t>
      </w:r>
      <w:r w:rsidR="00502BC0">
        <w:t xml:space="preserve"> the industry </w:t>
      </w:r>
      <w:r w:rsidR="007A281C">
        <w:t xml:space="preserve">will </w:t>
      </w:r>
      <w:r w:rsidR="00900357">
        <w:t>be</w:t>
      </w:r>
      <w:r w:rsidR="007A281C">
        <w:t xml:space="preserve"> experienc</w:t>
      </w:r>
      <w:r w:rsidR="00900357">
        <w:t>ing</w:t>
      </w:r>
      <w:r w:rsidR="007A281C">
        <w:t xml:space="preserve"> a restart following </w:t>
      </w:r>
      <w:r w:rsidR="00686260">
        <w:t>extended inactivity</w:t>
      </w:r>
      <w:r w:rsidR="006D7977">
        <w:t xml:space="preserve">, </w:t>
      </w:r>
      <w:r w:rsidR="00E22E0C">
        <w:t>it will be important to</w:t>
      </w:r>
      <w:r w:rsidR="007A281C">
        <w:t xml:space="preserve"> </w:t>
      </w:r>
      <w:r w:rsidR="005D601D">
        <w:t>continually monitor these indicators</w:t>
      </w:r>
      <w:r w:rsidR="00D92D5A">
        <w:t>.</w:t>
      </w:r>
      <w:r w:rsidR="005D601D">
        <w:t xml:space="preserve"> </w:t>
      </w:r>
      <w:r w:rsidR="00D92D5A">
        <w:t>A</w:t>
      </w:r>
      <w:r w:rsidR="00503F1D">
        <w:t xml:space="preserve"> mid-term </w:t>
      </w:r>
      <w:r w:rsidR="001F2185">
        <w:t xml:space="preserve">full </w:t>
      </w:r>
      <w:r w:rsidR="00503F1D">
        <w:t xml:space="preserve">independent review of the regulations should take place after five years, </w:t>
      </w:r>
      <w:r w:rsidR="004D5C14">
        <w:t xml:space="preserve">around mid-2026. </w:t>
      </w:r>
      <w:r w:rsidR="00D35F93">
        <w:t xml:space="preserve">The review will determine if the regulations are still appropriate, and if any changes need to be made prior to the regulations sunsetting in 2031. </w:t>
      </w:r>
      <w:r w:rsidR="00BF3F59">
        <w:t xml:space="preserve">This is important given the significance of the regulations, and the need for them to align with the </w:t>
      </w:r>
      <w:r w:rsidR="00501462">
        <w:t>Amendment Act</w:t>
      </w:r>
      <w:r w:rsidR="00BF3F59">
        <w:t xml:space="preserve">. </w:t>
      </w:r>
    </w:p>
    <w:p w14:paraId="0D14BF74" w14:textId="10639E16" w:rsidR="00E14180" w:rsidRPr="00817682" w:rsidRDefault="00E14180" w:rsidP="00E14180">
      <w:pPr>
        <w:pStyle w:val="Heading2"/>
        <w:spacing w:after="120"/>
      </w:pPr>
      <w:bookmarkStart w:id="177" w:name="_Toc69839594"/>
      <w:r w:rsidRPr="001528D0">
        <w:rPr>
          <w:color w:val="012169" w:themeColor="accent4"/>
        </w:rPr>
        <w:t>Enforcement</w:t>
      </w:r>
      <w:bookmarkEnd w:id="177"/>
    </w:p>
    <w:p w14:paraId="36800D91" w14:textId="5369AE27" w:rsidR="00954BDA" w:rsidRDefault="00954BDA" w:rsidP="00954BDA">
      <w:pPr>
        <w:spacing w:after="120"/>
      </w:pPr>
      <w:r>
        <w:t xml:space="preserve">Enforcement of the Petroleum Act and the Petroleum Regulations is undertaken by ERR on behalf of the Minister. </w:t>
      </w:r>
    </w:p>
    <w:p w14:paraId="648982B4" w14:textId="4722EB8A" w:rsidR="00240111" w:rsidRDefault="005F7738" w:rsidP="00B9573C">
      <w:pPr>
        <w:spacing w:after="120"/>
      </w:pPr>
      <w:r>
        <w:t>Provisions</w:t>
      </w:r>
      <w:r w:rsidR="00E14180">
        <w:t xml:space="preserve"> for enforcement of the Petroleum Act and the </w:t>
      </w:r>
      <w:r w:rsidR="00EA1C3C">
        <w:t xml:space="preserve">Petroleum Regulations </w:t>
      </w:r>
      <w:r>
        <w:t xml:space="preserve">are set out </w:t>
      </w:r>
      <w:r w:rsidR="00AD3D06">
        <w:t xml:space="preserve">in Part 13 of the </w:t>
      </w:r>
      <w:r w:rsidR="00CA19D7">
        <w:t xml:space="preserve">Petroleum Act </w:t>
      </w:r>
      <w:r w:rsidR="00FC7D61">
        <w:t xml:space="preserve">and are unaffected by the </w:t>
      </w:r>
      <w:r w:rsidR="00282B20">
        <w:t xml:space="preserve">Amendment Act. </w:t>
      </w:r>
      <w:r w:rsidR="002B688D">
        <w:t xml:space="preserve"> </w:t>
      </w:r>
    </w:p>
    <w:p w14:paraId="1873455A" w14:textId="1F097080" w:rsidR="00204332" w:rsidRDefault="006952B7" w:rsidP="00D27C13">
      <w:pPr>
        <w:spacing w:after="120"/>
      </w:pPr>
      <w:r>
        <w:t>The Petroleum Act provides that</w:t>
      </w:r>
      <w:r w:rsidR="001C48EB">
        <w:t xml:space="preserve"> </w:t>
      </w:r>
      <w:r>
        <w:t>a maximum penalty of 20 penalty units may be applied to a breach of a requirement under the Regulations</w:t>
      </w:r>
      <w:r w:rsidR="0086357B">
        <w:t xml:space="preserve"> and several provisions in the </w:t>
      </w:r>
      <w:r w:rsidR="00735F10">
        <w:t>existing Regulations apply this penalty</w:t>
      </w:r>
      <w:r w:rsidR="00D27C13">
        <w:t>.</w:t>
      </w:r>
      <w:r w:rsidR="00735F10">
        <w:t xml:space="preserve">  For example, </w:t>
      </w:r>
      <w:r w:rsidR="005747A0">
        <w:t xml:space="preserve">a </w:t>
      </w:r>
      <w:r w:rsidR="00454C32">
        <w:t>failure to advise the Minister as soon as is practicable of a reportable incident attracts 20 penalty units.</w:t>
      </w:r>
      <w:r w:rsidR="00735F10">
        <w:t xml:space="preserve"> </w:t>
      </w:r>
    </w:p>
    <w:p w14:paraId="44795FBF" w14:textId="0151DC1C" w:rsidR="00902772" w:rsidRDefault="00902772" w:rsidP="00E9339F">
      <w:pPr>
        <w:spacing w:after="120"/>
      </w:pPr>
      <w:r w:rsidRPr="008E1315">
        <w:t xml:space="preserve">The proposed regulations </w:t>
      </w:r>
      <w:r w:rsidR="002A63D0" w:rsidRPr="008E1315">
        <w:t>do not change any of the existing penalties for breaches of the Regulations</w:t>
      </w:r>
      <w:r w:rsidR="00F85579" w:rsidRPr="008E1315">
        <w:t xml:space="preserve">, a new penalty has been added for breach of new regulation 49, relating to requirements to retain core samples. </w:t>
      </w:r>
      <w:r w:rsidR="000A2351" w:rsidRPr="008E1315">
        <w:t>Penalties have been removed from two provisions; time of payment of royalties, and duty of disclosure o</w:t>
      </w:r>
      <w:r w:rsidR="000A2351">
        <w:t>f pecuniary interest</w:t>
      </w:r>
      <w:r w:rsidR="00C77CE7">
        <w:t xml:space="preserve">, for which penalties or contravening the regulations are contained under the relevant sections of the Act. </w:t>
      </w:r>
    </w:p>
    <w:p w14:paraId="138073AD" w14:textId="77777777" w:rsidR="00E14180" w:rsidRDefault="00E14180" w:rsidP="00B9573C">
      <w:pPr>
        <w:spacing w:after="120"/>
      </w:pPr>
    </w:p>
    <w:p w14:paraId="28998AAF" w14:textId="77777777" w:rsidR="00E14180" w:rsidRDefault="00E14180" w:rsidP="00B9573C">
      <w:pPr>
        <w:spacing w:after="120"/>
      </w:pPr>
    </w:p>
    <w:p w14:paraId="746DCDC0" w14:textId="77777777" w:rsidR="00E14180" w:rsidRDefault="00E14180" w:rsidP="00B9573C">
      <w:pPr>
        <w:spacing w:after="120"/>
      </w:pPr>
    </w:p>
    <w:p w14:paraId="38C2B701" w14:textId="256A272E" w:rsidR="0017319E" w:rsidRPr="00BF281D" w:rsidRDefault="0017319E" w:rsidP="00B9573C">
      <w:pPr>
        <w:spacing w:after="120"/>
        <w:sectPr w:rsidR="0017319E" w:rsidRPr="00BF281D" w:rsidSect="0017319E">
          <w:footerReference w:type="default" r:id="rId33"/>
          <w:pgSz w:w="11906" w:h="16838" w:code="9"/>
          <w:pgMar w:top="1985" w:right="1559" w:bottom="1134" w:left="680" w:header="680" w:footer="425" w:gutter="0"/>
          <w:cols w:space="284"/>
          <w:docGrid w:linePitch="360"/>
        </w:sectPr>
      </w:pPr>
    </w:p>
    <w:p w14:paraId="49863140" w14:textId="72B7503C" w:rsidR="00195CC7" w:rsidRPr="00BF281D" w:rsidRDefault="00195CC7" w:rsidP="00C73B72">
      <w:pPr>
        <w:pStyle w:val="Appendixhead1"/>
        <w:spacing w:after="120"/>
      </w:pPr>
      <w:r w:rsidRPr="00BF281D">
        <w:lastRenderedPageBreak/>
        <w:t xml:space="preserve">Detailed Options analysis </w:t>
      </w:r>
    </w:p>
    <w:tbl>
      <w:tblPr>
        <w:tblStyle w:val="Deloittetable"/>
        <w:tblW w:w="14175" w:type="dxa"/>
        <w:tblInd w:w="-567" w:type="dxa"/>
        <w:tblLayout w:type="fixed"/>
        <w:tblLook w:val="06A0" w:firstRow="1" w:lastRow="0" w:firstColumn="1" w:lastColumn="0" w:noHBand="1" w:noVBand="1"/>
      </w:tblPr>
      <w:tblGrid>
        <w:gridCol w:w="2268"/>
        <w:gridCol w:w="3685"/>
        <w:gridCol w:w="4111"/>
        <w:gridCol w:w="4111"/>
      </w:tblGrid>
      <w:tr w:rsidR="00064D6C" w:rsidRPr="00BF281D" w14:paraId="2A28DF86" w14:textId="77777777" w:rsidTr="00C73B72">
        <w:trPr>
          <w:cnfStyle w:val="100000000000" w:firstRow="1" w:lastRow="0" w:firstColumn="0" w:lastColumn="0" w:oddVBand="0" w:evenVBand="0" w:oddHBand="0" w:evenHBand="0" w:firstRowFirstColumn="0" w:firstRowLastColumn="0" w:lastRowFirstColumn="0" w:lastRowLastColumn="0"/>
          <w:tblHeader/>
        </w:trPr>
        <w:tc>
          <w:tcPr>
            <w:tcW w:w="2268" w:type="dxa"/>
          </w:tcPr>
          <w:p w14:paraId="1E2BF6FE" w14:textId="77777777" w:rsidR="00195CC7" w:rsidRPr="00BF281D" w:rsidRDefault="00195CC7" w:rsidP="002C7F2E">
            <w:pPr>
              <w:spacing w:line="259" w:lineRule="auto"/>
              <w:jc w:val="center"/>
              <w:rPr>
                <w:rFonts w:asciiTheme="minorHAnsi" w:hAnsiTheme="minorHAnsi"/>
                <w:b/>
                <w:bCs/>
                <w:sz w:val="18"/>
              </w:rPr>
            </w:pPr>
            <w:r w:rsidRPr="00BF281D">
              <w:rPr>
                <w:rFonts w:asciiTheme="minorHAnsi" w:hAnsiTheme="minorHAnsi"/>
                <w:b/>
                <w:bCs/>
                <w:sz w:val="18"/>
              </w:rPr>
              <w:t>Area of Act</w:t>
            </w:r>
          </w:p>
        </w:tc>
        <w:tc>
          <w:tcPr>
            <w:tcW w:w="3685" w:type="dxa"/>
          </w:tcPr>
          <w:p w14:paraId="17AF2BCB" w14:textId="77777777" w:rsidR="00195CC7" w:rsidRPr="00BF281D" w:rsidRDefault="00195CC7" w:rsidP="002C7F2E">
            <w:pPr>
              <w:spacing w:line="259" w:lineRule="auto"/>
              <w:jc w:val="center"/>
              <w:rPr>
                <w:rFonts w:asciiTheme="minorHAnsi" w:hAnsiTheme="minorHAnsi"/>
                <w:b/>
                <w:bCs/>
                <w:sz w:val="18"/>
              </w:rPr>
            </w:pPr>
            <w:r w:rsidRPr="00BF281D">
              <w:rPr>
                <w:rFonts w:asciiTheme="minorHAnsi" w:hAnsiTheme="minorHAnsi"/>
                <w:b/>
                <w:bCs/>
                <w:sz w:val="18"/>
              </w:rPr>
              <w:t>Status Quo (2011 Petroleum Regulations)</w:t>
            </w:r>
          </w:p>
        </w:tc>
        <w:tc>
          <w:tcPr>
            <w:tcW w:w="4111" w:type="dxa"/>
          </w:tcPr>
          <w:p w14:paraId="362FC318" w14:textId="77777777" w:rsidR="00195CC7" w:rsidRPr="00BF281D" w:rsidRDefault="00195CC7" w:rsidP="002C7F2E">
            <w:pPr>
              <w:spacing w:line="259" w:lineRule="auto"/>
              <w:jc w:val="center"/>
              <w:rPr>
                <w:rFonts w:asciiTheme="minorHAnsi" w:hAnsiTheme="minorHAnsi"/>
                <w:b/>
                <w:bCs/>
                <w:sz w:val="18"/>
              </w:rPr>
            </w:pPr>
            <w:r w:rsidRPr="00BF281D">
              <w:rPr>
                <w:rFonts w:asciiTheme="minorHAnsi" w:hAnsiTheme="minorHAnsi"/>
                <w:b/>
                <w:bCs/>
                <w:sz w:val="18"/>
              </w:rPr>
              <w:t>Option 1 – Limited prescription/outcomes-based</w:t>
            </w:r>
          </w:p>
        </w:tc>
        <w:tc>
          <w:tcPr>
            <w:tcW w:w="4111" w:type="dxa"/>
          </w:tcPr>
          <w:p w14:paraId="615C39F9" w14:textId="77777777" w:rsidR="00195CC7" w:rsidRPr="00BF281D" w:rsidRDefault="00195CC7" w:rsidP="002C7F2E">
            <w:pPr>
              <w:jc w:val="center"/>
              <w:rPr>
                <w:rFonts w:asciiTheme="minorHAnsi" w:hAnsiTheme="minorHAnsi"/>
                <w:b/>
                <w:bCs/>
                <w:sz w:val="18"/>
              </w:rPr>
            </w:pPr>
            <w:r w:rsidRPr="00BF281D">
              <w:rPr>
                <w:rFonts w:asciiTheme="minorHAnsi" w:hAnsiTheme="minorHAnsi"/>
                <w:b/>
                <w:bCs/>
                <w:sz w:val="18"/>
              </w:rPr>
              <w:t>Option 2 – Standards based</w:t>
            </w:r>
          </w:p>
        </w:tc>
      </w:tr>
      <w:tr w:rsidR="00064D6C" w:rsidRPr="00BF281D" w14:paraId="2436E26F" w14:textId="77777777" w:rsidTr="00C73B72">
        <w:trPr>
          <w:trHeight w:val="5030"/>
        </w:trPr>
        <w:tc>
          <w:tcPr>
            <w:tcW w:w="2268" w:type="dxa"/>
          </w:tcPr>
          <w:p w14:paraId="7D13D7E4" w14:textId="77777777" w:rsidR="00195CC7" w:rsidRPr="00BF281D" w:rsidRDefault="00195CC7" w:rsidP="002C7F2E">
            <w:pPr>
              <w:spacing w:line="259" w:lineRule="auto"/>
              <w:rPr>
                <w:rFonts w:asciiTheme="minorHAnsi" w:hAnsiTheme="minorHAnsi"/>
                <w:sz w:val="16"/>
                <w:szCs w:val="16"/>
              </w:rPr>
            </w:pPr>
            <w:r w:rsidRPr="00BF281D">
              <w:rPr>
                <w:rFonts w:asciiTheme="minorHAnsi" w:hAnsiTheme="minorHAnsi"/>
                <w:b/>
                <w:bCs/>
                <w:sz w:val="16"/>
                <w:szCs w:val="16"/>
              </w:rPr>
              <w:t>Authority applications / grant</w:t>
            </w:r>
          </w:p>
          <w:p w14:paraId="7D4E3937" w14:textId="77777777" w:rsidR="00195CC7" w:rsidRPr="00BF281D" w:rsidRDefault="00195CC7" w:rsidP="001B757C">
            <w:pPr>
              <w:pStyle w:val="ListParagraph"/>
              <w:numPr>
                <w:ilvl w:val="0"/>
                <w:numId w:val="46"/>
              </w:numPr>
              <w:spacing w:after="0" w:line="259" w:lineRule="auto"/>
              <w:rPr>
                <w:rFonts w:asciiTheme="minorHAnsi" w:eastAsiaTheme="minorEastAsia" w:hAnsiTheme="minorHAnsi"/>
                <w:sz w:val="16"/>
                <w:szCs w:val="16"/>
              </w:rPr>
            </w:pPr>
            <w:r w:rsidRPr="00BF281D">
              <w:rPr>
                <w:rFonts w:asciiTheme="minorHAnsi" w:hAnsiTheme="minorHAnsi"/>
                <w:sz w:val="16"/>
                <w:szCs w:val="16"/>
              </w:rPr>
              <w:t>work program and other application requirements for permits, leases, licenses, tenders</w:t>
            </w:r>
          </w:p>
          <w:p w14:paraId="3CF5E8B1" w14:textId="77777777" w:rsidR="00195CC7" w:rsidRPr="00BF281D" w:rsidRDefault="00195CC7" w:rsidP="001B757C">
            <w:pPr>
              <w:pStyle w:val="ListParagraph"/>
              <w:numPr>
                <w:ilvl w:val="0"/>
                <w:numId w:val="46"/>
              </w:numPr>
              <w:spacing w:after="0" w:line="259" w:lineRule="auto"/>
              <w:rPr>
                <w:rFonts w:asciiTheme="minorHAnsi" w:eastAsiaTheme="minorEastAsia" w:hAnsiTheme="minorHAnsi"/>
                <w:sz w:val="16"/>
                <w:szCs w:val="16"/>
              </w:rPr>
            </w:pPr>
            <w:r w:rsidRPr="00BF281D">
              <w:rPr>
                <w:rFonts w:asciiTheme="minorHAnsi" w:hAnsiTheme="minorHAnsi"/>
                <w:sz w:val="16"/>
                <w:szCs w:val="16"/>
              </w:rPr>
              <w:t>public input processes to tender/grant decision</w:t>
            </w:r>
          </w:p>
          <w:p w14:paraId="40ECB5ED" w14:textId="77777777" w:rsidR="00195CC7" w:rsidRPr="00BF281D" w:rsidRDefault="00195CC7" w:rsidP="001B757C">
            <w:pPr>
              <w:pStyle w:val="ListParagraph"/>
              <w:numPr>
                <w:ilvl w:val="0"/>
                <w:numId w:val="46"/>
              </w:numPr>
              <w:spacing w:after="0" w:line="259" w:lineRule="auto"/>
              <w:rPr>
                <w:rFonts w:asciiTheme="minorHAnsi" w:eastAsiaTheme="minorEastAsia" w:hAnsiTheme="minorHAnsi"/>
                <w:sz w:val="16"/>
                <w:szCs w:val="16"/>
              </w:rPr>
            </w:pPr>
            <w:r w:rsidRPr="00BF281D">
              <w:rPr>
                <w:rFonts w:asciiTheme="minorHAnsi" w:hAnsiTheme="minorHAnsi"/>
                <w:sz w:val="16"/>
                <w:szCs w:val="16"/>
              </w:rPr>
              <w:t>decision-making criteria</w:t>
            </w:r>
          </w:p>
          <w:p w14:paraId="540C26F4" w14:textId="77777777" w:rsidR="00195CC7" w:rsidRPr="00BF281D" w:rsidRDefault="00195CC7" w:rsidP="001B757C">
            <w:pPr>
              <w:pStyle w:val="ListParagraph"/>
              <w:numPr>
                <w:ilvl w:val="0"/>
                <w:numId w:val="46"/>
              </w:numPr>
              <w:spacing w:after="0" w:line="259" w:lineRule="auto"/>
              <w:rPr>
                <w:rFonts w:asciiTheme="minorHAnsi" w:hAnsiTheme="minorHAnsi"/>
                <w:sz w:val="16"/>
                <w:szCs w:val="16"/>
              </w:rPr>
            </w:pPr>
            <w:r w:rsidRPr="00BF281D">
              <w:rPr>
                <w:rFonts w:asciiTheme="minorHAnsi" w:hAnsiTheme="minorHAnsi"/>
                <w:sz w:val="16"/>
                <w:szCs w:val="16"/>
              </w:rPr>
              <w:t>licence conditions</w:t>
            </w:r>
          </w:p>
          <w:p w14:paraId="713F4105" w14:textId="77777777" w:rsidR="00195CC7" w:rsidRPr="00BF281D" w:rsidRDefault="00195CC7" w:rsidP="001B757C">
            <w:pPr>
              <w:pStyle w:val="ListParagraph"/>
              <w:numPr>
                <w:ilvl w:val="0"/>
                <w:numId w:val="46"/>
              </w:numPr>
              <w:spacing w:after="0" w:line="259" w:lineRule="auto"/>
              <w:rPr>
                <w:rFonts w:asciiTheme="minorHAnsi" w:hAnsiTheme="minorHAnsi"/>
                <w:sz w:val="16"/>
                <w:szCs w:val="16"/>
              </w:rPr>
            </w:pPr>
            <w:r w:rsidRPr="00BF281D">
              <w:rPr>
                <w:rFonts w:asciiTheme="minorHAnsi" w:hAnsiTheme="minorHAnsi"/>
                <w:sz w:val="16"/>
                <w:szCs w:val="16"/>
              </w:rPr>
              <w:t>administrative processes following grant decision</w:t>
            </w:r>
          </w:p>
          <w:p w14:paraId="22AE499D" w14:textId="77777777" w:rsidR="00195CC7" w:rsidRPr="00BF281D" w:rsidRDefault="00195CC7" w:rsidP="001B757C">
            <w:pPr>
              <w:pStyle w:val="ListParagraph"/>
              <w:numPr>
                <w:ilvl w:val="0"/>
                <w:numId w:val="46"/>
              </w:numPr>
              <w:spacing w:after="0" w:line="259" w:lineRule="auto"/>
              <w:rPr>
                <w:rFonts w:asciiTheme="minorHAnsi" w:hAnsiTheme="minorHAnsi"/>
                <w:sz w:val="16"/>
                <w:szCs w:val="16"/>
              </w:rPr>
            </w:pPr>
            <w:r w:rsidRPr="00BF281D">
              <w:rPr>
                <w:rFonts w:asciiTheme="minorHAnsi" w:hAnsiTheme="minorHAnsi"/>
                <w:sz w:val="16"/>
                <w:szCs w:val="16"/>
              </w:rPr>
              <w:t xml:space="preserve">special access authorisations / special drilling authorisations </w:t>
            </w:r>
          </w:p>
        </w:tc>
        <w:tc>
          <w:tcPr>
            <w:tcW w:w="3685" w:type="dxa"/>
          </w:tcPr>
          <w:p w14:paraId="134ADBFD" w14:textId="77777777" w:rsidR="00195CC7" w:rsidRPr="00BF281D" w:rsidRDefault="00195CC7" w:rsidP="001B757C">
            <w:pPr>
              <w:pStyle w:val="ListParagraph"/>
              <w:numPr>
                <w:ilvl w:val="0"/>
                <w:numId w:val="46"/>
              </w:numPr>
              <w:spacing w:after="0" w:line="240" w:lineRule="auto"/>
              <w:rPr>
                <w:rFonts w:asciiTheme="minorHAnsi" w:eastAsiaTheme="minorEastAsia" w:hAnsiTheme="minorHAnsi"/>
                <w:sz w:val="16"/>
                <w:szCs w:val="16"/>
              </w:rPr>
            </w:pPr>
            <w:r w:rsidRPr="00BF281D">
              <w:rPr>
                <w:rFonts w:asciiTheme="minorHAnsi" w:hAnsiTheme="minorHAnsi"/>
                <w:sz w:val="16"/>
                <w:szCs w:val="16"/>
              </w:rPr>
              <w:t>No additional prescribed requirements in relation to these matters (the Act requirements apply)</w:t>
            </w:r>
          </w:p>
          <w:p w14:paraId="39E6251E" w14:textId="77777777" w:rsidR="00195CC7" w:rsidRPr="00BF281D" w:rsidRDefault="00195CC7" w:rsidP="001B757C">
            <w:pPr>
              <w:pStyle w:val="ListParagraph"/>
              <w:numPr>
                <w:ilvl w:val="0"/>
                <w:numId w:val="46"/>
              </w:numPr>
              <w:spacing w:after="0" w:line="240" w:lineRule="auto"/>
              <w:rPr>
                <w:rFonts w:asciiTheme="minorHAnsi" w:hAnsiTheme="minorHAnsi"/>
                <w:sz w:val="16"/>
                <w:szCs w:val="16"/>
              </w:rPr>
            </w:pPr>
            <w:r w:rsidRPr="00BF281D">
              <w:rPr>
                <w:rFonts w:asciiTheme="minorHAnsi" w:hAnsiTheme="minorHAnsi"/>
                <w:sz w:val="16"/>
                <w:szCs w:val="16"/>
              </w:rPr>
              <w:t>Note: New legislative provisions for advertising, public comment, and prescribing decision-making criteria will take effect 1 July 2021</w:t>
            </w:r>
          </w:p>
        </w:tc>
        <w:tc>
          <w:tcPr>
            <w:tcW w:w="4111" w:type="dxa"/>
          </w:tcPr>
          <w:p w14:paraId="7E815E35" w14:textId="77777777" w:rsidR="00195CC7" w:rsidRPr="00BF281D" w:rsidRDefault="00195CC7" w:rsidP="001B757C">
            <w:pPr>
              <w:pStyle w:val="ListParagraph"/>
              <w:numPr>
                <w:ilvl w:val="0"/>
                <w:numId w:val="44"/>
              </w:numPr>
              <w:spacing w:after="0" w:line="240" w:lineRule="auto"/>
              <w:rPr>
                <w:rFonts w:asciiTheme="minorHAnsi" w:eastAsiaTheme="minorEastAsia" w:hAnsiTheme="minorHAnsi"/>
                <w:sz w:val="16"/>
                <w:szCs w:val="16"/>
              </w:rPr>
            </w:pPr>
            <w:r w:rsidRPr="00BF281D">
              <w:rPr>
                <w:rFonts w:asciiTheme="minorHAnsi" w:hAnsiTheme="minorHAnsi"/>
                <w:sz w:val="16"/>
                <w:szCs w:val="16"/>
              </w:rPr>
              <w:t xml:space="preserve">Regulations to contain broad outcomes-based application and licensing requirements for areas directly called up by the Amendment Act. </w:t>
            </w:r>
          </w:p>
          <w:p w14:paraId="44080DDE" w14:textId="77777777" w:rsidR="00195CC7" w:rsidRPr="00BF281D" w:rsidRDefault="00195CC7" w:rsidP="001B757C">
            <w:pPr>
              <w:pStyle w:val="ListParagraph"/>
              <w:numPr>
                <w:ilvl w:val="0"/>
                <w:numId w:val="44"/>
              </w:numPr>
              <w:spacing w:after="0" w:line="240" w:lineRule="auto"/>
              <w:rPr>
                <w:rFonts w:asciiTheme="minorHAnsi" w:hAnsiTheme="minorHAnsi"/>
                <w:sz w:val="16"/>
                <w:szCs w:val="16"/>
              </w:rPr>
            </w:pPr>
            <w:r w:rsidRPr="00BF281D">
              <w:rPr>
                <w:rFonts w:asciiTheme="minorHAnsi" w:hAnsiTheme="minorHAnsi"/>
                <w:sz w:val="16"/>
                <w:szCs w:val="16"/>
              </w:rPr>
              <w:t xml:space="preserve">Minimal fettering of Minister’s decisions; Minister’s decision-making is only constrained to a limited extent by the content of the submissions and consultations </w:t>
            </w:r>
          </w:p>
          <w:p w14:paraId="0408C5CF" w14:textId="3605B74B" w:rsidR="00195CC7" w:rsidRPr="00BF281D" w:rsidRDefault="00195CC7" w:rsidP="001B757C">
            <w:pPr>
              <w:pStyle w:val="ListParagraph"/>
              <w:numPr>
                <w:ilvl w:val="1"/>
                <w:numId w:val="44"/>
              </w:numPr>
              <w:spacing w:after="0" w:line="240" w:lineRule="auto"/>
              <w:ind w:left="924" w:hanging="357"/>
              <w:rPr>
                <w:rFonts w:asciiTheme="minorHAnsi" w:eastAsiaTheme="minorEastAsia" w:hAnsiTheme="minorHAnsi"/>
                <w:sz w:val="16"/>
                <w:szCs w:val="16"/>
              </w:rPr>
            </w:pPr>
            <w:r w:rsidRPr="00BF281D">
              <w:rPr>
                <w:rFonts w:asciiTheme="minorHAnsi" w:hAnsiTheme="minorHAnsi"/>
                <w:sz w:val="16"/>
                <w:szCs w:val="16"/>
              </w:rPr>
              <w:t xml:space="preserve">Prescribed decision-making criteria would be limited to requiring the Minister to consider issues raised in public submissions (in relation to, but not limited to, economic, </w:t>
            </w:r>
            <w:proofErr w:type="gramStart"/>
            <w:r w:rsidRPr="00BF281D">
              <w:rPr>
                <w:rFonts w:asciiTheme="minorHAnsi" w:hAnsiTheme="minorHAnsi"/>
                <w:sz w:val="16"/>
                <w:szCs w:val="16"/>
              </w:rPr>
              <w:t>social</w:t>
            </w:r>
            <w:proofErr w:type="gramEnd"/>
            <w:r w:rsidRPr="00BF281D">
              <w:rPr>
                <w:rFonts w:asciiTheme="minorHAnsi" w:hAnsiTheme="minorHAnsi"/>
                <w:sz w:val="16"/>
                <w:szCs w:val="16"/>
              </w:rPr>
              <w:t xml:space="preserve"> and environmental factors) </w:t>
            </w:r>
          </w:p>
          <w:p w14:paraId="5F99469A" w14:textId="77777777" w:rsidR="00195CC7" w:rsidRPr="00BF281D" w:rsidRDefault="00195CC7" w:rsidP="001B757C">
            <w:pPr>
              <w:pStyle w:val="ListParagraph"/>
              <w:numPr>
                <w:ilvl w:val="1"/>
                <w:numId w:val="44"/>
              </w:numPr>
              <w:spacing w:after="0" w:line="240" w:lineRule="auto"/>
              <w:ind w:left="924" w:hanging="357"/>
              <w:rPr>
                <w:rFonts w:asciiTheme="minorHAnsi" w:eastAsiaTheme="minorEastAsia" w:hAnsiTheme="minorHAnsi"/>
                <w:sz w:val="16"/>
                <w:szCs w:val="16"/>
              </w:rPr>
            </w:pPr>
            <w:r w:rsidRPr="00BF281D">
              <w:rPr>
                <w:rFonts w:asciiTheme="minorHAnsi" w:hAnsiTheme="minorHAnsi"/>
                <w:sz w:val="16"/>
                <w:szCs w:val="16"/>
              </w:rPr>
              <w:t xml:space="preserve">Core evidence for </w:t>
            </w:r>
            <w:proofErr w:type="gramStart"/>
            <w:r w:rsidRPr="00BF281D">
              <w:rPr>
                <w:rFonts w:asciiTheme="minorHAnsi" w:hAnsiTheme="minorHAnsi"/>
                <w:sz w:val="16"/>
                <w:szCs w:val="16"/>
              </w:rPr>
              <w:t>Ministers</w:t>
            </w:r>
            <w:proofErr w:type="gramEnd"/>
            <w:r w:rsidRPr="00BF281D">
              <w:rPr>
                <w:rFonts w:asciiTheme="minorHAnsi" w:hAnsiTheme="minorHAnsi"/>
                <w:sz w:val="16"/>
                <w:szCs w:val="16"/>
              </w:rPr>
              <w:t xml:space="preserve"> decision on public interest matters (economic, social and environmental) comes from public submissions and Ministerial consultations</w:t>
            </w:r>
          </w:p>
          <w:p w14:paraId="163668D3" w14:textId="77777777" w:rsidR="00195CC7" w:rsidRPr="00BF281D" w:rsidRDefault="00195CC7" w:rsidP="001B757C">
            <w:pPr>
              <w:pStyle w:val="ListParagraph"/>
              <w:numPr>
                <w:ilvl w:val="1"/>
                <w:numId w:val="44"/>
              </w:numPr>
              <w:spacing w:after="0" w:line="240" w:lineRule="auto"/>
              <w:ind w:left="924" w:hanging="357"/>
              <w:rPr>
                <w:rFonts w:asciiTheme="minorHAnsi" w:eastAsiaTheme="minorEastAsia" w:hAnsiTheme="minorHAnsi"/>
                <w:sz w:val="16"/>
                <w:szCs w:val="16"/>
              </w:rPr>
            </w:pPr>
            <w:r w:rsidRPr="00BF281D">
              <w:rPr>
                <w:rFonts w:asciiTheme="minorHAnsi" w:hAnsiTheme="minorHAnsi"/>
                <w:sz w:val="16"/>
                <w:szCs w:val="16"/>
              </w:rPr>
              <w:t xml:space="preserve">Applications need to directly address issues raised in submissions  </w:t>
            </w:r>
          </w:p>
          <w:p w14:paraId="6633D53F" w14:textId="77777777" w:rsidR="00195CC7" w:rsidRDefault="00195CC7" w:rsidP="001B757C">
            <w:pPr>
              <w:pStyle w:val="ListParagraph"/>
              <w:numPr>
                <w:ilvl w:val="0"/>
                <w:numId w:val="44"/>
              </w:numPr>
              <w:spacing w:after="0" w:line="240" w:lineRule="auto"/>
              <w:rPr>
                <w:rFonts w:asciiTheme="minorHAnsi" w:hAnsiTheme="minorHAnsi"/>
                <w:sz w:val="16"/>
                <w:szCs w:val="16"/>
              </w:rPr>
            </w:pPr>
            <w:r w:rsidRPr="00BF281D">
              <w:rPr>
                <w:rFonts w:asciiTheme="minorHAnsi" w:hAnsiTheme="minorHAnsi"/>
                <w:sz w:val="16"/>
                <w:szCs w:val="16"/>
              </w:rPr>
              <w:t>Authority holders would be required to specify and commit to undertaking ongoing community consultation over the life of the authority as a core component of the work program.</w:t>
            </w:r>
          </w:p>
          <w:p w14:paraId="2B8F9E01" w14:textId="77777777" w:rsidR="00064D6C" w:rsidRDefault="00064D6C" w:rsidP="00064D6C">
            <w:pPr>
              <w:spacing w:after="0" w:line="240" w:lineRule="auto"/>
              <w:ind w:left="0"/>
              <w:rPr>
                <w:rFonts w:asciiTheme="minorHAnsi" w:hAnsiTheme="minorHAnsi"/>
                <w:sz w:val="16"/>
                <w:szCs w:val="16"/>
              </w:rPr>
            </w:pPr>
          </w:p>
          <w:p w14:paraId="761205C8" w14:textId="77777777" w:rsidR="00064D6C" w:rsidRDefault="00064D6C" w:rsidP="00064D6C">
            <w:pPr>
              <w:spacing w:after="0" w:line="240" w:lineRule="auto"/>
              <w:ind w:left="0"/>
              <w:rPr>
                <w:rFonts w:asciiTheme="minorHAnsi" w:hAnsiTheme="minorHAnsi"/>
                <w:sz w:val="16"/>
                <w:szCs w:val="16"/>
              </w:rPr>
            </w:pPr>
          </w:p>
          <w:p w14:paraId="177F2DF3" w14:textId="77777777" w:rsidR="00064D6C" w:rsidRDefault="00064D6C" w:rsidP="00064D6C">
            <w:pPr>
              <w:spacing w:after="0" w:line="240" w:lineRule="auto"/>
              <w:ind w:left="0"/>
              <w:rPr>
                <w:rFonts w:asciiTheme="minorHAnsi" w:hAnsiTheme="minorHAnsi"/>
                <w:sz w:val="16"/>
                <w:szCs w:val="16"/>
              </w:rPr>
            </w:pPr>
          </w:p>
          <w:p w14:paraId="58A4DFDA" w14:textId="77777777" w:rsidR="00064D6C" w:rsidRDefault="00064D6C" w:rsidP="00064D6C">
            <w:pPr>
              <w:spacing w:after="0" w:line="240" w:lineRule="auto"/>
              <w:ind w:left="0"/>
              <w:rPr>
                <w:rFonts w:asciiTheme="minorHAnsi" w:hAnsiTheme="minorHAnsi"/>
                <w:sz w:val="16"/>
                <w:szCs w:val="16"/>
              </w:rPr>
            </w:pPr>
          </w:p>
          <w:p w14:paraId="40602930" w14:textId="1B70FCF4" w:rsidR="00064D6C" w:rsidRPr="00B34FE1" w:rsidRDefault="00064D6C" w:rsidP="00C73B72">
            <w:pPr>
              <w:spacing w:after="0" w:line="240" w:lineRule="auto"/>
              <w:rPr>
                <w:rFonts w:asciiTheme="minorHAnsi" w:hAnsiTheme="minorHAnsi"/>
                <w:sz w:val="16"/>
                <w:szCs w:val="16"/>
              </w:rPr>
            </w:pPr>
          </w:p>
        </w:tc>
        <w:tc>
          <w:tcPr>
            <w:tcW w:w="4111" w:type="dxa"/>
          </w:tcPr>
          <w:p w14:paraId="0D7B91D0" w14:textId="58BC4479" w:rsidR="00195CC7" w:rsidRPr="00BF281D" w:rsidRDefault="00195CC7" w:rsidP="001B757C">
            <w:pPr>
              <w:pStyle w:val="ListParagraph"/>
              <w:numPr>
                <w:ilvl w:val="0"/>
                <w:numId w:val="43"/>
              </w:numPr>
              <w:spacing w:after="0" w:line="240" w:lineRule="auto"/>
              <w:rPr>
                <w:rFonts w:asciiTheme="minorHAnsi" w:eastAsiaTheme="minorEastAsia" w:hAnsiTheme="minorHAnsi"/>
                <w:sz w:val="16"/>
                <w:szCs w:val="16"/>
              </w:rPr>
            </w:pPr>
            <w:r w:rsidRPr="00BF281D">
              <w:rPr>
                <w:rFonts w:asciiTheme="minorHAnsi" w:hAnsiTheme="minorHAnsi"/>
                <w:sz w:val="16"/>
                <w:szCs w:val="16"/>
              </w:rPr>
              <w:t xml:space="preserve">Regulations to explicitly prescribe licensing and application requirements, including risk/impact assessment information </w:t>
            </w:r>
          </w:p>
          <w:p w14:paraId="58957F00" w14:textId="77777777" w:rsidR="00195CC7" w:rsidRPr="00BF281D" w:rsidRDefault="00195CC7" w:rsidP="001B757C">
            <w:pPr>
              <w:pStyle w:val="ListParagraph"/>
              <w:numPr>
                <w:ilvl w:val="0"/>
                <w:numId w:val="43"/>
              </w:numPr>
              <w:spacing w:after="0" w:line="240" w:lineRule="auto"/>
              <w:rPr>
                <w:rFonts w:asciiTheme="minorHAnsi" w:eastAsiaTheme="minorEastAsia" w:hAnsiTheme="minorHAnsi"/>
                <w:sz w:val="16"/>
                <w:szCs w:val="16"/>
              </w:rPr>
            </w:pPr>
            <w:r w:rsidRPr="00BF281D">
              <w:rPr>
                <w:rFonts w:asciiTheme="minorHAnsi" w:hAnsiTheme="minorHAnsi"/>
                <w:sz w:val="16"/>
                <w:szCs w:val="16"/>
              </w:rPr>
              <w:t xml:space="preserve">Application/notice requirements under the regulations would be detailed and specific and directly linked to the decision-making criteria </w:t>
            </w:r>
          </w:p>
          <w:p w14:paraId="7A3603CE" w14:textId="77777777" w:rsidR="00195CC7" w:rsidRPr="00BF281D" w:rsidRDefault="00195CC7" w:rsidP="001B757C">
            <w:pPr>
              <w:pStyle w:val="ListParagraph"/>
              <w:numPr>
                <w:ilvl w:val="0"/>
                <w:numId w:val="43"/>
              </w:numPr>
              <w:spacing w:after="0" w:line="240" w:lineRule="auto"/>
              <w:rPr>
                <w:rFonts w:asciiTheme="minorHAnsi" w:eastAsiaTheme="minorEastAsia" w:hAnsiTheme="minorHAnsi"/>
                <w:sz w:val="16"/>
                <w:szCs w:val="16"/>
              </w:rPr>
            </w:pPr>
            <w:r w:rsidRPr="00BF281D">
              <w:rPr>
                <w:rFonts w:asciiTheme="minorHAnsi" w:hAnsiTheme="minorHAnsi"/>
                <w:sz w:val="16"/>
                <w:szCs w:val="16"/>
              </w:rPr>
              <w:t xml:space="preserve">Strong prescription around Minister’s decisions; Minister’s decision-making power fettered by needing to </w:t>
            </w:r>
            <w:proofErr w:type="gramStart"/>
            <w:r w:rsidRPr="00BF281D">
              <w:rPr>
                <w:rFonts w:asciiTheme="minorHAnsi" w:hAnsiTheme="minorHAnsi"/>
                <w:sz w:val="16"/>
                <w:szCs w:val="16"/>
              </w:rPr>
              <w:t>take into account</w:t>
            </w:r>
            <w:proofErr w:type="gramEnd"/>
            <w:r w:rsidRPr="00BF281D">
              <w:rPr>
                <w:rFonts w:asciiTheme="minorHAnsi" w:hAnsiTheme="minorHAnsi"/>
                <w:sz w:val="16"/>
                <w:szCs w:val="16"/>
              </w:rPr>
              <w:t xml:space="preserve"> certain matters (including but not limited to specific social, environmental, economic factors, submissions etc.)</w:t>
            </w:r>
          </w:p>
          <w:p w14:paraId="053CE9C1" w14:textId="77777777" w:rsidR="00195CC7" w:rsidRPr="00BF281D" w:rsidRDefault="00195CC7" w:rsidP="001B757C">
            <w:pPr>
              <w:pStyle w:val="ListParagraph"/>
              <w:numPr>
                <w:ilvl w:val="1"/>
                <w:numId w:val="43"/>
              </w:numPr>
              <w:spacing w:after="0" w:line="240" w:lineRule="auto"/>
              <w:rPr>
                <w:rFonts w:asciiTheme="minorHAnsi" w:eastAsiaTheme="minorEastAsia" w:hAnsiTheme="minorHAnsi"/>
                <w:sz w:val="16"/>
                <w:szCs w:val="16"/>
              </w:rPr>
            </w:pPr>
            <w:r w:rsidRPr="00BF281D">
              <w:rPr>
                <w:rFonts w:asciiTheme="minorHAnsi" w:hAnsiTheme="minorHAnsi"/>
                <w:sz w:val="16"/>
                <w:szCs w:val="16"/>
              </w:rPr>
              <w:t>Decision-making criteria involves a balancing test of benefits and impacts</w:t>
            </w:r>
          </w:p>
          <w:p w14:paraId="0CE04498" w14:textId="5ACA9962" w:rsidR="00195CC7" w:rsidRPr="00BF281D" w:rsidRDefault="00195CC7" w:rsidP="001B757C">
            <w:pPr>
              <w:pStyle w:val="ListParagraph"/>
              <w:numPr>
                <w:ilvl w:val="1"/>
                <w:numId w:val="43"/>
              </w:numPr>
              <w:spacing w:after="0" w:line="240" w:lineRule="auto"/>
              <w:rPr>
                <w:rFonts w:asciiTheme="minorHAnsi" w:hAnsiTheme="minorHAnsi"/>
                <w:sz w:val="16"/>
                <w:szCs w:val="16"/>
              </w:rPr>
            </w:pPr>
            <w:r w:rsidRPr="00BF281D">
              <w:rPr>
                <w:rFonts w:asciiTheme="minorHAnsi" w:hAnsiTheme="minorHAnsi"/>
                <w:sz w:val="16"/>
                <w:szCs w:val="16"/>
              </w:rPr>
              <w:t xml:space="preserve">Evidence of </w:t>
            </w:r>
            <w:r w:rsidR="009B63BD" w:rsidRPr="00BF281D">
              <w:rPr>
                <w:rFonts w:asciiTheme="minorHAnsi" w:hAnsiTheme="minorHAnsi"/>
                <w:sz w:val="16"/>
                <w:szCs w:val="16"/>
              </w:rPr>
              <w:t>triple-bottom-line f</w:t>
            </w:r>
            <w:r w:rsidRPr="00BF281D">
              <w:rPr>
                <w:rFonts w:asciiTheme="minorHAnsi" w:hAnsiTheme="minorHAnsi"/>
                <w:sz w:val="16"/>
                <w:szCs w:val="16"/>
              </w:rPr>
              <w:t>actors influenced by various sources, including public submissions, authority applicant/holder and existing govt data/assessment</w:t>
            </w:r>
          </w:p>
          <w:p w14:paraId="12B42688" w14:textId="77777777" w:rsidR="00195CC7" w:rsidRPr="00BF281D" w:rsidRDefault="00195CC7" w:rsidP="001B757C">
            <w:pPr>
              <w:pStyle w:val="ListParagraph"/>
              <w:numPr>
                <w:ilvl w:val="0"/>
                <w:numId w:val="43"/>
              </w:numPr>
              <w:spacing w:after="0" w:line="240" w:lineRule="auto"/>
              <w:rPr>
                <w:rFonts w:asciiTheme="minorHAnsi" w:eastAsiaTheme="minorEastAsia" w:hAnsiTheme="minorHAnsi"/>
                <w:sz w:val="16"/>
                <w:szCs w:val="16"/>
              </w:rPr>
            </w:pPr>
            <w:r w:rsidRPr="00BF281D">
              <w:rPr>
                <w:rFonts w:asciiTheme="minorHAnsi" w:hAnsiTheme="minorHAnsi"/>
                <w:sz w:val="16"/>
                <w:szCs w:val="16"/>
              </w:rPr>
              <w:t xml:space="preserve">A more prescriptive approach to community consultation, whereby in addition to the work program, authority holders would be required to specify and commit to undertaking community consultation around specified requirements under operation plan (see below). </w:t>
            </w:r>
          </w:p>
        </w:tc>
      </w:tr>
      <w:tr w:rsidR="00064D6C" w:rsidRPr="00BF281D" w14:paraId="5FF527F8" w14:textId="77777777" w:rsidTr="00C73B72">
        <w:trPr>
          <w:trHeight w:val="1190"/>
        </w:trPr>
        <w:tc>
          <w:tcPr>
            <w:tcW w:w="2268" w:type="dxa"/>
          </w:tcPr>
          <w:p w14:paraId="68998A8C" w14:textId="77777777" w:rsidR="00195CC7" w:rsidRPr="00BF281D" w:rsidRDefault="00195CC7" w:rsidP="002C7F2E">
            <w:pPr>
              <w:rPr>
                <w:rFonts w:asciiTheme="minorHAnsi" w:hAnsiTheme="minorHAnsi"/>
                <w:b/>
                <w:bCs/>
                <w:sz w:val="16"/>
                <w:szCs w:val="16"/>
              </w:rPr>
            </w:pPr>
            <w:r w:rsidRPr="00BF281D">
              <w:rPr>
                <w:rFonts w:asciiTheme="minorHAnsi" w:hAnsiTheme="minorHAnsi"/>
                <w:b/>
                <w:bCs/>
                <w:sz w:val="16"/>
                <w:szCs w:val="16"/>
              </w:rPr>
              <w:lastRenderedPageBreak/>
              <w:t xml:space="preserve">Conduct of operations </w:t>
            </w:r>
          </w:p>
          <w:p w14:paraId="65650EF9" w14:textId="77777777" w:rsidR="00195CC7" w:rsidRPr="00BF281D" w:rsidRDefault="00195CC7" w:rsidP="001B757C">
            <w:pPr>
              <w:pStyle w:val="ListParagraph"/>
              <w:numPr>
                <w:ilvl w:val="0"/>
                <w:numId w:val="45"/>
              </w:numPr>
              <w:spacing w:after="0" w:line="240" w:lineRule="auto"/>
              <w:rPr>
                <w:rFonts w:asciiTheme="minorHAnsi" w:eastAsiaTheme="minorEastAsia" w:hAnsiTheme="minorHAnsi"/>
                <w:sz w:val="16"/>
                <w:szCs w:val="16"/>
              </w:rPr>
            </w:pPr>
            <w:r w:rsidRPr="00BF281D">
              <w:rPr>
                <w:rFonts w:asciiTheme="minorHAnsi" w:hAnsiTheme="minorHAnsi"/>
                <w:sz w:val="16"/>
                <w:szCs w:val="16"/>
              </w:rPr>
              <w:t>operation plan (including notice, consultation)</w:t>
            </w:r>
          </w:p>
          <w:p w14:paraId="70FC58CC" w14:textId="77777777" w:rsidR="00195CC7" w:rsidRPr="00BF281D" w:rsidRDefault="00195CC7" w:rsidP="001B757C">
            <w:pPr>
              <w:pStyle w:val="ListParagraph"/>
              <w:numPr>
                <w:ilvl w:val="0"/>
                <w:numId w:val="45"/>
              </w:numPr>
              <w:spacing w:after="0" w:line="240" w:lineRule="auto"/>
              <w:rPr>
                <w:rFonts w:asciiTheme="minorHAnsi" w:hAnsiTheme="minorHAnsi"/>
                <w:sz w:val="16"/>
                <w:szCs w:val="16"/>
              </w:rPr>
            </w:pPr>
            <w:r w:rsidRPr="00BF281D">
              <w:rPr>
                <w:rFonts w:asciiTheme="minorHAnsi" w:hAnsiTheme="minorHAnsi"/>
                <w:sz w:val="16"/>
                <w:szCs w:val="16"/>
              </w:rPr>
              <w:t>consent/notice requirements</w:t>
            </w:r>
          </w:p>
          <w:p w14:paraId="1BE76AFF" w14:textId="77777777" w:rsidR="00195CC7" w:rsidRPr="00BF281D" w:rsidRDefault="00195CC7" w:rsidP="001B757C">
            <w:pPr>
              <w:pStyle w:val="ListParagraph"/>
              <w:numPr>
                <w:ilvl w:val="0"/>
                <w:numId w:val="45"/>
              </w:numPr>
              <w:spacing w:after="0" w:line="240" w:lineRule="auto"/>
              <w:rPr>
                <w:rFonts w:asciiTheme="minorHAnsi" w:hAnsiTheme="minorHAnsi"/>
                <w:sz w:val="16"/>
                <w:szCs w:val="16"/>
              </w:rPr>
            </w:pPr>
            <w:r w:rsidRPr="00BF281D">
              <w:rPr>
                <w:rFonts w:asciiTheme="minorHAnsi" w:hAnsiTheme="minorHAnsi"/>
                <w:sz w:val="16"/>
                <w:szCs w:val="16"/>
              </w:rPr>
              <w:t>compensation</w:t>
            </w:r>
          </w:p>
          <w:p w14:paraId="180066DF" w14:textId="77777777" w:rsidR="00195CC7" w:rsidRPr="00BF281D" w:rsidRDefault="00195CC7" w:rsidP="001B757C">
            <w:pPr>
              <w:pStyle w:val="ListParagraph"/>
              <w:numPr>
                <w:ilvl w:val="0"/>
                <w:numId w:val="45"/>
              </w:numPr>
              <w:spacing w:after="0" w:line="240" w:lineRule="auto"/>
              <w:rPr>
                <w:rFonts w:asciiTheme="minorHAnsi" w:hAnsiTheme="minorHAnsi"/>
                <w:sz w:val="16"/>
                <w:szCs w:val="16"/>
              </w:rPr>
            </w:pPr>
            <w:r w:rsidRPr="00BF281D">
              <w:rPr>
                <w:rFonts w:asciiTheme="minorHAnsi" w:hAnsiTheme="minorHAnsi"/>
                <w:sz w:val="16"/>
                <w:szCs w:val="16"/>
              </w:rPr>
              <w:t>rehabilitation/ bond</w:t>
            </w:r>
          </w:p>
          <w:p w14:paraId="62772F42" w14:textId="77777777" w:rsidR="00195CC7" w:rsidRPr="00BF281D" w:rsidRDefault="00195CC7" w:rsidP="001B757C">
            <w:pPr>
              <w:pStyle w:val="ListParagraph"/>
              <w:numPr>
                <w:ilvl w:val="0"/>
                <w:numId w:val="45"/>
              </w:numPr>
              <w:spacing w:after="0" w:line="240" w:lineRule="auto"/>
              <w:rPr>
                <w:rFonts w:asciiTheme="minorHAnsi" w:hAnsiTheme="minorHAnsi"/>
                <w:sz w:val="16"/>
                <w:szCs w:val="16"/>
              </w:rPr>
            </w:pPr>
            <w:r w:rsidRPr="00BF281D">
              <w:rPr>
                <w:rFonts w:asciiTheme="minorHAnsi" w:hAnsiTheme="minorHAnsi"/>
                <w:sz w:val="16"/>
                <w:szCs w:val="16"/>
              </w:rPr>
              <w:t>Code of Practice</w:t>
            </w:r>
          </w:p>
          <w:p w14:paraId="115CE44D" w14:textId="77777777" w:rsidR="00195CC7" w:rsidRPr="00BF281D" w:rsidRDefault="00195CC7" w:rsidP="001B757C">
            <w:pPr>
              <w:pStyle w:val="ListParagraph"/>
              <w:numPr>
                <w:ilvl w:val="0"/>
                <w:numId w:val="45"/>
              </w:numPr>
              <w:spacing w:after="0" w:line="240" w:lineRule="auto"/>
              <w:rPr>
                <w:rFonts w:asciiTheme="minorHAnsi" w:hAnsiTheme="minorHAnsi"/>
                <w:sz w:val="16"/>
                <w:szCs w:val="16"/>
              </w:rPr>
            </w:pPr>
            <w:r w:rsidRPr="00BF281D">
              <w:rPr>
                <w:rFonts w:asciiTheme="minorHAnsi" w:hAnsiTheme="minorHAnsi"/>
                <w:sz w:val="16"/>
                <w:szCs w:val="16"/>
              </w:rPr>
              <w:t>incident reporting</w:t>
            </w:r>
          </w:p>
          <w:p w14:paraId="33AF11F9" w14:textId="77777777" w:rsidR="00195CC7" w:rsidRPr="00BF281D" w:rsidRDefault="00195CC7" w:rsidP="002C7F2E">
            <w:pPr>
              <w:rPr>
                <w:rFonts w:asciiTheme="minorHAnsi" w:hAnsiTheme="minorHAnsi"/>
                <w:sz w:val="16"/>
                <w:szCs w:val="16"/>
              </w:rPr>
            </w:pPr>
          </w:p>
        </w:tc>
        <w:tc>
          <w:tcPr>
            <w:tcW w:w="3685" w:type="dxa"/>
          </w:tcPr>
          <w:p w14:paraId="5E51598B" w14:textId="77777777" w:rsidR="00195CC7" w:rsidRPr="00BF281D" w:rsidRDefault="00195CC7" w:rsidP="001B757C">
            <w:pPr>
              <w:pStyle w:val="ListParagraph"/>
              <w:numPr>
                <w:ilvl w:val="0"/>
                <w:numId w:val="45"/>
              </w:numPr>
              <w:spacing w:after="0" w:line="240" w:lineRule="auto"/>
              <w:rPr>
                <w:rFonts w:asciiTheme="minorHAnsi" w:eastAsiaTheme="minorEastAsia" w:hAnsiTheme="minorHAnsi"/>
                <w:sz w:val="16"/>
                <w:szCs w:val="16"/>
              </w:rPr>
            </w:pPr>
            <w:r w:rsidRPr="00BF281D">
              <w:rPr>
                <w:rFonts w:asciiTheme="minorHAnsi" w:hAnsiTheme="minorHAnsi"/>
                <w:sz w:val="16"/>
                <w:szCs w:val="16"/>
              </w:rPr>
              <w:t xml:space="preserve">Operation plan - outcomes-based approach focused on identifying, </w:t>
            </w:r>
            <w:proofErr w:type="gramStart"/>
            <w:r w:rsidRPr="00BF281D">
              <w:rPr>
                <w:rFonts w:asciiTheme="minorHAnsi" w:hAnsiTheme="minorHAnsi"/>
                <w:sz w:val="16"/>
                <w:szCs w:val="16"/>
              </w:rPr>
              <w:t>mitigating</w:t>
            </w:r>
            <w:proofErr w:type="gramEnd"/>
            <w:r w:rsidRPr="00BF281D">
              <w:rPr>
                <w:rFonts w:asciiTheme="minorHAnsi" w:hAnsiTheme="minorHAnsi"/>
                <w:sz w:val="16"/>
                <w:szCs w:val="16"/>
              </w:rPr>
              <w:t xml:space="preserve"> and monitoring environmental and safety/ integrity risks. Operation plan must include description of operation, EMP, WOMP, and undertake regular reviews.  </w:t>
            </w:r>
          </w:p>
          <w:p w14:paraId="71E50C66" w14:textId="77777777" w:rsidR="00195CC7" w:rsidRPr="00BF281D" w:rsidRDefault="00195CC7" w:rsidP="001B757C">
            <w:pPr>
              <w:pStyle w:val="ListParagraph"/>
              <w:numPr>
                <w:ilvl w:val="0"/>
                <w:numId w:val="45"/>
              </w:numPr>
              <w:spacing w:after="0" w:line="240" w:lineRule="auto"/>
              <w:rPr>
                <w:rFonts w:asciiTheme="minorHAnsi" w:eastAsiaTheme="minorEastAsia" w:hAnsiTheme="minorHAnsi"/>
                <w:color w:val="000000" w:themeColor="text1"/>
                <w:sz w:val="16"/>
                <w:szCs w:val="16"/>
              </w:rPr>
            </w:pPr>
            <w:r w:rsidRPr="00BF281D">
              <w:rPr>
                <w:rFonts w:asciiTheme="minorHAnsi" w:hAnsiTheme="minorHAnsi"/>
                <w:sz w:val="16"/>
                <w:szCs w:val="16"/>
              </w:rPr>
              <w:t>Report on incident that causes, or could have caused, substantial damage (environment, integrity of operation or the immediate area; or is indicative of a possible future incident; report must be given as soon as is practicable; written follow up report</w:t>
            </w:r>
          </w:p>
        </w:tc>
        <w:tc>
          <w:tcPr>
            <w:tcW w:w="4111" w:type="dxa"/>
          </w:tcPr>
          <w:p w14:paraId="208CB63F" w14:textId="77777777" w:rsidR="00195CC7" w:rsidRPr="00BF281D" w:rsidRDefault="00195CC7" w:rsidP="001B757C">
            <w:pPr>
              <w:pStyle w:val="ListParagraph"/>
              <w:numPr>
                <w:ilvl w:val="0"/>
                <w:numId w:val="42"/>
              </w:numPr>
              <w:spacing w:after="0" w:line="240" w:lineRule="auto"/>
              <w:rPr>
                <w:rFonts w:asciiTheme="minorHAnsi" w:eastAsiaTheme="minorEastAsia" w:hAnsiTheme="minorHAnsi"/>
                <w:sz w:val="16"/>
                <w:szCs w:val="16"/>
              </w:rPr>
            </w:pPr>
            <w:r w:rsidRPr="00BF281D">
              <w:rPr>
                <w:rFonts w:asciiTheme="minorHAnsi" w:hAnsiTheme="minorHAnsi"/>
                <w:sz w:val="16"/>
                <w:szCs w:val="16"/>
              </w:rPr>
              <w:t xml:space="preserve">Outcomes-based approach, whereby operation plan </w:t>
            </w:r>
            <w:proofErr w:type="gramStart"/>
            <w:r w:rsidRPr="00BF281D">
              <w:rPr>
                <w:rFonts w:asciiTheme="minorHAnsi" w:hAnsiTheme="minorHAnsi"/>
                <w:sz w:val="16"/>
                <w:szCs w:val="16"/>
              </w:rPr>
              <w:t>has to</w:t>
            </w:r>
            <w:proofErr w:type="gramEnd"/>
            <w:r w:rsidRPr="00BF281D">
              <w:rPr>
                <w:rFonts w:asciiTheme="minorHAnsi" w:hAnsiTheme="minorHAnsi"/>
                <w:sz w:val="16"/>
                <w:szCs w:val="16"/>
              </w:rPr>
              <w:t xml:space="preserve"> meet general criteria / objectives</w:t>
            </w:r>
          </w:p>
          <w:p w14:paraId="513844C2" w14:textId="77777777" w:rsidR="00195CC7" w:rsidRPr="00BF281D" w:rsidRDefault="00195CC7" w:rsidP="001B757C">
            <w:pPr>
              <w:pStyle w:val="ListParagraph"/>
              <w:numPr>
                <w:ilvl w:val="0"/>
                <w:numId w:val="42"/>
              </w:numPr>
              <w:spacing w:after="0" w:line="240" w:lineRule="auto"/>
              <w:rPr>
                <w:rFonts w:asciiTheme="minorHAnsi" w:eastAsiaTheme="minorEastAsia" w:hAnsiTheme="minorHAnsi"/>
                <w:sz w:val="16"/>
                <w:szCs w:val="16"/>
              </w:rPr>
            </w:pPr>
            <w:r w:rsidRPr="00BF281D">
              <w:rPr>
                <w:rFonts w:asciiTheme="minorHAnsi" w:hAnsiTheme="minorHAnsi"/>
                <w:sz w:val="16"/>
                <w:szCs w:val="16"/>
              </w:rPr>
              <w:t>Industry has primary responsibility for monitoring progress against milestones</w:t>
            </w:r>
          </w:p>
          <w:p w14:paraId="76B2B751" w14:textId="7C1B5E55" w:rsidR="00195CC7" w:rsidRPr="00BF281D" w:rsidRDefault="00195CC7" w:rsidP="001B757C">
            <w:pPr>
              <w:pStyle w:val="ListParagraph"/>
              <w:numPr>
                <w:ilvl w:val="0"/>
                <w:numId w:val="42"/>
              </w:numPr>
              <w:spacing w:after="0" w:line="240" w:lineRule="auto"/>
              <w:rPr>
                <w:rFonts w:asciiTheme="minorHAnsi" w:eastAsiaTheme="minorEastAsia" w:hAnsiTheme="minorHAnsi"/>
                <w:sz w:val="16"/>
                <w:szCs w:val="16"/>
              </w:rPr>
            </w:pPr>
            <w:r w:rsidRPr="00BF281D">
              <w:rPr>
                <w:rFonts w:asciiTheme="minorHAnsi" w:hAnsiTheme="minorHAnsi"/>
                <w:sz w:val="16"/>
                <w:szCs w:val="16"/>
              </w:rPr>
              <w:t xml:space="preserve">This approach is </w:t>
            </w:r>
            <w:proofErr w:type="gramStart"/>
            <w:r w:rsidRPr="00BF281D">
              <w:rPr>
                <w:rFonts w:asciiTheme="minorHAnsi" w:hAnsiTheme="minorHAnsi"/>
                <w:sz w:val="16"/>
                <w:szCs w:val="16"/>
              </w:rPr>
              <w:t>similar to</w:t>
            </w:r>
            <w:proofErr w:type="gramEnd"/>
            <w:r w:rsidRPr="00BF281D">
              <w:rPr>
                <w:rFonts w:asciiTheme="minorHAnsi" w:hAnsiTheme="minorHAnsi"/>
                <w:sz w:val="16"/>
                <w:szCs w:val="16"/>
              </w:rPr>
              <w:t xml:space="preserve"> </w:t>
            </w:r>
            <w:r w:rsidR="00965043" w:rsidRPr="00BF281D">
              <w:rPr>
                <w:rFonts w:asciiTheme="minorHAnsi" w:hAnsiTheme="minorHAnsi"/>
                <w:sz w:val="16"/>
                <w:szCs w:val="16"/>
              </w:rPr>
              <w:t>Status Quo</w:t>
            </w:r>
            <w:r w:rsidRPr="00BF281D">
              <w:rPr>
                <w:rFonts w:asciiTheme="minorHAnsi" w:hAnsiTheme="minorHAnsi"/>
                <w:sz w:val="16"/>
                <w:szCs w:val="16"/>
              </w:rPr>
              <w:t xml:space="preserve">, with some modernisation and updating to better meet the overall objectives of operation plan (in context of the amended Act) </w:t>
            </w:r>
          </w:p>
          <w:p w14:paraId="412F8D65" w14:textId="296B29D5" w:rsidR="00195CC7" w:rsidRPr="00BF281D" w:rsidRDefault="00195CC7" w:rsidP="001B757C">
            <w:pPr>
              <w:pStyle w:val="ListParagraph"/>
              <w:numPr>
                <w:ilvl w:val="0"/>
                <w:numId w:val="42"/>
              </w:numPr>
              <w:spacing w:after="0" w:line="240" w:lineRule="auto"/>
              <w:rPr>
                <w:rFonts w:asciiTheme="minorHAnsi" w:eastAsiaTheme="minorEastAsia" w:hAnsiTheme="minorHAnsi"/>
                <w:sz w:val="16"/>
                <w:szCs w:val="16"/>
              </w:rPr>
            </w:pPr>
            <w:r w:rsidRPr="00BF281D">
              <w:rPr>
                <w:rFonts w:asciiTheme="minorHAnsi" w:hAnsiTheme="minorHAnsi"/>
                <w:sz w:val="16"/>
                <w:szCs w:val="16"/>
              </w:rPr>
              <w:t xml:space="preserve">Regulations would be supported by guidelines from the </w:t>
            </w:r>
            <w:r w:rsidR="0081466C" w:rsidRPr="00BF281D">
              <w:rPr>
                <w:rFonts w:asciiTheme="minorHAnsi" w:hAnsiTheme="minorHAnsi"/>
                <w:sz w:val="16"/>
                <w:szCs w:val="16"/>
              </w:rPr>
              <w:t>d</w:t>
            </w:r>
            <w:r w:rsidRPr="00BF281D">
              <w:rPr>
                <w:rFonts w:asciiTheme="minorHAnsi" w:hAnsiTheme="minorHAnsi"/>
                <w:sz w:val="16"/>
                <w:szCs w:val="16"/>
              </w:rPr>
              <w:t>epartment to ensure industry is supported, but guidelines will not be enforceable</w:t>
            </w:r>
          </w:p>
          <w:p w14:paraId="585035FB" w14:textId="77777777" w:rsidR="00195CC7" w:rsidRPr="00BF281D" w:rsidRDefault="00195CC7" w:rsidP="001B757C">
            <w:pPr>
              <w:pStyle w:val="ListParagraph"/>
              <w:numPr>
                <w:ilvl w:val="0"/>
                <w:numId w:val="42"/>
              </w:numPr>
              <w:spacing w:after="0" w:line="240" w:lineRule="auto"/>
              <w:rPr>
                <w:rFonts w:asciiTheme="minorHAnsi" w:eastAsiaTheme="minorEastAsia" w:hAnsiTheme="minorHAnsi"/>
                <w:sz w:val="16"/>
                <w:szCs w:val="16"/>
              </w:rPr>
            </w:pPr>
            <w:r w:rsidRPr="00BF281D">
              <w:rPr>
                <w:rFonts w:asciiTheme="minorHAnsi" w:hAnsiTheme="minorHAnsi"/>
                <w:sz w:val="16"/>
                <w:szCs w:val="16"/>
              </w:rPr>
              <w:t>There would be a moderate level of prescription in relation to submissions processes under the Act, to focus industry on relevant matters (</w:t>
            </w:r>
            <w:proofErr w:type="gramStart"/>
            <w:r w:rsidRPr="00BF281D">
              <w:rPr>
                <w:rFonts w:asciiTheme="minorHAnsi" w:hAnsiTheme="minorHAnsi"/>
                <w:sz w:val="16"/>
                <w:szCs w:val="16"/>
              </w:rPr>
              <w:t>e.g.</w:t>
            </w:r>
            <w:proofErr w:type="gramEnd"/>
            <w:r w:rsidRPr="00BF281D">
              <w:rPr>
                <w:rFonts w:asciiTheme="minorHAnsi" w:hAnsiTheme="minorHAnsi"/>
                <w:sz w:val="16"/>
                <w:szCs w:val="16"/>
              </w:rPr>
              <w:t xml:space="preserve"> identify who may be considered relevant community/person), and establish fundamental expectations (e.g. in relation to content of a notice for operation plan)</w:t>
            </w:r>
          </w:p>
          <w:p w14:paraId="1833B34E" w14:textId="77777777" w:rsidR="00195CC7" w:rsidRPr="00BF281D" w:rsidRDefault="00195CC7" w:rsidP="001B757C">
            <w:pPr>
              <w:pStyle w:val="ListParagraph"/>
              <w:numPr>
                <w:ilvl w:val="0"/>
                <w:numId w:val="42"/>
              </w:numPr>
              <w:spacing w:after="0" w:line="240" w:lineRule="auto"/>
              <w:rPr>
                <w:rFonts w:asciiTheme="minorHAnsi" w:hAnsiTheme="minorHAnsi"/>
                <w:sz w:val="16"/>
                <w:szCs w:val="16"/>
              </w:rPr>
            </w:pPr>
            <w:r w:rsidRPr="00BF281D">
              <w:rPr>
                <w:rFonts w:asciiTheme="minorHAnsi" w:hAnsiTheme="minorHAnsi"/>
                <w:sz w:val="16"/>
                <w:szCs w:val="16"/>
              </w:rPr>
              <w:t>Updated and modernised incident reporting requirements</w:t>
            </w:r>
          </w:p>
        </w:tc>
        <w:tc>
          <w:tcPr>
            <w:tcW w:w="4111" w:type="dxa"/>
          </w:tcPr>
          <w:p w14:paraId="4C726879" w14:textId="77777777" w:rsidR="00195CC7" w:rsidRPr="00BF281D" w:rsidRDefault="00195CC7" w:rsidP="001B757C">
            <w:pPr>
              <w:pStyle w:val="ListParagraph"/>
              <w:numPr>
                <w:ilvl w:val="0"/>
                <w:numId w:val="41"/>
              </w:numPr>
              <w:spacing w:after="0" w:line="240" w:lineRule="auto"/>
              <w:rPr>
                <w:rFonts w:asciiTheme="minorHAnsi" w:eastAsiaTheme="minorEastAsia" w:hAnsiTheme="minorHAnsi"/>
                <w:sz w:val="16"/>
                <w:szCs w:val="16"/>
              </w:rPr>
            </w:pPr>
            <w:r w:rsidRPr="00BF281D">
              <w:rPr>
                <w:rFonts w:asciiTheme="minorHAnsi" w:hAnsiTheme="minorHAnsi"/>
                <w:sz w:val="16"/>
                <w:szCs w:val="16"/>
              </w:rPr>
              <w:t xml:space="preserve">Prescriptive elements as requirements for operation plan, including EMP, WOMP (management of underground component) </w:t>
            </w:r>
          </w:p>
          <w:p w14:paraId="5C1EC6F1" w14:textId="40FEE70D" w:rsidR="00195CC7" w:rsidRPr="00BF281D" w:rsidRDefault="00195CC7" w:rsidP="001B757C">
            <w:pPr>
              <w:pStyle w:val="ListParagraph"/>
              <w:numPr>
                <w:ilvl w:val="0"/>
                <w:numId w:val="41"/>
              </w:numPr>
              <w:spacing w:after="0" w:line="240" w:lineRule="auto"/>
              <w:rPr>
                <w:rFonts w:asciiTheme="minorHAnsi" w:eastAsiaTheme="minorEastAsia" w:hAnsiTheme="minorHAnsi"/>
                <w:sz w:val="16"/>
                <w:szCs w:val="16"/>
              </w:rPr>
            </w:pPr>
            <w:r w:rsidRPr="00BF281D">
              <w:rPr>
                <w:rFonts w:asciiTheme="minorHAnsi" w:hAnsiTheme="minorHAnsi"/>
                <w:sz w:val="16"/>
                <w:szCs w:val="16"/>
              </w:rPr>
              <w:t>General rehabilitation requirements would be prescribed (above ground component) as part of a rehabilitation plan that sits under the operation plan.</w:t>
            </w:r>
          </w:p>
          <w:p w14:paraId="23C2F55A" w14:textId="77777777" w:rsidR="00195CC7" w:rsidRPr="00BF281D" w:rsidRDefault="00195CC7" w:rsidP="001B757C">
            <w:pPr>
              <w:pStyle w:val="ListParagraph"/>
              <w:numPr>
                <w:ilvl w:val="0"/>
                <w:numId w:val="41"/>
              </w:numPr>
              <w:spacing w:after="0" w:line="240" w:lineRule="auto"/>
              <w:rPr>
                <w:rFonts w:asciiTheme="minorHAnsi" w:hAnsiTheme="minorHAnsi"/>
                <w:sz w:val="16"/>
                <w:szCs w:val="16"/>
              </w:rPr>
            </w:pPr>
            <w:r w:rsidRPr="00BF281D">
              <w:rPr>
                <w:rFonts w:asciiTheme="minorHAnsi" w:hAnsiTheme="minorHAnsi"/>
                <w:sz w:val="16"/>
                <w:szCs w:val="16"/>
              </w:rPr>
              <w:t>Prescribe requirements for liability assessment information to be provided with the operation plan.</w:t>
            </w:r>
          </w:p>
          <w:p w14:paraId="094B4375" w14:textId="77777777" w:rsidR="00195CC7" w:rsidRPr="00BF281D" w:rsidRDefault="00195CC7" w:rsidP="001B757C">
            <w:pPr>
              <w:pStyle w:val="ListParagraph"/>
              <w:numPr>
                <w:ilvl w:val="0"/>
                <w:numId w:val="41"/>
              </w:numPr>
              <w:spacing w:after="0" w:line="240" w:lineRule="auto"/>
              <w:rPr>
                <w:rFonts w:asciiTheme="minorHAnsi" w:eastAsiaTheme="minorEastAsia" w:hAnsiTheme="minorHAnsi"/>
                <w:sz w:val="16"/>
                <w:szCs w:val="16"/>
              </w:rPr>
            </w:pPr>
            <w:r w:rsidRPr="00BF281D">
              <w:rPr>
                <w:rFonts w:asciiTheme="minorHAnsi" w:hAnsiTheme="minorHAnsi"/>
                <w:sz w:val="16"/>
                <w:szCs w:val="16"/>
              </w:rPr>
              <w:t>Competency standards to be applied for well construction and decommissioning.</w:t>
            </w:r>
          </w:p>
          <w:p w14:paraId="2767971A" w14:textId="77777777" w:rsidR="00195CC7" w:rsidRPr="00BF281D" w:rsidRDefault="00195CC7" w:rsidP="001B757C">
            <w:pPr>
              <w:pStyle w:val="ListParagraph"/>
              <w:numPr>
                <w:ilvl w:val="0"/>
                <w:numId w:val="41"/>
              </w:numPr>
              <w:spacing w:after="0" w:line="240" w:lineRule="auto"/>
              <w:rPr>
                <w:rFonts w:asciiTheme="minorHAnsi" w:hAnsiTheme="minorHAnsi"/>
                <w:sz w:val="16"/>
                <w:szCs w:val="16"/>
              </w:rPr>
            </w:pPr>
            <w:r w:rsidRPr="00BF281D">
              <w:rPr>
                <w:rFonts w:asciiTheme="minorHAnsi" w:hAnsiTheme="minorHAnsi"/>
                <w:sz w:val="16"/>
                <w:szCs w:val="16"/>
              </w:rPr>
              <w:t>Prescribed requirement to specify and commit to community engagement during activities under the operation plan.</w:t>
            </w:r>
          </w:p>
          <w:p w14:paraId="4C1C91BE" w14:textId="77777777" w:rsidR="00195CC7" w:rsidRPr="00BF281D" w:rsidRDefault="00195CC7" w:rsidP="001B757C">
            <w:pPr>
              <w:pStyle w:val="ListParagraph"/>
              <w:numPr>
                <w:ilvl w:val="0"/>
                <w:numId w:val="41"/>
              </w:numPr>
              <w:spacing w:after="0" w:line="240" w:lineRule="auto"/>
              <w:rPr>
                <w:rFonts w:asciiTheme="minorHAnsi" w:eastAsiaTheme="minorEastAsia" w:hAnsiTheme="minorHAnsi"/>
                <w:sz w:val="16"/>
                <w:szCs w:val="16"/>
              </w:rPr>
            </w:pPr>
            <w:r w:rsidRPr="00BF281D">
              <w:rPr>
                <w:rFonts w:asciiTheme="minorHAnsi" w:eastAsiaTheme="minorEastAsia" w:hAnsiTheme="minorHAnsi"/>
                <w:sz w:val="16"/>
                <w:szCs w:val="16"/>
              </w:rPr>
              <w:t>Prescribed requirement for industry to baseline, monitor and report against aquifer impacts.</w:t>
            </w:r>
          </w:p>
          <w:p w14:paraId="7F1002EE" w14:textId="14558F8A" w:rsidR="00195CC7" w:rsidRPr="00BF281D" w:rsidRDefault="00195CC7" w:rsidP="001B757C">
            <w:pPr>
              <w:pStyle w:val="ListParagraph"/>
              <w:numPr>
                <w:ilvl w:val="0"/>
                <w:numId w:val="41"/>
              </w:numPr>
              <w:spacing w:after="0" w:line="240" w:lineRule="auto"/>
              <w:rPr>
                <w:rFonts w:asciiTheme="minorHAnsi" w:eastAsiaTheme="minorEastAsia" w:hAnsiTheme="minorHAnsi"/>
                <w:sz w:val="16"/>
                <w:szCs w:val="16"/>
              </w:rPr>
            </w:pPr>
            <w:r w:rsidRPr="00BF281D">
              <w:rPr>
                <w:rFonts w:asciiTheme="minorHAnsi" w:eastAsiaTheme="minorEastAsia" w:hAnsiTheme="minorHAnsi"/>
                <w:sz w:val="16"/>
                <w:szCs w:val="16"/>
              </w:rPr>
              <w:t xml:space="preserve">Prescribe requirement for EMP to provide an estimate of </w:t>
            </w:r>
            <w:r w:rsidR="00100392">
              <w:rPr>
                <w:rFonts w:asciiTheme="minorHAnsi" w:eastAsiaTheme="minorEastAsia" w:hAnsiTheme="minorHAnsi"/>
                <w:sz w:val="16"/>
                <w:szCs w:val="16"/>
              </w:rPr>
              <w:t>hydrocarbon</w:t>
            </w:r>
            <w:r w:rsidR="00100392" w:rsidRPr="00BF281D">
              <w:rPr>
                <w:rFonts w:asciiTheme="minorHAnsi" w:eastAsiaTheme="minorEastAsia" w:hAnsiTheme="minorHAnsi"/>
                <w:sz w:val="16"/>
                <w:szCs w:val="16"/>
              </w:rPr>
              <w:t xml:space="preserve"> </w:t>
            </w:r>
            <w:r w:rsidRPr="00BF281D">
              <w:rPr>
                <w:rFonts w:asciiTheme="minorHAnsi" w:eastAsiaTheme="minorEastAsia" w:hAnsiTheme="minorHAnsi"/>
                <w:sz w:val="16"/>
                <w:szCs w:val="16"/>
              </w:rPr>
              <w:t>emissions from the operation and how these will be minimized.</w:t>
            </w:r>
          </w:p>
          <w:p w14:paraId="244D6DA8" w14:textId="77777777" w:rsidR="00195CC7" w:rsidRPr="00BF281D" w:rsidRDefault="00195CC7" w:rsidP="001B757C">
            <w:pPr>
              <w:pStyle w:val="ListParagraph"/>
              <w:numPr>
                <w:ilvl w:val="0"/>
                <w:numId w:val="41"/>
              </w:numPr>
              <w:spacing w:after="0" w:line="259" w:lineRule="auto"/>
              <w:rPr>
                <w:rFonts w:asciiTheme="minorHAnsi" w:eastAsiaTheme="minorEastAsia" w:hAnsiTheme="minorHAnsi"/>
                <w:sz w:val="16"/>
                <w:szCs w:val="16"/>
              </w:rPr>
            </w:pPr>
            <w:r w:rsidRPr="00BF281D">
              <w:rPr>
                <w:rFonts w:asciiTheme="minorHAnsi" w:hAnsiTheme="minorHAnsi"/>
                <w:sz w:val="16"/>
                <w:szCs w:val="16"/>
              </w:rPr>
              <w:t>Stronger prescription for consultation processes in relation to preparation of an operation plan (</w:t>
            </w:r>
            <w:proofErr w:type="gramStart"/>
            <w:r w:rsidRPr="00BF281D">
              <w:rPr>
                <w:rFonts w:asciiTheme="minorHAnsi" w:hAnsiTheme="minorHAnsi"/>
                <w:sz w:val="16"/>
                <w:szCs w:val="16"/>
              </w:rPr>
              <w:t>e.g.</w:t>
            </w:r>
            <w:proofErr w:type="gramEnd"/>
            <w:r w:rsidRPr="00BF281D">
              <w:rPr>
                <w:rFonts w:asciiTheme="minorHAnsi" w:hAnsiTheme="minorHAnsi"/>
                <w:sz w:val="16"/>
                <w:szCs w:val="16"/>
              </w:rPr>
              <w:t xml:space="preserve"> requirements to make operations plans or other information available in support of the notice requirements).</w:t>
            </w:r>
          </w:p>
          <w:p w14:paraId="49748FFC" w14:textId="0DF2C773" w:rsidR="00195CC7" w:rsidRPr="00BF281D" w:rsidRDefault="00195CC7" w:rsidP="001B757C">
            <w:pPr>
              <w:pStyle w:val="ListParagraph"/>
              <w:numPr>
                <w:ilvl w:val="0"/>
                <w:numId w:val="41"/>
              </w:numPr>
              <w:spacing w:after="0" w:line="240" w:lineRule="auto"/>
              <w:rPr>
                <w:rFonts w:asciiTheme="minorHAnsi" w:eastAsiaTheme="minorEastAsia" w:hAnsiTheme="minorHAnsi"/>
                <w:sz w:val="16"/>
                <w:szCs w:val="16"/>
              </w:rPr>
            </w:pPr>
            <w:r w:rsidRPr="00BF281D">
              <w:rPr>
                <w:rFonts w:asciiTheme="minorHAnsi" w:hAnsiTheme="minorHAnsi"/>
                <w:sz w:val="16"/>
                <w:szCs w:val="16"/>
              </w:rPr>
              <w:t>Regulations would be supported by a Code of Practice for well operations management, which will also be a legislative instrument and used for enforcement</w:t>
            </w:r>
          </w:p>
          <w:p w14:paraId="6C7F0524" w14:textId="31706C10" w:rsidR="00195CC7" w:rsidRPr="00BF281D" w:rsidRDefault="00195CC7" w:rsidP="00C73B72">
            <w:pPr>
              <w:pStyle w:val="ListParagraph"/>
              <w:numPr>
                <w:ilvl w:val="0"/>
                <w:numId w:val="41"/>
              </w:numPr>
              <w:spacing w:after="0" w:line="259" w:lineRule="auto"/>
              <w:rPr>
                <w:rFonts w:asciiTheme="minorHAnsi" w:hAnsiTheme="minorHAnsi"/>
                <w:sz w:val="16"/>
                <w:szCs w:val="16"/>
              </w:rPr>
            </w:pPr>
            <w:r w:rsidRPr="00BF281D">
              <w:rPr>
                <w:rFonts w:asciiTheme="minorHAnsi" w:hAnsiTheme="minorHAnsi"/>
                <w:sz w:val="16"/>
                <w:szCs w:val="16"/>
              </w:rPr>
              <w:t>Prescriptive incident reporting requirements to align with comparable regulatory regimes (</w:t>
            </w:r>
            <w:proofErr w:type="gramStart"/>
            <w:r w:rsidRPr="00BF281D">
              <w:rPr>
                <w:rFonts w:asciiTheme="minorHAnsi" w:hAnsiTheme="minorHAnsi"/>
                <w:sz w:val="16"/>
                <w:szCs w:val="16"/>
              </w:rPr>
              <w:t>e.g.</w:t>
            </w:r>
            <w:proofErr w:type="gramEnd"/>
            <w:r w:rsidRPr="00BF281D">
              <w:rPr>
                <w:rFonts w:asciiTheme="minorHAnsi" w:hAnsiTheme="minorHAnsi"/>
                <w:sz w:val="16"/>
                <w:szCs w:val="16"/>
              </w:rPr>
              <w:t xml:space="preserve"> under offshore petroleum framework).</w:t>
            </w:r>
          </w:p>
        </w:tc>
      </w:tr>
      <w:tr w:rsidR="00064D6C" w:rsidRPr="00BF281D" w14:paraId="29D0F602" w14:textId="77777777" w:rsidTr="00C73B72">
        <w:trPr>
          <w:trHeight w:val="3048"/>
        </w:trPr>
        <w:tc>
          <w:tcPr>
            <w:tcW w:w="0" w:type="dxa"/>
          </w:tcPr>
          <w:p w14:paraId="6E918999" w14:textId="77777777" w:rsidR="00410B34" w:rsidRPr="00BF281D" w:rsidRDefault="00410B34" w:rsidP="00410B34">
            <w:pPr>
              <w:spacing w:after="0" w:line="240" w:lineRule="auto"/>
              <w:rPr>
                <w:b/>
                <w:bCs/>
                <w:sz w:val="16"/>
                <w:szCs w:val="16"/>
              </w:rPr>
            </w:pPr>
            <w:r w:rsidRPr="00BF281D">
              <w:rPr>
                <w:b/>
                <w:bCs/>
                <w:sz w:val="16"/>
                <w:szCs w:val="16"/>
              </w:rPr>
              <w:lastRenderedPageBreak/>
              <w:t>Information</w:t>
            </w:r>
          </w:p>
          <w:p w14:paraId="6058AA64" w14:textId="77777777" w:rsidR="00410B34" w:rsidRPr="00BF281D" w:rsidRDefault="00410B34" w:rsidP="001B757C">
            <w:pPr>
              <w:pStyle w:val="ListParagraph"/>
              <w:numPr>
                <w:ilvl w:val="0"/>
                <w:numId w:val="50"/>
              </w:numPr>
              <w:spacing w:after="0" w:line="240" w:lineRule="auto"/>
              <w:rPr>
                <w:rFonts w:eastAsiaTheme="minorEastAsia"/>
                <w:sz w:val="16"/>
                <w:szCs w:val="16"/>
              </w:rPr>
            </w:pPr>
            <w:r w:rsidRPr="00BF281D">
              <w:rPr>
                <w:sz w:val="16"/>
                <w:szCs w:val="16"/>
              </w:rPr>
              <w:t>reporting / submission of samples</w:t>
            </w:r>
          </w:p>
          <w:p w14:paraId="448DA940" w14:textId="77777777" w:rsidR="00410B34" w:rsidRPr="00BF281D" w:rsidRDefault="00410B34" w:rsidP="001B757C">
            <w:pPr>
              <w:pStyle w:val="ListParagraph"/>
              <w:numPr>
                <w:ilvl w:val="0"/>
                <w:numId w:val="50"/>
              </w:numPr>
              <w:spacing w:after="0" w:line="240" w:lineRule="auto"/>
              <w:rPr>
                <w:sz w:val="16"/>
                <w:szCs w:val="16"/>
              </w:rPr>
            </w:pPr>
            <w:r w:rsidRPr="00BF281D">
              <w:rPr>
                <w:sz w:val="16"/>
                <w:szCs w:val="16"/>
              </w:rPr>
              <w:t>release of information</w:t>
            </w:r>
          </w:p>
          <w:p w14:paraId="09A2DDCF" w14:textId="77777777" w:rsidR="00410B34" w:rsidRPr="00BF281D" w:rsidRDefault="00410B34" w:rsidP="001B757C">
            <w:pPr>
              <w:pStyle w:val="ListParagraph"/>
              <w:numPr>
                <w:ilvl w:val="0"/>
                <w:numId w:val="50"/>
              </w:numPr>
              <w:spacing w:after="0" w:line="240" w:lineRule="auto"/>
              <w:rPr>
                <w:sz w:val="16"/>
                <w:szCs w:val="16"/>
              </w:rPr>
            </w:pPr>
            <w:r w:rsidRPr="00BF281D">
              <w:rPr>
                <w:sz w:val="16"/>
                <w:szCs w:val="16"/>
              </w:rPr>
              <w:t>petroleum register</w:t>
            </w:r>
          </w:p>
          <w:p w14:paraId="482414B5" w14:textId="77777777" w:rsidR="00410B34" w:rsidRPr="00BF281D" w:rsidRDefault="00410B34" w:rsidP="00410B34">
            <w:pPr>
              <w:spacing w:after="0" w:line="240" w:lineRule="auto"/>
              <w:rPr>
                <w:sz w:val="16"/>
                <w:szCs w:val="16"/>
              </w:rPr>
            </w:pPr>
          </w:p>
          <w:p w14:paraId="1695B4A5" w14:textId="77777777" w:rsidR="00410B34" w:rsidRPr="00BF281D" w:rsidRDefault="00410B34" w:rsidP="00410B34">
            <w:pPr>
              <w:rPr>
                <w:rFonts w:asciiTheme="minorHAnsi" w:hAnsiTheme="minorHAnsi"/>
                <w:b/>
                <w:bCs/>
                <w:sz w:val="16"/>
                <w:szCs w:val="16"/>
              </w:rPr>
            </w:pPr>
          </w:p>
        </w:tc>
        <w:tc>
          <w:tcPr>
            <w:tcW w:w="3685" w:type="dxa"/>
          </w:tcPr>
          <w:p w14:paraId="2B3B3AAC" w14:textId="77777777" w:rsidR="00410B34" w:rsidRPr="00BF281D" w:rsidRDefault="00410B34" w:rsidP="001B757C">
            <w:pPr>
              <w:pStyle w:val="ListParagraph"/>
              <w:numPr>
                <w:ilvl w:val="0"/>
                <w:numId w:val="50"/>
              </w:numPr>
              <w:spacing w:after="0" w:line="240" w:lineRule="auto"/>
              <w:rPr>
                <w:rFonts w:eastAsiaTheme="minorEastAsia"/>
                <w:sz w:val="16"/>
                <w:szCs w:val="16"/>
              </w:rPr>
            </w:pPr>
            <w:r w:rsidRPr="00BF281D">
              <w:rPr>
                <w:sz w:val="16"/>
                <w:szCs w:val="16"/>
              </w:rPr>
              <w:t xml:space="preserve">annual report, including petroleum operation activities (if any); conclusions derived from petroleum exploration activities and reports and studies relating to those activities.  </w:t>
            </w:r>
          </w:p>
          <w:p w14:paraId="1A46A6F0" w14:textId="77777777" w:rsidR="00410B34" w:rsidRPr="00BF281D" w:rsidRDefault="00410B34" w:rsidP="001B757C">
            <w:pPr>
              <w:pStyle w:val="ListParagraph"/>
              <w:numPr>
                <w:ilvl w:val="0"/>
                <w:numId w:val="50"/>
              </w:numPr>
              <w:spacing w:after="0" w:line="240" w:lineRule="auto"/>
              <w:rPr>
                <w:sz w:val="16"/>
                <w:szCs w:val="16"/>
              </w:rPr>
            </w:pPr>
            <w:r w:rsidRPr="00BF281D">
              <w:rPr>
                <w:sz w:val="16"/>
                <w:szCs w:val="16"/>
              </w:rPr>
              <w:t xml:space="preserve">Reports of surveys, </w:t>
            </w:r>
            <w:proofErr w:type="gramStart"/>
            <w:r w:rsidRPr="00BF281D">
              <w:rPr>
                <w:sz w:val="16"/>
                <w:szCs w:val="16"/>
              </w:rPr>
              <w:t>drilling</w:t>
            </w:r>
            <w:proofErr w:type="gramEnd"/>
            <w:r w:rsidRPr="00BF281D">
              <w:rPr>
                <w:sz w:val="16"/>
                <w:szCs w:val="16"/>
              </w:rPr>
              <w:t xml:space="preserve"> and other activities</w:t>
            </w:r>
          </w:p>
          <w:p w14:paraId="237EFF7C" w14:textId="77777777" w:rsidR="00410B34" w:rsidRPr="00BF281D" w:rsidRDefault="00410B34" w:rsidP="001B757C">
            <w:pPr>
              <w:pStyle w:val="ListParagraph"/>
              <w:numPr>
                <w:ilvl w:val="0"/>
                <w:numId w:val="50"/>
              </w:numPr>
              <w:spacing w:after="0" w:line="240" w:lineRule="auto"/>
              <w:rPr>
                <w:sz w:val="16"/>
                <w:szCs w:val="16"/>
              </w:rPr>
            </w:pPr>
            <w:r w:rsidRPr="00BF281D">
              <w:rPr>
                <w:sz w:val="16"/>
                <w:szCs w:val="16"/>
              </w:rPr>
              <w:t xml:space="preserve">monthly report by holder of production licence </w:t>
            </w:r>
          </w:p>
          <w:p w14:paraId="083FC9C7" w14:textId="74B76AB4" w:rsidR="00410B34" w:rsidRPr="00BF281D" w:rsidRDefault="00410B34" w:rsidP="001B757C">
            <w:pPr>
              <w:pStyle w:val="ListParagraph"/>
              <w:numPr>
                <w:ilvl w:val="0"/>
                <w:numId w:val="50"/>
              </w:numPr>
              <w:spacing w:after="0" w:line="240" w:lineRule="auto"/>
              <w:rPr>
                <w:sz w:val="16"/>
                <w:szCs w:val="16"/>
              </w:rPr>
            </w:pPr>
            <w:r w:rsidRPr="00BF281D">
              <w:rPr>
                <w:sz w:val="16"/>
                <w:szCs w:val="16"/>
              </w:rPr>
              <w:t>No additional prescribed requirements for register or release of information (Act requirements apply)</w:t>
            </w:r>
          </w:p>
        </w:tc>
        <w:tc>
          <w:tcPr>
            <w:tcW w:w="4111" w:type="dxa"/>
          </w:tcPr>
          <w:p w14:paraId="522B695F" w14:textId="77777777" w:rsidR="00410B34" w:rsidRPr="00BF281D" w:rsidRDefault="00410B34" w:rsidP="001B757C">
            <w:pPr>
              <w:pStyle w:val="ListParagraph"/>
              <w:numPr>
                <w:ilvl w:val="0"/>
                <w:numId w:val="51"/>
              </w:numPr>
              <w:spacing w:after="0" w:line="240" w:lineRule="auto"/>
              <w:rPr>
                <w:rFonts w:eastAsiaTheme="minorEastAsia"/>
                <w:sz w:val="16"/>
                <w:szCs w:val="16"/>
              </w:rPr>
            </w:pPr>
            <w:r w:rsidRPr="00BF281D">
              <w:rPr>
                <w:sz w:val="16"/>
                <w:szCs w:val="16"/>
              </w:rPr>
              <w:t xml:space="preserve">Regulations to contain broad requirements of types of physical data, </w:t>
            </w:r>
            <w:proofErr w:type="gramStart"/>
            <w:r w:rsidRPr="00BF281D">
              <w:rPr>
                <w:sz w:val="16"/>
                <w:szCs w:val="16"/>
              </w:rPr>
              <w:t>samples</w:t>
            </w:r>
            <w:proofErr w:type="gramEnd"/>
            <w:r w:rsidRPr="00BF281D">
              <w:rPr>
                <w:sz w:val="16"/>
                <w:szCs w:val="16"/>
              </w:rPr>
              <w:t xml:space="preserve"> and cores to be provided (not just reports of such data)</w:t>
            </w:r>
          </w:p>
          <w:p w14:paraId="66764623" w14:textId="77777777" w:rsidR="00410B34" w:rsidRPr="00BF281D" w:rsidRDefault="00410B34" w:rsidP="001B757C">
            <w:pPr>
              <w:pStyle w:val="ListParagraph"/>
              <w:numPr>
                <w:ilvl w:val="0"/>
                <w:numId w:val="51"/>
              </w:numPr>
              <w:spacing w:after="0" w:line="240" w:lineRule="auto"/>
              <w:rPr>
                <w:rFonts w:eastAsiaTheme="minorEastAsia"/>
                <w:sz w:val="16"/>
                <w:szCs w:val="16"/>
              </w:rPr>
            </w:pPr>
            <w:r w:rsidRPr="00BF281D">
              <w:rPr>
                <w:sz w:val="16"/>
                <w:szCs w:val="16"/>
              </w:rPr>
              <w:t>Regulations to require reporting of information on geological data that was provided in the previous year</w:t>
            </w:r>
          </w:p>
          <w:p w14:paraId="243C28CC" w14:textId="1A90B7ED" w:rsidR="00410B34" w:rsidRPr="00BF281D" w:rsidRDefault="00410B34" w:rsidP="001B757C">
            <w:pPr>
              <w:pStyle w:val="ListParagraph"/>
              <w:numPr>
                <w:ilvl w:val="0"/>
                <w:numId w:val="51"/>
              </w:numPr>
              <w:spacing w:after="0" w:line="240" w:lineRule="auto"/>
              <w:rPr>
                <w:sz w:val="16"/>
                <w:szCs w:val="16"/>
              </w:rPr>
            </w:pPr>
            <w:r w:rsidRPr="00BF281D">
              <w:rPr>
                <w:sz w:val="16"/>
                <w:szCs w:val="16"/>
              </w:rPr>
              <w:t>Administrative flexibility to allow Minister and authority holder to agree on timeframes for submitting information</w:t>
            </w:r>
          </w:p>
          <w:p w14:paraId="122C94BD" w14:textId="35DA4591" w:rsidR="00410B34" w:rsidRPr="00BF281D" w:rsidDel="004862D2" w:rsidRDefault="00410B34" w:rsidP="001B757C">
            <w:pPr>
              <w:pStyle w:val="ListParagraph"/>
              <w:numPr>
                <w:ilvl w:val="0"/>
                <w:numId w:val="42"/>
              </w:numPr>
              <w:spacing w:after="0" w:line="240" w:lineRule="auto"/>
              <w:rPr>
                <w:rFonts w:asciiTheme="minorHAnsi" w:hAnsiTheme="minorHAnsi"/>
                <w:b/>
                <w:bCs/>
                <w:sz w:val="16"/>
                <w:szCs w:val="16"/>
              </w:rPr>
            </w:pPr>
            <w:r w:rsidRPr="00BF281D">
              <w:rPr>
                <w:sz w:val="16"/>
                <w:szCs w:val="16"/>
              </w:rPr>
              <w:t>Note</w:t>
            </w:r>
            <w:r w:rsidR="001B73B6" w:rsidRPr="00BF281D">
              <w:rPr>
                <w:sz w:val="16"/>
                <w:szCs w:val="16"/>
              </w:rPr>
              <w:t>:</w:t>
            </w:r>
            <w:r w:rsidRPr="00BF281D">
              <w:rPr>
                <w:sz w:val="16"/>
                <w:szCs w:val="16"/>
              </w:rPr>
              <w:t xml:space="preserve"> no proposed option(s) in relation to release of information/ petroleum register as these covered by Act requirements (no regulations required).</w:t>
            </w:r>
          </w:p>
        </w:tc>
        <w:tc>
          <w:tcPr>
            <w:tcW w:w="4111" w:type="dxa"/>
          </w:tcPr>
          <w:p w14:paraId="7718A1D9" w14:textId="5CBCCDCB" w:rsidR="00410B34" w:rsidRPr="00BF281D" w:rsidRDefault="00410B34" w:rsidP="001B757C">
            <w:pPr>
              <w:pStyle w:val="ListParagraph"/>
              <w:numPr>
                <w:ilvl w:val="0"/>
                <w:numId w:val="52"/>
              </w:numPr>
              <w:spacing w:after="0" w:line="240" w:lineRule="auto"/>
              <w:rPr>
                <w:rFonts w:eastAsiaTheme="minorEastAsia"/>
                <w:sz w:val="16"/>
                <w:szCs w:val="16"/>
              </w:rPr>
            </w:pPr>
            <w:r w:rsidRPr="00BF281D">
              <w:rPr>
                <w:sz w:val="16"/>
                <w:szCs w:val="16"/>
              </w:rPr>
              <w:t xml:space="preserve">Regulations to explicitly prescribe all </w:t>
            </w:r>
            <w:r w:rsidR="00464B8B">
              <w:rPr>
                <w:sz w:val="16"/>
                <w:szCs w:val="16"/>
              </w:rPr>
              <w:t xml:space="preserve">geological survey and well </w:t>
            </w:r>
            <w:r w:rsidRPr="00BF281D">
              <w:rPr>
                <w:sz w:val="16"/>
                <w:szCs w:val="16"/>
              </w:rPr>
              <w:t xml:space="preserve">data, </w:t>
            </w:r>
            <w:proofErr w:type="gramStart"/>
            <w:r w:rsidRPr="00BF281D">
              <w:rPr>
                <w:sz w:val="16"/>
                <w:szCs w:val="16"/>
              </w:rPr>
              <w:t>samples</w:t>
            </w:r>
            <w:proofErr w:type="gramEnd"/>
            <w:r w:rsidRPr="00BF281D">
              <w:rPr>
                <w:sz w:val="16"/>
                <w:szCs w:val="16"/>
              </w:rPr>
              <w:t xml:space="preserve"> and cores to be provided by industry to </w:t>
            </w:r>
            <w:r w:rsidR="00923826" w:rsidRPr="00BF281D">
              <w:rPr>
                <w:sz w:val="16"/>
                <w:szCs w:val="16"/>
              </w:rPr>
              <w:t>g</w:t>
            </w:r>
            <w:r w:rsidRPr="00BF281D">
              <w:rPr>
                <w:sz w:val="16"/>
                <w:szCs w:val="16"/>
              </w:rPr>
              <w:t xml:space="preserve">overnment </w:t>
            </w:r>
          </w:p>
          <w:p w14:paraId="07060A48" w14:textId="245AD21D" w:rsidR="00410B34" w:rsidRPr="00BF281D" w:rsidRDefault="00410B34" w:rsidP="001B757C">
            <w:pPr>
              <w:pStyle w:val="ListParagraph"/>
              <w:numPr>
                <w:ilvl w:val="0"/>
                <w:numId w:val="52"/>
              </w:numPr>
              <w:spacing w:after="0" w:line="240" w:lineRule="auto"/>
              <w:rPr>
                <w:rFonts w:eastAsiaTheme="minorEastAsia"/>
                <w:sz w:val="16"/>
                <w:szCs w:val="16"/>
              </w:rPr>
            </w:pPr>
            <w:r w:rsidRPr="00BF281D">
              <w:rPr>
                <w:sz w:val="16"/>
                <w:szCs w:val="16"/>
              </w:rPr>
              <w:t xml:space="preserve">Regulations will prescribe information to be provided within specified timeframes, including </w:t>
            </w:r>
            <w:r w:rsidR="00F012EF">
              <w:rPr>
                <w:sz w:val="16"/>
                <w:szCs w:val="16"/>
              </w:rPr>
              <w:t xml:space="preserve">a requirement for information requirements to be </w:t>
            </w:r>
            <w:r w:rsidR="001C6559">
              <w:rPr>
                <w:sz w:val="16"/>
                <w:szCs w:val="16"/>
              </w:rPr>
              <w:t xml:space="preserve">fulfilled </w:t>
            </w:r>
            <w:r w:rsidR="001C6559" w:rsidRPr="00BF281D">
              <w:rPr>
                <w:sz w:val="16"/>
                <w:szCs w:val="16"/>
              </w:rPr>
              <w:t>prior</w:t>
            </w:r>
            <w:r w:rsidRPr="00BF281D">
              <w:rPr>
                <w:sz w:val="16"/>
                <w:szCs w:val="16"/>
              </w:rPr>
              <w:t xml:space="preserve"> to surrender of title</w:t>
            </w:r>
          </w:p>
          <w:p w14:paraId="5352C809" w14:textId="4B3B788D" w:rsidR="00410B34" w:rsidRPr="00BF281D" w:rsidDel="004862D2" w:rsidRDefault="00410B34" w:rsidP="001B757C">
            <w:pPr>
              <w:pStyle w:val="ListParagraph"/>
              <w:numPr>
                <w:ilvl w:val="0"/>
                <w:numId w:val="41"/>
              </w:numPr>
              <w:spacing w:after="0" w:line="240" w:lineRule="auto"/>
              <w:rPr>
                <w:rFonts w:asciiTheme="minorHAnsi" w:hAnsiTheme="minorHAnsi"/>
                <w:b/>
                <w:bCs/>
                <w:sz w:val="16"/>
                <w:szCs w:val="16"/>
              </w:rPr>
            </w:pPr>
            <w:r w:rsidRPr="00BF281D">
              <w:rPr>
                <w:sz w:val="16"/>
                <w:szCs w:val="16"/>
              </w:rPr>
              <w:t>Strengthened/new reporting requirements in the regulations (for example, reporting against rehabilitation progress/ changes in liability, and well construction and closure reporting)</w:t>
            </w:r>
          </w:p>
        </w:tc>
      </w:tr>
    </w:tbl>
    <w:p w14:paraId="45D4ED0C" w14:textId="77777777" w:rsidR="000B0C31" w:rsidRPr="00BF281D" w:rsidRDefault="000B0C31" w:rsidP="00195CC7">
      <w:pPr>
        <w:sectPr w:rsidR="000B0C31" w:rsidRPr="00BF281D" w:rsidSect="000B0C31">
          <w:pgSz w:w="16838" w:h="11906" w:orient="landscape" w:code="9"/>
          <w:pgMar w:top="680" w:right="1985" w:bottom="1559" w:left="1134" w:header="680" w:footer="425" w:gutter="0"/>
          <w:cols w:space="284"/>
          <w:docGrid w:linePitch="360"/>
        </w:sectPr>
      </w:pPr>
    </w:p>
    <w:p w14:paraId="78E4DFD8" w14:textId="75FDF2F1" w:rsidR="00AE57AB" w:rsidRPr="00BF281D" w:rsidRDefault="00AE57AB" w:rsidP="00782F23">
      <w:pPr>
        <w:pStyle w:val="Appendixhead1"/>
      </w:pPr>
      <w:bookmarkStart w:id="178" w:name="_Ref65604614"/>
      <w:r w:rsidRPr="00817682">
        <w:lastRenderedPageBreak/>
        <w:t>Stakeholder Engagement</w:t>
      </w:r>
      <w:bookmarkEnd w:id="178"/>
    </w:p>
    <w:p w14:paraId="33071A82" w14:textId="77777777" w:rsidR="00AE11D2" w:rsidRPr="00BF281D" w:rsidRDefault="00AE11D2" w:rsidP="00AE11D2">
      <w:pPr>
        <w:pStyle w:val="Appendixhead2"/>
        <w:numPr>
          <w:ilvl w:val="1"/>
          <w:numId w:val="12"/>
        </w:numPr>
      </w:pPr>
      <w:r w:rsidRPr="001528D0">
        <w:rPr>
          <w:color w:val="012169" w:themeColor="accent4"/>
        </w:rPr>
        <w:t xml:space="preserve">Who was consulted? </w:t>
      </w:r>
    </w:p>
    <w:p w14:paraId="3290CEDC" w14:textId="77777777" w:rsidR="00AE11D2" w:rsidRPr="00BF281D" w:rsidRDefault="00AE11D2" w:rsidP="00AE11D2">
      <w:r w:rsidRPr="00BF281D">
        <w:t>The following stakeholders have been engaged with by either Deloitte or DJPR as part of this RIS process.</w:t>
      </w:r>
    </w:p>
    <w:p w14:paraId="785C9B65" w14:textId="77777777" w:rsidR="00AE11D2" w:rsidRPr="00012DD6" w:rsidRDefault="00AE11D2" w:rsidP="00AE11D2">
      <w:pPr>
        <w:pStyle w:val="Appendixhead3"/>
        <w:numPr>
          <w:ilvl w:val="2"/>
          <w:numId w:val="12"/>
        </w:numPr>
      </w:pPr>
      <w:r w:rsidRPr="00012DD6">
        <w:t>Authority holders</w:t>
      </w:r>
    </w:p>
    <w:p w14:paraId="13C26ADA" w14:textId="77777777" w:rsidR="00AE11D2" w:rsidRPr="00012DD6" w:rsidRDefault="00AE11D2" w:rsidP="001B757C">
      <w:pPr>
        <w:pStyle w:val="ListParagraph"/>
        <w:numPr>
          <w:ilvl w:val="0"/>
          <w:numId w:val="55"/>
        </w:numPr>
      </w:pPr>
      <w:r w:rsidRPr="00012DD6">
        <w:t>Vintage Energy</w:t>
      </w:r>
    </w:p>
    <w:p w14:paraId="2489FC19" w14:textId="77777777" w:rsidR="00AE11D2" w:rsidRPr="00012DD6" w:rsidRDefault="00AE11D2" w:rsidP="001B757C">
      <w:pPr>
        <w:pStyle w:val="ListParagraph"/>
        <w:numPr>
          <w:ilvl w:val="0"/>
          <w:numId w:val="55"/>
        </w:numPr>
      </w:pPr>
      <w:r w:rsidRPr="00012DD6">
        <w:t>Lochard Energy</w:t>
      </w:r>
    </w:p>
    <w:p w14:paraId="5C9908D2" w14:textId="77777777" w:rsidR="00AE11D2" w:rsidRPr="00012DD6" w:rsidRDefault="00AE11D2" w:rsidP="001B757C">
      <w:pPr>
        <w:pStyle w:val="ListParagraph"/>
        <w:numPr>
          <w:ilvl w:val="0"/>
          <w:numId w:val="55"/>
        </w:numPr>
      </w:pPr>
      <w:r w:rsidRPr="00012DD6">
        <w:t>Icon Energy</w:t>
      </w:r>
    </w:p>
    <w:p w14:paraId="75F453E7" w14:textId="77777777" w:rsidR="00AE11D2" w:rsidRPr="00012DD6" w:rsidRDefault="00AE11D2" w:rsidP="001B757C">
      <w:pPr>
        <w:pStyle w:val="ListParagraph"/>
        <w:numPr>
          <w:ilvl w:val="0"/>
          <w:numId w:val="55"/>
        </w:numPr>
      </w:pPr>
      <w:r w:rsidRPr="00012DD6">
        <w:t>Bridgeport Energy</w:t>
      </w:r>
    </w:p>
    <w:p w14:paraId="3943A92C" w14:textId="77777777" w:rsidR="00AE11D2" w:rsidRPr="00012DD6" w:rsidRDefault="00AE11D2" w:rsidP="001B757C">
      <w:pPr>
        <w:pStyle w:val="ListParagraph"/>
        <w:numPr>
          <w:ilvl w:val="0"/>
          <w:numId w:val="55"/>
        </w:numPr>
      </w:pPr>
      <w:r w:rsidRPr="00012DD6">
        <w:t>Cooper Energy</w:t>
      </w:r>
    </w:p>
    <w:p w14:paraId="73BDD852" w14:textId="77777777" w:rsidR="00AE11D2" w:rsidRPr="00012DD6" w:rsidRDefault="00AE11D2" w:rsidP="001B757C">
      <w:pPr>
        <w:pStyle w:val="ListParagraph"/>
        <w:numPr>
          <w:ilvl w:val="0"/>
          <w:numId w:val="55"/>
        </w:numPr>
      </w:pPr>
      <w:r w:rsidRPr="00012DD6">
        <w:t>Beach Energy</w:t>
      </w:r>
    </w:p>
    <w:p w14:paraId="5520ABBD" w14:textId="77777777" w:rsidR="00AE11D2" w:rsidRPr="00012DD6" w:rsidRDefault="00AE11D2" w:rsidP="001B757C">
      <w:pPr>
        <w:pStyle w:val="ListParagraph"/>
        <w:numPr>
          <w:ilvl w:val="0"/>
          <w:numId w:val="55"/>
        </w:numPr>
      </w:pPr>
      <w:r w:rsidRPr="00012DD6">
        <w:t>Exxon Mobil</w:t>
      </w:r>
    </w:p>
    <w:p w14:paraId="61694581" w14:textId="77777777" w:rsidR="00AE11D2" w:rsidRPr="00012DD6" w:rsidRDefault="00AE11D2" w:rsidP="001B757C">
      <w:pPr>
        <w:pStyle w:val="ListParagraph"/>
        <w:numPr>
          <w:ilvl w:val="0"/>
          <w:numId w:val="55"/>
        </w:numPr>
      </w:pPr>
      <w:r w:rsidRPr="00012DD6">
        <w:t>Petro Tech</w:t>
      </w:r>
    </w:p>
    <w:p w14:paraId="1E9C4985" w14:textId="77777777" w:rsidR="00AE11D2" w:rsidRPr="00012DD6" w:rsidRDefault="00AE11D2" w:rsidP="001B757C">
      <w:pPr>
        <w:pStyle w:val="ListParagraph"/>
        <w:numPr>
          <w:ilvl w:val="0"/>
          <w:numId w:val="55"/>
        </w:numPr>
      </w:pPr>
      <w:r w:rsidRPr="00012DD6">
        <w:t>Mirboo Ridge</w:t>
      </w:r>
    </w:p>
    <w:p w14:paraId="6CBD3D1E" w14:textId="77777777" w:rsidR="00AE11D2" w:rsidRPr="00012DD6" w:rsidRDefault="00AE11D2" w:rsidP="001B757C">
      <w:pPr>
        <w:pStyle w:val="ListParagraph"/>
        <w:numPr>
          <w:ilvl w:val="0"/>
          <w:numId w:val="55"/>
        </w:numPr>
      </w:pPr>
      <w:r w:rsidRPr="00012DD6">
        <w:t xml:space="preserve">Lakes Oil </w:t>
      </w:r>
    </w:p>
    <w:p w14:paraId="226824AE" w14:textId="54644414" w:rsidR="00AE11D2" w:rsidRPr="00012DD6" w:rsidRDefault="00AE11D2" w:rsidP="001B757C">
      <w:pPr>
        <w:pStyle w:val="ListParagraph"/>
        <w:numPr>
          <w:ilvl w:val="0"/>
          <w:numId w:val="55"/>
        </w:numPr>
      </w:pPr>
      <w:r w:rsidRPr="00012DD6">
        <w:t xml:space="preserve">Apologies - Co2CRC </w:t>
      </w:r>
    </w:p>
    <w:p w14:paraId="1053F1FE" w14:textId="77777777" w:rsidR="00AE11D2" w:rsidRPr="00012DD6" w:rsidRDefault="00AE11D2" w:rsidP="00AE11D2">
      <w:pPr>
        <w:pStyle w:val="Appendixhead3"/>
        <w:numPr>
          <w:ilvl w:val="2"/>
          <w:numId w:val="12"/>
        </w:numPr>
      </w:pPr>
      <w:r w:rsidRPr="00012DD6">
        <w:t>Government departments and agencies</w:t>
      </w:r>
    </w:p>
    <w:p w14:paraId="7F775B63" w14:textId="77777777" w:rsidR="00AE11D2" w:rsidRPr="00012DD6" w:rsidRDefault="00AE11D2" w:rsidP="001B757C">
      <w:pPr>
        <w:pStyle w:val="ListParagraph"/>
        <w:numPr>
          <w:ilvl w:val="0"/>
          <w:numId w:val="56"/>
        </w:numPr>
      </w:pPr>
      <w:r w:rsidRPr="00012DD6">
        <w:t>Department of Environment, Land, Water and Planning</w:t>
      </w:r>
    </w:p>
    <w:p w14:paraId="20F9D50F" w14:textId="77777777" w:rsidR="00AE11D2" w:rsidRPr="00012DD6" w:rsidRDefault="00AE11D2" w:rsidP="001B757C">
      <w:pPr>
        <w:pStyle w:val="ListParagraph"/>
        <w:numPr>
          <w:ilvl w:val="0"/>
          <w:numId w:val="56"/>
        </w:numPr>
      </w:pPr>
      <w:r w:rsidRPr="00012DD6">
        <w:t>Environment Protection Authority Victoria</w:t>
      </w:r>
    </w:p>
    <w:p w14:paraId="2B6F7019" w14:textId="77777777" w:rsidR="00AE11D2" w:rsidRPr="00012DD6" w:rsidRDefault="00AE11D2" w:rsidP="001B757C">
      <w:pPr>
        <w:pStyle w:val="ListParagraph"/>
        <w:numPr>
          <w:ilvl w:val="0"/>
          <w:numId w:val="56"/>
        </w:numPr>
      </w:pPr>
      <w:r w:rsidRPr="00012DD6">
        <w:t>Southern Rural Water</w:t>
      </w:r>
    </w:p>
    <w:p w14:paraId="6D2C4C24" w14:textId="77777777" w:rsidR="00AE11D2" w:rsidRPr="00012DD6" w:rsidRDefault="00AE11D2" w:rsidP="001B757C">
      <w:pPr>
        <w:pStyle w:val="ListParagraph"/>
        <w:numPr>
          <w:ilvl w:val="0"/>
          <w:numId w:val="56"/>
        </w:numPr>
      </w:pPr>
      <w:r w:rsidRPr="00012DD6">
        <w:t>ESV/</w:t>
      </w:r>
      <w:proofErr w:type="spellStart"/>
      <w:r w:rsidRPr="00012DD6">
        <w:t>Worksafe</w:t>
      </w:r>
      <w:proofErr w:type="spellEnd"/>
    </w:p>
    <w:p w14:paraId="5771F1D8" w14:textId="77777777" w:rsidR="00AE11D2" w:rsidRPr="00012DD6" w:rsidRDefault="00AE11D2" w:rsidP="001B757C">
      <w:pPr>
        <w:pStyle w:val="ListParagraph"/>
        <w:numPr>
          <w:ilvl w:val="0"/>
          <w:numId w:val="56"/>
        </w:numPr>
      </w:pPr>
      <w:r w:rsidRPr="00012DD6">
        <w:t>Local Government area councils (Moyne Shire, Mirboo North, Wellington Shire, Glenelg Shire, Corangamite Shire)</w:t>
      </w:r>
    </w:p>
    <w:p w14:paraId="4957D38B" w14:textId="77777777" w:rsidR="00AE11D2" w:rsidRPr="00012DD6" w:rsidRDefault="00AE11D2" w:rsidP="001B757C">
      <w:pPr>
        <w:pStyle w:val="ListParagraph"/>
        <w:numPr>
          <w:ilvl w:val="0"/>
          <w:numId w:val="56"/>
        </w:numPr>
      </w:pPr>
      <w:r w:rsidRPr="00012DD6">
        <w:t>Gas Commission Queensland</w:t>
      </w:r>
    </w:p>
    <w:p w14:paraId="495B60CD" w14:textId="77777777" w:rsidR="00AE11D2" w:rsidRPr="00012DD6" w:rsidRDefault="00AE11D2" w:rsidP="00AE11D2">
      <w:pPr>
        <w:pStyle w:val="Appendixhead3"/>
        <w:numPr>
          <w:ilvl w:val="2"/>
          <w:numId w:val="12"/>
        </w:numPr>
      </w:pPr>
      <w:r w:rsidRPr="00012DD6">
        <w:t>Industry Associations</w:t>
      </w:r>
    </w:p>
    <w:p w14:paraId="519D6220" w14:textId="77777777" w:rsidR="00AE11D2" w:rsidRPr="00012DD6" w:rsidRDefault="00AE11D2" w:rsidP="001B757C">
      <w:pPr>
        <w:pStyle w:val="ListParagraph"/>
        <w:numPr>
          <w:ilvl w:val="0"/>
          <w:numId w:val="57"/>
        </w:numPr>
      </w:pPr>
      <w:r w:rsidRPr="00012DD6">
        <w:t>Australian Petroleum Production and Exploration Australia</w:t>
      </w:r>
    </w:p>
    <w:p w14:paraId="1DCA54AC" w14:textId="77777777" w:rsidR="00AE11D2" w:rsidRPr="00012DD6" w:rsidRDefault="00AE11D2" w:rsidP="001B757C">
      <w:pPr>
        <w:pStyle w:val="ListParagraph"/>
        <w:numPr>
          <w:ilvl w:val="0"/>
          <w:numId w:val="57"/>
        </w:numPr>
      </w:pPr>
      <w:r w:rsidRPr="00012DD6">
        <w:t>Victorian Farmers Federation</w:t>
      </w:r>
    </w:p>
    <w:p w14:paraId="761F054D" w14:textId="77777777" w:rsidR="00AE11D2" w:rsidRPr="00012DD6" w:rsidRDefault="00AE11D2" w:rsidP="001B757C">
      <w:pPr>
        <w:pStyle w:val="ListParagraph"/>
        <w:numPr>
          <w:ilvl w:val="0"/>
          <w:numId w:val="57"/>
        </w:numPr>
      </w:pPr>
      <w:r w:rsidRPr="00012DD6">
        <w:t>Environment Victoria</w:t>
      </w:r>
    </w:p>
    <w:p w14:paraId="1F1B4B5E" w14:textId="77777777" w:rsidR="00AE11D2" w:rsidRPr="00012DD6" w:rsidRDefault="00AE11D2" w:rsidP="001B757C">
      <w:pPr>
        <w:pStyle w:val="ListParagraph"/>
        <w:numPr>
          <w:ilvl w:val="0"/>
          <w:numId w:val="57"/>
        </w:numPr>
      </w:pPr>
      <w:r w:rsidRPr="00012DD6">
        <w:t>West Vic Dairy</w:t>
      </w:r>
    </w:p>
    <w:p w14:paraId="75271A4E" w14:textId="77777777" w:rsidR="00AE11D2" w:rsidRPr="00012DD6" w:rsidRDefault="00AE11D2" w:rsidP="00AE11D2">
      <w:pPr>
        <w:pStyle w:val="Appendixhead3"/>
        <w:numPr>
          <w:ilvl w:val="2"/>
          <w:numId w:val="12"/>
        </w:numPr>
      </w:pPr>
      <w:r w:rsidRPr="00012DD6">
        <w:t>Affected Communities</w:t>
      </w:r>
    </w:p>
    <w:p w14:paraId="78291546" w14:textId="77777777" w:rsidR="00AE11D2" w:rsidRPr="00012DD6" w:rsidRDefault="00AE11D2" w:rsidP="001B757C">
      <w:pPr>
        <w:pStyle w:val="ListParagraph"/>
        <w:numPr>
          <w:ilvl w:val="0"/>
          <w:numId w:val="58"/>
        </w:numPr>
      </w:pPr>
      <w:r w:rsidRPr="00012DD6">
        <w:t xml:space="preserve">Communities </w:t>
      </w:r>
      <w:proofErr w:type="gramStart"/>
      <w:r w:rsidRPr="00012DD6">
        <w:t>in close proximity to</w:t>
      </w:r>
      <w:proofErr w:type="gramEnd"/>
      <w:r w:rsidRPr="00012DD6">
        <w:t xml:space="preserve"> operations</w:t>
      </w:r>
    </w:p>
    <w:p w14:paraId="5B2210D8" w14:textId="77777777" w:rsidR="00AE11D2" w:rsidRPr="00012DD6" w:rsidRDefault="00AE11D2" w:rsidP="001B757C">
      <w:pPr>
        <w:pStyle w:val="ListParagraph"/>
        <w:numPr>
          <w:ilvl w:val="0"/>
          <w:numId w:val="58"/>
        </w:numPr>
      </w:pPr>
      <w:r w:rsidRPr="00012DD6">
        <w:t>Traditional owner groups</w:t>
      </w:r>
    </w:p>
    <w:p w14:paraId="44ED1665" w14:textId="77777777" w:rsidR="00AE11D2" w:rsidRPr="00012DD6" w:rsidRDefault="00AE11D2" w:rsidP="00AE11D2">
      <w:r w:rsidRPr="00012DD6">
        <w:t xml:space="preserve">Additionally, extensive stakeholder consultation was conducted as part of the Victorian Gas Program. This, as well as preliminary consultation findings from Earth Resources Regulation was taken into consideration in this RIS process and has been incorporated into the summarized stakeholder feedback. There will also be further opportunity for public comment once this RIS has been released. </w:t>
      </w:r>
    </w:p>
    <w:p w14:paraId="5680F80F" w14:textId="77777777" w:rsidR="00AE11D2" w:rsidRPr="00BF281D" w:rsidRDefault="00AE11D2" w:rsidP="00AE11D2">
      <w:pPr>
        <w:pStyle w:val="Appendixhead2"/>
        <w:numPr>
          <w:ilvl w:val="1"/>
          <w:numId w:val="12"/>
        </w:numPr>
      </w:pPr>
      <w:r w:rsidRPr="001528D0">
        <w:rPr>
          <w:color w:val="012169" w:themeColor="accent4"/>
        </w:rPr>
        <w:t xml:space="preserve">How were they consulted? </w:t>
      </w:r>
    </w:p>
    <w:p w14:paraId="2CB92959" w14:textId="77777777" w:rsidR="00AE11D2" w:rsidRPr="00BF281D" w:rsidRDefault="00AE11D2" w:rsidP="00AE11D2">
      <w:pPr>
        <w:rPr>
          <w:lang w:eastAsia="en-AU"/>
        </w:rPr>
      </w:pPr>
      <w:r w:rsidRPr="00BF281D">
        <w:rPr>
          <w:lang w:eastAsia="en-AU"/>
        </w:rPr>
        <w:t>Targeted external stakeholders were consulted through either:</w:t>
      </w:r>
    </w:p>
    <w:p w14:paraId="56740343" w14:textId="77777777" w:rsidR="00AE11D2" w:rsidRPr="00BF281D" w:rsidRDefault="00AE11D2" w:rsidP="001B757C">
      <w:pPr>
        <w:pStyle w:val="ListParagraph"/>
        <w:numPr>
          <w:ilvl w:val="0"/>
          <w:numId w:val="59"/>
        </w:numPr>
        <w:rPr>
          <w:lang w:eastAsia="en-AU"/>
        </w:rPr>
      </w:pPr>
      <w:r w:rsidRPr="00BF281D">
        <w:rPr>
          <w:lang w:eastAsia="en-AU"/>
        </w:rPr>
        <w:t>virtual roundtable workshops</w:t>
      </w:r>
    </w:p>
    <w:p w14:paraId="3BAE0991" w14:textId="77777777" w:rsidR="00AE11D2" w:rsidRPr="00BF281D" w:rsidRDefault="00AE11D2" w:rsidP="001B757C">
      <w:pPr>
        <w:pStyle w:val="ListParagraph"/>
        <w:numPr>
          <w:ilvl w:val="0"/>
          <w:numId w:val="59"/>
        </w:numPr>
        <w:rPr>
          <w:lang w:eastAsia="en-AU"/>
        </w:rPr>
      </w:pPr>
      <w:r w:rsidRPr="00BF281D">
        <w:rPr>
          <w:lang w:eastAsia="en-AU"/>
        </w:rPr>
        <w:t>individual meetings</w:t>
      </w:r>
    </w:p>
    <w:p w14:paraId="1EB1CC8E" w14:textId="77777777" w:rsidR="00AE11D2" w:rsidRPr="00BF281D" w:rsidRDefault="00AE11D2" w:rsidP="001B757C">
      <w:pPr>
        <w:pStyle w:val="ListParagraph"/>
        <w:numPr>
          <w:ilvl w:val="0"/>
          <w:numId w:val="59"/>
        </w:numPr>
        <w:rPr>
          <w:lang w:eastAsia="en-AU"/>
        </w:rPr>
      </w:pPr>
      <w:r w:rsidRPr="00BF281D">
        <w:rPr>
          <w:lang w:eastAsia="en-AU"/>
        </w:rPr>
        <w:t>internal workshops run by DJPR, or</w:t>
      </w:r>
    </w:p>
    <w:p w14:paraId="26012500" w14:textId="77777777" w:rsidR="00AE11D2" w:rsidRPr="00BF281D" w:rsidRDefault="00AE11D2" w:rsidP="001B757C">
      <w:pPr>
        <w:pStyle w:val="ListParagraph"/>
        <w:numPr>
          <w:ilvl w:val="0"/>
          <w:numId w:val="59"/>
        </w:numPr>
        <w:rPr>
          <w:lang w:eastAsia="en-AU"/>
        </w:rPr>
      </w:pPr>
      <w:r w:rsidRPr="00BF281D">
        <w:rPr>
          <w:lang w:eastAsia="en-AU"/>
        </w:rPr>
        <w:t>targeted consultation questions sent via email.</w:t>
      </w:r>
    </w:p>
    <w:p w14:paraId="14F53A6F" w14:textId="77777777" w:rsidR="00AE11D2" w:rsidRPr="00BF281D" w:rsidRDefault="00AE11D2" w:rsidP="00AE11D2">
      <w:r w:rsidRPr="00BF281D">
        <w:t xml:space="preserve">Some industry associations or representative community groups were sent a letter explaining the timing of the Petroleum Regulations, the RIS public consultation period, the process to engage or make a formal </w:t>
      </w:r>
      <w:r w:rsidRPr="00BF281D">
        <w:lastRenderedPageBreak/>
        <w:t xml:space="preserve">submission through Engage Victoria and how to make contact prior to the public release date if they had any questions. </w:t>
      </w:r>
    </w:p>
    <w:p w14:paraId="1ECF681A" w14:textId="77777777" w:rsidR="00AE11D2" w:rsidRPr="00BF281D" w:rsidRDefault="00AE11D2" w:rsidP="00AE11D2">
      <w:pPr>
        <w:pStyle w:val="Appendixhead2"/>
        <w:numPr>
          <w:ilvl w:val="1"/>
          <w:numId w:val="12"/>
        </w:numPr>
      </w:pPr>
      <w:r w:rsidRPr="001528D0">
        <w:rPr>
          <w:color w:val="012169" w:themeColor="accent4"/>
        </w:rPr>
        <w:t>What information was collected?</w:t>
      </w:r>
    </w:p>
    <w:p w14:paraId="15D974A1" w14:textId="77777777" w:rsidR="00AE11D2" w:rsidRPr="00BF281D" w:rsidRDefault="00AE11D2" w:rsidP="00AE11D2">
      <w:pPr>
        <w:rPr>
          <w:lang w:eastAsia="en-AU"/>
        </w:rPr>
      </w:pPr>
      <w:r w:rsidRPr="00BF281D">
        <w:rPr>
          <w:lang w:eastAsia="en-AU"/>
        </w:rPr>
        <w:t xml:space="preserve">During consultation, stakeholders were asked for feedback about each of the proposed options and how they would address the objectives of the Petroleum Act (as amended in 2020). Targeted questions were asked about the impact, costs, </w:t>
      </w:r>
      <w:proofErr w:type="gramStart"/>
      <w:r w:rsidRPr="00BF281D">
        <w:rPr>
          <w:lang w:eastAsia="en-AU"/>
        </w:rPr>
        <w:t>benefits</w:t>
      </w:r>
      <w:proofErr w:type="gramEnd"/>
      <w:r w:rsidRPr="00BF281D">
        <w:rPr>
          <w:lang w:eastAsia="en-AU"/>
        </w:rPr>
        <w:t xml:space="preserve"> and effectiveness of the proposed options. Stakeholders were asked to identify which option they preferred, taking into consideration the matters for assessment in the RIS including authority applications /grants, conduct of operations and information. </w:t>
      </w:r>
    </w:p>
    <w:p w14:paraId="525C0D65" w14:textId="77777777" w:rsidR="00AE11D2" w:rsidRPr="00BF281D" w:rsidRDefault="00AE11D2" w:rsidP="00AE11D2">
      <w:pPr>
        <w:rPr>
          <w:lang w:eastAsia="en-AU"/>
        </w:rPr>
      </w:pPr>
      <w:r w:rsidRPr="00BF281D">
        <w:rPr>
          <w:lang w:eastAsia="en-AU"/>
        </w:rPr>
        <w:t>Authority holders were asked how each option would impact their operations and their intention to invest in petroleum exploration and development in Victoria.</w:t>
      </w:r>
    </w:p>
    <w:p w14:paraId="307AAB6B" w14:textId="77777777" w:rsidR="00AE11D2" w:rsidRPr="00BF281D" w:rsidRDefault="00AE11D2" w:rsidP="00AE11D2">
      <w:pPr>
        <w:pStyle w:val="Appendixhead2"/>
        <w:numPr>
          <w:ilvl w:val="1"/>
          <w:numId w:val="12"/>
        </w:numPr>
      </w:pPr>
      <w:r w:rsidRPr="001528D0">
        <w:rPr>
          <w:color w:val="012169" w:themeColor="accent4"/>
        </w:rPr>
        <w:t>How information collected has been incorporated into the RIS?</w:t>
      </w:r>
    </w:p>
    <w:p w14:paraId="6D0EE589" w14:textId="77777777" w:rsidR="00AE11D2" w:rsidRPr="00BF281D" w:rsidRDefault="00AE11D2" w:rsidP="00AE11D2">
      <w:pPr>
        <w:rPr>
          <w:lang w:eastAsia="en-AU"/>
        </w:rPr>
      </w:pPr>
      <w:r w:rsidRPr="00BF281D">
        <w:rPr>
          <w:lang w:eastAsia="en-AU"/>
        </w:rPr>
        <w:t xml:space="preserve">The information collected has been incorporated into the RIS primarily to inform the analysis of the direct and indirect costs and benefits and any other stakeholder impacts associated with the proposed regulations under each of the Options. </w:t>
      </w:r>
    </w:p>
    <w:p w14:paraId="6F88A56A" w14:textId="04304348" w:rsidR="00AE11D2" w:rsidRPr="00BF281D" w:rsidRDefault="00AE11D2" w:rsidP="00AE11D2">
      <w:pPr>
        <w:pStyle w:val="Appendixhead2"/>
        <w:numPr>
          <w:ilvl w:val="1"/>
          <w:numId w:val="12"/>
        </w:numPr>
      </w:pPr>
      <w:r w:rsidRPr="001528D0">
        <w:rPr>
          <w:color w:val="012169" w:themeColor="accent4"/>
        </w:rPr>
        <w:t>Key themes by topic</w:t>
      </w:r>
    </w:p>
    <w:p w14:paraId="683EBC08" w14:textId="226DAF23" w:rsidR="00AE11D2" w:rsidRPr="00BF281D" w:rsidRDefault="00AE11D2" w:rsidP="00AE11D2">
      <w:pPr>
        <w:rPr>
          <w:lang w:eastAsia="en-AU"/>
        </w:rPr>
      </w:pPr>
      <w:proofErr w:type="gramStart"/>
      <w:r w:rsidRPr="00BF281D">
        <w:rPr>
          <w:lang w:eastAsia="en-AU"/>
        </w:rPr>
        <w:t>A number of</w:t>
      </w:r>
      <w:proofErr w:type="gramEnd"/>
      <w:r w:rsidRPr="00BF281D">
        <w:rPr>
          <w:lang w:eastAsia="en-AU"/>
        </w:rPr>
        <w:t xml:space="preserve"> key themes emerged from the stakeholder consultations conducted by Deloitte</w:t>
      </w:r>
      <w:r w:rsidR="008F1F0A">
        <w:rPr>
          <w:lang w:eastAsia="en-AU"/>
        </w:rPr>
        <w:t xml:space="preserve"> and</w:t>
      </w:r>
      <w:r w:rsidRPr="00BF281D">
        <w:rPr>
          <w:lang w:eastAsia="en-AU"/>
        </w:rPr>
        <w:t xml:space="preserve"> DJPR </w:t>
      </w:r>
      <w:r w:rsidR="008F1F0A">
        <w:rPr>
          <w:lang w:eastAsia="en-AU"/>
        </w:rPr>
        <w:t xml:space="preserve">for this RIS </w:t>
      </w:r>
      <w:r w:rsidRPr="00BF281D">
        <w:rPr>
          <w:lang w:eastAsia="en-AU"/>
        </w:rPr>
        <w:t xml:space="preserve">and </w:t>
      </w:r>
      <w:r w:rsidR="004F03C6">
        <w:rPr>
          <w:lang w:eastAsia="en-AU"/>
        </w:rPr>
        <w:t>as part of the</w:t>
      </w:r>
      <w:r w:rsidRPr="00BF281D">
        <w:rPr>
          <w:lang w:eastAsia="en-AU"/>
        </w:rPr>
        <w:t xml:space="preserve"> VGP </w:t>
      </w:r>
      <w:r w:rsidR="004F03C6">
        <w:rPr>
          <w:lang w:eastAsia="en-AU"/>
        </w:rPr>
        <w:t>process</w:t>
      </w:r>
      <w:r w:rsidRPr="00BF281D">
        <w:rPr>
          <w:lang w:eastAsia="en-AU"/>
        </w:rPr>
        <w:t>. These are summarised below.</w:t>
      </w:r>
    </w:p>
    <w:p w14:paraId="49C067BB" w14:textId="77777777" w:rsidR="00AE11D2" w:rsidRPr="00BF281D" w:rsidRDefault="00AE11D2" w:rsidP="00AE11D2">
      <w:pPr>
        <w:pStyle w:val="AppendixTableCaption"/>
        <w:numPr>
          <w:ilvl w:val="6"/>
          <w:numId w:val="12"/>
        </w:numPr>
      </w:pPr>
      <w:r w:rsidRPr="001528D0">
        <w:rPr>
          <w:color w:val="auto"/>
        </w:rPr>
        <w:t xml:space="preserve"> </w:t>
      </w:r>
      <w:bookmarkStart w:id="179" w:name="_Toc68799774"/>
      <w:bookmarkStart w:id="180" w:name="_Toc67663784"/>
      <w:r w:rsidRPr="001528D0">
        <w:rPr>
          <w:color w:val="auto"/>
        </w:rPr>
        <w:t>Consultation themes</w:t>
      </w:r>
      <w:bookmarkEnd w:id="179"/>
      <w:bookmarkEnd w:id="180"/>
    </w:p>
    <w:tbl>
      <w:tblPr>
        <w:tblStyle w:val="Deloittetable12"/>
        <w:tblW w:w="0" w:type="auto"/>
        <w:tblLook w:val="04A0" w:firstRow="1" w:lastRow="0" w:firstColumn="1" w:lastColumn="0" w:noHBand="0" w:noVBand="1"/>
      </w:tblPr>
      <w:tblGrid>
        <w:gridCol w:w="1954"/>
        <w:gridCol w:w="7713"/>
      </w:tblGrid>
      <w:tr w:rsidR="00AE11D2" w:rsidRPr="00BF281D" w14:paraId="394FD7F6" w14:textId="77777777" w:rsidTr="00AB61CA">
        <w:trPr>
          <w:cnfStyle w:val="100000000000" w:firstRow="1" w:lastRow="0" w:firstColumn="0" w:lastColumn="0" w:oddVBand="0" w:evenVBand="0" w:oddHBand="0" w:evenHBand="0" w:firstRowFirstColumn="0" w:firstRowLastColumn="0" w:lastRowFirstColumn="0" w:lastRowLastColumn="0"/>
          <w:tblHeader/>
        </w:trPr>
        <w:tc>
          <w:tcPr>
            <w:tcW w:w="2384" w:type="dxa"/>
          </w:tcPr>
          <w:p w14:paraId="75584F31" w14:textId="77777777" w:rsidR="00AE11D2" w:rsidRPr="00BF281D" w:rsidRDefault="00AE11D2" w:rsidP="00AB61CA">
            <w:pPr>
              <w:rPr>
                <w:rFonts w:cs="Segoe UI Light"/>
                <w:b/>
              </w:rPr>
            </w:pPr>
            <w:r w:rsidRPr="00BF281D">
              <w:rPr>
                <w:rFonts w:cs="Segoe UI Light"/>
                <w:b/>
              </w:rPr>
              <w:t xml:space="preserve">Theme </w:t>
            </w:r>
          </w:p>
        </w:tc>
        <w:tc>
          <w:tcPr>
            <w:tcW w:w="11335" w:type="dxa"/>
          </w:tcPr>
          <w:p w14:paraId="57E2F7F8" w14:textId="77777777" w:rsidR="00AE11D2" w:rsidRPr="00BF281D" w:rsidRDefault="00AE11D2" w:rsidP="00AB61CA">
            <w:pPr>
              <w:rPr>
                <w:rFonts w:cs="Segoe UI Light"/>
                <w:b/>
              </w:rPr>
            </w:pPr>
            <w:r w:rsidRPr="00BF281D">
              <w:rPr>
                <w:rFonts w:cs="Segoe UI Light"/>
                <w:b/>
              </w:rPr>
              <w:t>Key discussion points</w:t>
            </w:r>
          </w:p>
        </w:tc>
      </w:tr>
      <w:tr w:rsidR="00AE11D2" w:rsidRPr="00BF281D" w14:paraId="227451FF" w14:textId="77777777" w:rsidTr="00AB61CA">
        <w:tc>
          <w:tcPr>
            <w:tcW w:w="2384" w:type="dxa"/>
          </w:tcPr>
          <w:p w14:paraId="471CBD4D" w14:textId="77777777" w:rsidR="00AE11D2" w:rsidRPr="00BF281D" w:rsidRDefault="00AE11D2" w:rsidP="00AB61CA">
            <w:pPr>
              <w:rPr>
                <w:rFonts w:cs="Segoe UI Light"/>
              </w:rPr>
            </w:pPr>
            <w:r w:rsidRPr="00BF281D">
              <w:rPr>
                <w:rFonts w:cs="Segoe UI Light"/>
              </w:rPr>
              <w:t>Encouraging petroleum resource development</w:t>
            </w:r>
          </w:p>
        </w:tc>
        <w:tc>
          <w:tcPr>
            <w:tcW w:w="11335" w:type="dxa"/>
          </w:tcPr>
          <w:p w14:paraId="34971102" w14:textId="77777777" w:rsidR="00AE11D2" w:rsidRPr="00BF281D" w:rsidRDefault="00AE11D2" w:rsidP="00AB61CA">
            <w:pPr>
              <w:rPr>
                <w:rFonts w:cs="Segoe UI Light"/>
              </w:rPr>
            </w:pPr>
            <w:r w:rsidRPr="00BF281D">
              <w:rPr>
                <w:rFonts w:cs="Segoe UI Light"/>
              </w:rPr>
              <w:t xml:space="preserve">Industry bodies and authority holders raised the importance of considering the approach taken in other jurisdictions, and their desirable aspects and ability to harmonise or transfer those approaches. </w:t>
            </w:r>
          </w:p>
        </w:tc>
      </w:tr>
      <w:tr w:rsidR="00AE11D2" w:rsidRPr="00BF281D" w14:paraId="4AFC912C" w14:textId="77777777" w:rsidTr="00AB61CA">
        <w:tc>
          <w:tcPr>
            <w:tcW w:w="2384" w:type="dxa"/>
          </w:tcPr>
          <w:p w14:paraId="637A5610" w14:textId="64E49141" w:rsidR="00AE11D2" w:rsidRPr="00BF281D" w:rsidRDefault="00AE11D2" w:rsidP="00AB61CA">
            <w:pPr>
              <w:rPr>
                <w:rFonts w:cs="Segoe UI Light"/>
              </w:rPr>
            </w:pPr>
            <w:r w:rsidRPr="00BF281D">
              <w:rPr>
                <w:rFonts w:cs="Segoe UI Light"/>
              </w:rPr>
              <w:t xml:space="preserve">Building </w:t>
            </w:r>
            <w:r w:rsidR="0054704E">
              <w:rPr>
                <w:rFonts w:cs="Segoe UI Light"/>
              </w:rPr>
              <w:t>social license</w:t>
            </w:r>
            <w:r w:rsidRPr="00BF281D">
              <w:rPr>
                <w:rFonts w:cs="Segoe UI Light"/>
              </w:rPr>
              <w:t xml:space="preserve"> to operate</w:t>
            </w:r>
          </w:p>
        </w:tc>
        <w:tc>
          <w:tcPr>
            <w:tcW w:w="11335" w:type="dxa"/>
          </w:tcPr>
          <w:p w14:paraId="67448704" w14:textId="726DE5BE" w:rsidR="00AE11D2" w:rsidRPr="00BF281D" w:rsidRDefault="00AE11D2" w:rsidP="00AB61CA">
            <w:pPr>
              <w:rPr>
                <w:rFonts w:cs="Segoe UI Light"/>
              </w:rPr>
            </w:pPr>
            <w:r w:rsidRPr="00BF281D">
              <w:rPr>
                <w:rFonts w:cs="Segoe UI Light"/>
              </w:rPr>
              <w:t xml:space="preserve">Authority holders were supportive of independent oversight from ERR </w:t>
            </w:r>
            <w:proofErr w:type="gramStart"/>
            <w:r w:rsidRPr="00BF281D">
              <w:rPr>
                <w:rFonts w:cs="Segoe UI Light"/>
              </w:rPr>
              <w:t>as a way to</w:t>
            </w:r>
            <w:proofErr w:type="gramEnd"/>
            <w:r w:rsidRPr="00BF281D">
              <w:rPr>
                <w:rFonts w:cs="Segoe UI Light"/>
              </w:rPr>
              <w:t xml:space="preserve"> help build </w:t>
            </w:r>
            <w:r w:rsidR="0054704E">
              <w:rPr>
                <w:rFonts w:cs="Segoe UI Light"/>
              </w:rPr>
              <w:t>social license</w:t>
            </w:r>
            <w:r w:rsidRPr="00BF281D">
              <w:rPr>
                <w:rFonts w:cs="Segoe UI Light"/>
              </w:rPr>
              <w:t xml:space="preserve"> (as communities would see the independent review / input to the operations). </w:t>
            </w:r>
          </w:p>
        </w:tc>
      </w:tr>
      <w:tr w:rsidR="00AE11D2" w:rsidRPr="00BF281D" w14:paraId="6AB63E29" w14:textId="77777777" w:rsidTr="00AB61CA">
        <w:tc>
          <w:tcPr>
            <w:tcW w:w="2384" w:type="dxa"/>
          </w:tcPr>
          <w:p w14:paraId="565A3454" w14:textId="77777777" w:rsidR="00AE11D2" w:rsidRPr="00BF281D" w:rsidRDefault="00AE11D2" w:rsidP="00AB61CA">
            <w:pPr>
              <w:rPr>
                <w:rFonts w:cs="Segoe UI Light"/>
              </w:rPr>
            </w:pPr>
            <w:r w:rsidRPr="00BF281D">
              <w:rPr>
                <w:rFonts w:cs="Segoe UI Light"/>
              </w:rPr>
              <w:t>Protecting social and environmental interests</w:t>
            </w:r>
          </w:p>
        </w:tc>
        <w:tc>
          <w:tcPr>
            <w:tcW w:w="11335" w:type="dxa"/>
          </w:tcPr>
          <w:p w14:paraId="5D965135" w14:textId="77777777" w:rsidR="00AE11D2" w:rsidRPr="00BF281D" w:rsidRDefault="00AE11D2" w:rsidP="00AB61CA">
            <w:pPr>
              <w:rPr>
                <w:rFonts w:cs="Segoe UI Light"/>
              </w:rPr>
            </w:pPr>
            <w:r w:rsidRPr="00BF281D">
              <w:rPr>
                <w:rFonts w:cs="Segoe UI Light"/>
              </w:rPr>
              <w:t xml:space="preserve">Under </w:t>
            </w:r>
            <w:r w:rsidRPr="005E25A9">
              <w:rPr>
                <w:rFonts w:cs="Segoe UI Light"/>
              </w:rPr>
              <w:t xml:space="preserve">the </w:t>
            </w:r>
            <w:r w:rsidRPr="00C73B72">
              <w:t>VGP</w:t>
            </w:r>
            <w:r w:rsidRPr="005E25A9">
              <w:rPr>
                <w:rFonts w:cs="Segoe UI Light"/>
              </w:rPr>
              <w:t>, the findings from the independent Stakeholder Advisory Panel indicated that the petroleum</w:t>
            </w:r>
            <w:r w:rsidRPr="00BF281D">
              <w:rPr>
                <w:rFonts w:cs="Segoe UI Light"/>
              </w:rPr>
              <w:t xml:space="preserve"> regulatory framework is robust for managing environmental and safety risks.</w:t>
            </w:r>
          </w:p>
        </w:tc>
      </w:tr>
      <w:tr w:rsidR="00AE11D2" w:rsidRPr="00BF281D" w14:paraId="3B5F23C1" w14:textId="77777777" w:rsidTr="00AB61CA">
        <w:tc>
          <w:tcPr>
            <w:tcW w:w="2384" w:type="dxa"/>
          </w:tcPr>
          <w:p w14:paraId="6C7B97EA" w14:textId="77777777" w:rsidR="00AE11D2" w:rsidRPr="00BF281D" w:rsidRDefault="00AE11D2" w:rsidP="00AB61CA">
            <w:pPr>
              <w:rPr>
                <w:rFonts w:cs="Segoe UI Light"/>
              </w:rPr>
            </w:pPr>
            <w:r w:rsidRPr="00BF281D">
              <w:rPr>
                <w:rFonts w:cs="Segoe UI Light"/>
              </w:rPr>
              <w:t>Authority applications / grant</w:t>
            </w:r>
          </w:p>
        </w:tc>
        <w:tc>
          <w:tcPr>
            <w:tcW w:w="11335" w:type="dxa"/>
          </w:tcPr>
          <w:p w14:paraId="5C7FD0DC" w14:textId="7D138E33" w:rsidR="00AE11D2" w:rsidRPr="00BF281D" w:rsidRDefault="00CE14BC" w:rsidP="00AB61CA">
            <w:pPr>
              <w:rPr>
                <w:rFonts w:cs="Segoe UI Light"/>
              </w:rPr>
            </w:pPr>
            <w:r>
              <w:rPr>
                <w:rFonts w:cs="Segoe UI Light"/>
              </w:rPr>
              <w:t>A stakeholder</w:t>
            </w:r>
            <w:r w:rsidR="00AE11D2" w:rsidRPr="00BF281D">
              <w:rPr>
                <w:rFonts w:cs="Segoe UI Light"/>
              </w:rPr>
              <w:t xml:space="preserve"> commented that they can see the strengths and conveniences for the Department and Minister in decision-making under both options. However, they can also see restrictions, particularly under the Standards based approach.  </w:t>
            </w:r>
          </w:p>
          <w:p w14:paraId="2E7C74A5" w14:textId="77777777" w:rsidR="00AE11D2" w:rsidRPr="00BF281D" w:rsidRDefault="00AE11D2" w:rsidP="00AB61CA">
            <w:pPr>
              <w:rPr>
                <w:rFonts w:cs="Segoe UI Light"/>
              </w:rPr>
            </w:pPr>
            <w:r w:rsidRPr="00BF281D">
              <w:rPr>
                <w:rFonts w:cs="Segoe UI Light"/>
              </w:rPr>
              <w:t>Some councils were interested in the role of local government in the sector and how this can be streamlined to encourage development.</w:t>
            </w:r>
          </w:p>
          <w:p w14:paraId="7793A6EB" w14:textId="4726FCBC" w:rsidR="00AE11D2" w:rsidRPr="00BF281D" w:rsidRDefault="00326DF5" w:rsidP="00AB61CA">
            <w:pPr>
              <w:rPr>
                <w:rFonts w:cs="Segoe UI Light"/>
              </w:rPr>
            </w:pPr>
            <w:r>
              <w:rPr>
                <w:rFonts w:cs="Segoe UI Light"/>
              </w:rPr>
              <w:t>Some respondents</w:t>
            </w:r>
            <w:r w:rsidR="00E02AFD">
              <w:rPr>
                <w:rFonts w:cs="Segoe UI Light"/>
              </w:rPr>
              <w:t xml:space="preserve"> noted</w:t>
            </w:r>
            <w:r w:rsidR="00AE11D2" w:rsidRPr="00BF281D">
              <w:rPr>
                <w:rFonts w:cs="Segoe UI Light"/>
              </w:rPr>
              <w:t xml:space="preserve"> that timeframes for regulator responses need to be clear and defined to provide increased certainty around development. Increased regulatory certainty and flexibility </w:t>
            </w:r>
            <w:r w:rsidR="003A7DE5">
              <w:rPr>
                <w:rFonts w:cs="Segoe UI Light"/>
              </w:rPr>
              <w:t xml:space="preserve">was cited as </w:t>
            </w:r>
            <w:r w:rsidR="00AE11D2" w:rsidRPr="00BF281D">
              <w:rPr>
                <w:rFonts w:cs="Segoe UI Light"/>
              </w:rPr>
              <w:t>important for expand</w:t>
            </w:r>
            <w:r w:rsidR="003A7DE5">
              <w:rPr>
                <w:rFonts w:cs="Segoe UI Light"/>
              </w:rPr>
              <w:t>ing</w:t>
            </w:r>
            <w:r w:rsidR="00AE11D2" w:rsidRPr="00BF281D">
              <w:rPr>
                <w:rFonts w:cs="Segoe UI Light"/>
              </w:rPr>
              <w:t xml:space="preserve"> operations.</w:t>
            </w:r>
          </w:p>
          <w:p w14:paraId="7677826C" w14:textId="3B218C57" w:rsidR="00AE11D2" w:rsidRPr="00BF281D" w:rsidRDefault="00AE11D2" w:rsidP="00AB61CA">
            <w:pPr>
              <w:rPr>
                <w:rFonts w:cs="Segoe UI Light"/>
              </w:rPr>
            </w:pPr>
            <w:r w:rsidRPr="00BF281D">
              <w:rPr>
                <w:rFonts w:cs="Segoe UI Light"/>
              </w:rPr>
              <w:t>For the additional information required for a benefit and impact assessment, an authority holder raised concerns and noted that they were reluctant to spend capital prior to exploration when there is a high level of uncertainty with the benefits generated (</w:t>
            </w:r>
            <w:proofErr w:type="gramStart"/>
            <w:r w:rsidRPr="00BF281D">
              <w:rPr>
                <w:rFonts w:cs="Segoe UI Light"/>
              </w:rPr>
              <w:t>e.g.</w:t>
            </w:r>
            <w:proofErr w:type="gramEnd"/>
            <w:r w:rsidRPr="00BF281D">
              <w:rPr>
                <w:rFonts w:cs="Segoe UI Light"/>
              </w:rPr>
              <w:t xml:space="preserve"> jobs, regional income). The burden placed on industry must be commensurate with the capital. At a minimum, some level of prescription about what is deemed to be appropriate would assist in avoiding industry uncertainty. Another stakeholder commented that the </w:t>
            </w:r>
            <w:r w:rsidR="004F03C6">
              <w:rPr>
                <w:rFonts w:cs="Segoe UI Light"/>
              </w:rPr>
              <w:t>VGP</w:t>
            </w:r>
            <w:r w:rsidRPr="00BF281D">
              <w:rPr>
                <w:rFonts w:cs="Segoe UI Light"/>
              </w:rPr>
              <w:t xml:space="preserve"> should have provided good insights for the Minister and that it </w:t>
            </w:r>
            <w:r w:rsidRPr="00BF281D">
              <w:rPr>
                <w:rFonts w:cs="Segoe UI Light"/>
              </w:rPr>
              <w:lastRenderedPageBreak/>
              <w:t>would be difficult for a company to go through economic benefit analysis from scratch at the exploration permit stage. This was emphasised by another authority holder who referenced the difficulty in providing information about a rehabilitation plan at a point too soon (when plans are unknown</w:t>
            </w:r>
            <w:r w:rsidRPr="005E25A9">
              <w:rPr>
                <w:rFonts w:cs="Segoe UI Light"/>
              </w:rPr>
              <w:t xml:space="preserve">). </w:t>
            </w:r>
            <w:r w:rsidR="00CE14BC" w:rsidRPr="005E25A9">
              <w:rPr>
                <w:rFonts w:cs="Segoe UI Light"/>
              </w:rPr>
              <w:t>A stakeholder</w:t>
            </w:r>
            <w:r w:rsidRPr="00C73B72">
              <w:t xml:space="preserve"> </w:t>
            </w:r>
            <w:r w:rsidRPr="005E25A9">
              <w:rPr>
                <w:rFonts w:cs="Segoe UI Light"/>
              </w:rPr>
              <w:t>highlighted</w:t>
            </w:r>
            <w:r w:rsidRPr="00BF281D">
              <w:rPr>
                <w:rFonts w:cs="Segoe UI Light"/>
              </w:rPr>
              <w:t xml:space="preserve"> that there are already methodologies established for capturing the economic and social benefits of the sector. QRC and SACOME have standardised methodologies down to the state electorate level which can be utilised for this purpose. </w:t>
            </w:r>
          </w:p>
          <w:p w14:paraId="61D36F94" w14:textId="1624A918" w:rsidR="00AE11D2" w:rsidRPr="00BF281D" w:rsidRDefault="00AE11D2" w:rsidP="00AB61CA">
            <w:pPr>
              <w:rPr>
                <w:rFonts w:cs="Segoe UI Light"/>
              </w:rPr>
            </w:pPr>
            <w:r w:rsidRPr="00BF281D">
              <w:rPr>
                <w:rFonts w:cs="Segoe UI Light"/>
              </w:rPr>
              <w:t xml:space="preserve">An authority holder commented that they preferred a more prescriptive approach as they found that more guidance on what to provide is better than trying to figure this out. This would be based on the proviso that the prescriptive approach was reasonable, focused and not too onerous on industry with a level of prescription that is commensurate to the risk. </w:t>
            </w:r>
          </w:p>
          <w:p w14:paraId="076C74D5" w14:textId="72DA6409" w:rsidR="00AE11D2" w:rsidRPr="00BF281D" w:rsidRDefault="00AE11D2" w:rsidP="00AB61CA">
            <w:pPr>
              <w:rPr>
                <w:rFonts w:cs="Segoe UI Light"/>
              </w:rPr>
            </w:pPr>
            <w:r w:rsidRPr="00BF281D">
              <w:rPr>
                <w:rFonts w:cs="Segoe UI Light"/>
              </w:rPr>
              <w:t xml:space="preserve">The same stakeholder also stated that the current regulations allow the Minister to make-decisions / respond in a 28-day timeframe or in a time they deem fit. However, this limits certainty around timing and the ability to plan. </w:t>
            </w:r>
            <w:r w:rsidR="00CE14BC">
              <w:rPr>
                <w:rFonts w:cs="Segoe UI Light"/>
              </w:rPr>
              <w:t>Stakeholders</w:t>
            </w:r>
            <w:r w:rsidRPr="00BF281D">
              <w:rPr>
                <w:rFonts w:cs="Segoe UI Light"/>
              </w:rPr>
              <w:t xml:space="preserve"> also believed that there should be clear regulator response times prescribed, with avenues made available for seeking extensions. </w:t>
            </w:r>
          </w:p>
          <w:p w14:paraId="66CAD0B7" w14:textId="14B41088" w:rsidR="00AE11D2" w:rsidRPr="00BF281D" w:rsidRDefault="00AE11D2" w:rsidP="00AB61CA">
            <w:pPr>
              <w:rPr>
                <w:rFonts w:cs="Segoe UI Light"/>
              </w:rPr>
            </w:pPr>
            <w:r w:rsidRPr="00BF281D">
              <w:rPr>
                <w:rFonts w:cs="Segoe UI Light"/>
              </w:rPr>
              <w:t xml:space="preserve">One authority </w:t>
            </w:r>
            <w:r w:rsidR="003E356E">
              <w:rPr>
                <w:rFonts w:cs="Segoe UI Light"/>
              </w:rPr>
              <w:t xml:space="preserve">holder </w:t>
            </w:r>
            <w:r w:rsidR="003E356E" w:rsidRPr="00BF281D">
              <w:rPr>
                <w:rFonts w:cs="Segoe UI Light"/>
              </w:rPr>
              <w:t>support</w:t>
            </w:r>
            <w:r w:rsidR="003E356E">
              <w:rPr>
                <w:rFonts w:cs="Segoe UI Light"/>
              </w:rPr>
              <w:t>ed</w:t>
            </w:r>
            <w:r w:rsidR="003E356E" w:rsidRPr="00BF281D">
              <w:rPr>
                <w:rFonts w:cs="Segoe UI Light"/>
              </w:rPr>
              <w:t xml:space="preserve"> </w:t>
            </w:r>
            <w:r w:rsidRPr="00BF281D">
              <w:rPr>
                <w:rFonts w:cs="Segoe UI Light"/>
              </w:rPr>
              <w:t>a standalone rehabilitation plan.</w:t>
            </w:r>
          </w:p>
          <w:p w14:paraId="0DB5E54F" w14:textId="49C317A3" w:rsidR="00AE11D2" w:rsidRPr="00BF281D" w:rsidRDefault="00AE11D2" w:rsidP="00AB61CA">
            <w:pPr>
              <w:rPr>
                <w:rFonts w:cs="Segoe UI Light"/>
              </w:rPr>
            </w:pPr>
            <w:r w:rsidRPr="00BF281D">
              <w:rPr>
                <w:rFonts w:cs="Segoe UI Light"/>
              </w:rPr>
              <w:t>A different authority holder’s preferred approach was to have clearly listed outcomes, with guidelines and/or templates to streamline the processes to get those outcomes (as per Option 1). This is as given the nature of exploration activities, there is often unexpected results and outcomes. The Regulator should firstly consider what the best outcome for the State would be and then consider how this can be achieved. This is in comparison to the Regulator considering the law and the prescriptive regulations with no leeway to enable a better project outcome.</w:t>
            </w:r>
          </w:p>
          <w:p w14:paraId="162ABF99" w14:textId="1A51BB7A" w:rsidR="00AE11D2" w:rsidRPr="00BF281D" w:rsidRDefault="00EC3BAA" w:rsidP="00AB61CA">
            <w:pPr>
              <w:rPr>
                <w:rFonts w:cs="Segoe UI Light"/>
              </w:rPr>
            </w:pPr>
            <w:r>
              <w:rPr>
                <w:rFonts w:cs="Segoe UI Light"/>
              </w:rPr>
              <w:t>Stakeholders</w:t>
            </w:r>
            <w:r w:rsidR="00AE11D2" w:rsidRPr="00BF281D">
              <w:rPr>
                <w:rFonts w:cs="Segoe UI Light"/>
              </w:rPr>
              <w:t xml:space="preserve"> commented that there was benefit in delegating the decision making and approvals to the head of an independent regulator. This is as the decisions relate purely to the implementation of the regulations. It would be useful during an election period (where the government is in care-taker mode) and removes the Minister making decisions if matters become politicised. Decisions made and how they relate to the legislation should be published.</w:t>
            </w:r>
          </w:p>
          <w:p w14:paraId="01051765" w14:textId="5E44C07A" w:rsidR="00AE11D2" w:rsidRPr="00BF281D" w:rsidRDefault="00AE11D2" w:rsidP="00AB61CA">
            <w:pPr>
              <w:rPr>
                <w:rFonts w:cs="Segoe UI Light"/>
              </w:rPr>
            </w:pPr>
            <w:r w:rsidRPr="00BF281D">
              <w:rPr>
                <w:rFonts w:cs="Segoe UI Light"/>
              </w:rPr>
              <w:t xml:space="preserve">It was also noted that there should be a merits review process or the ability to escalate matters for Ministerial consideration (without having to go through the administrative appeals process). </w:t>
            </w:r>
          </w:p>
        </w:tc>
      </w:tr>
      <w:tr w:rsidR="00AE11D2" w:rsidRPr="00BF281D" w14:paraId="69E97A12" w14:textId="77777777" w:rsidTr="00AB61CA">
        <w:tc>
          <w:tcPr>
            <w:tcW w:w="2384" w:type="dxa"/>
          </w:tcPr>
          <w:p w14:paraId="4BEB8771" w14:textId="77777777" w:rsidR="00AE11D2" w:rsidRPr="00BF281D" w:rsidRDefault="00AE11D2" w:rsidP="00AB61CA">
            <w:pPr>
              <w:rPr>
                <w:rFonts w:cs="Segoe UI Light"/>
              </w:rPr>
            </w:pPr>
            <w:r w:rsidRPr="00BF281D">
              <w:rPr>
                <w:rFonts w:cs="Segoe UI Light"/>
              </w:rPr>
              <w:lastRenderedPageBreak/>
              <w:t xml:space="preserve">Community consultation </w:t>
            </w:r>
          </w:p>
        </w:tc>
        <w:tc>
          <w:tcPr>
            <w:tcW w:w="11335" w:type="dxa"/>
          </w:tcPr>
          <w:p w14:paraId="25B7E7AC" w14:textId="3DAE3E90" w:rsidR="00AE11D2" w:rsidRPr="00BF281D" w:rsidRDefault="00AE11D2" w:rsidP="00AB61CA">
            <w:pPr>
              <w:rPr>
                <w:rFonts w:cs="Segoe UI Light"/>
              </w:rPr>
            </w:pPr>
            <w:r w:rsidRPr="00BF281D">
              <w:rPr>
                <w:rFonts w:cs="Segoe UI Light"/>
              </w:rPr>
              <w:t>An authority holder emphasised the importance of consulting with relevant community members who have the authority or capacity to provide relevant feedback (</w:t>
            </w:r>
            <w:proofErr w:type="gramStart"/>
            <w:r w:rsidRPr="00BF281D">
              <w:rPr>
                <w:rFonts w:cs="Segoe UI Light"/>
              </w:rPr>
              <w:t>e.g.</w:t>
            </w:r>
            <w:proofErr w:type="gramEnd"/>
            <w:r w:rsidRPr="00BF281D">
              <w:rPr>
                <w:rFonts w:cs="Segoe UI Light"/>
              </w:rPr>
              <w:t xml:space="preserve"> science-based community, engineering based). As oil and gas projects are highly technical, often stakeholders do not have a fundamental understanding of the industry making their capacity to absorb or comment on information limited. Relevant stakeholders include landholders, neighbours, </w:t>
            </w:r>
            <w:proofErr w:type="gramStart"/>
            <w:r w:rsidRPr="00BF281D">
              <w:rPr>
                <w:rFonts w:cs="Segoe UI Light"/>
              </w:rPr>
              <w:t>Mayors</w:t>
            </w:r>
            <w:proofErr w:type="gramEnd"/>
            <w:r w:rsidRPr="00BF281D">
              <w:rPr>
                <w:rFonts w:cs="Segoe UI Light"/>
              </w:rPr>
              <w:t xml:space="preserve"> or local community members for example.</w:t>
            </w:r>
          </w:p>
          <w:p w14:paraId="1B3F815C" w14:textId="7F489F37" w:rsidR="00AE11D2" w:rsidRPr="00BF281D" w:rsidRDefault="00AE11D2" w:rsidP="00AB61CA">
            <w:pPr>
              <w:rPr>
                <w:rFonts w:cs="Segoe UI Light"/>
              </w:rPr>
            </w:pPr>
            <w:r w:rsidRPr="00BF281D">
              <w:rPr>
                <w:rFonts w:cs="Segoe UI Light"/>
              </w:rPr>
              <w:t>Additionally, the authority holder commented that the industry is already highly experienced with community consultation. Community consultation is already occurring at all levels, in all forms and in every jurisdiction. The</w:t>
            </w:r>
            <w:r w:rsidR="003604D9">
              <w:rPr>
                <w:rFonts w:cs="Segoe UI Light"/>
              </w:rPr>
              <w:t xml:space="preserve"> respondent</w:t>
            </w:r>
            <w:r w:rsidRPr="00BF281D">
              <w:rPr>
                <w:rFonts w:cs="Segoe UI Light"/>
              </w:rPr>
              <w:t xml:space="preserve"> believe that it is important to maintain relationships with Victorian communities in a way that is not too onerous on the industry. </w:t>
            </w:r>
          </w:p>
          <w:p w14:paraId="6E527206" w14:textId="50555CC5" w:rsidR="00AE11D2" w:rsidRPr="00BF281D" w:rsidRDefault="00AE11D2" w:rsidP="00AB61CA">
            <w:pPr>
              <w:rPr>
                <w:rFonts w:cs="Segoe UI Light"/>
              </w:rPr>
            </w:pPr>
            <w:r w:rsidRPr="00BF281D">
              <w:rPr>
                <w:rFonts w:cs="Segoe UI Light"/>
              </w:rPr>
              <w:t xml:space="preserve">An authority holder has only engaged with the community once they have the authority of the permit. They noted the difficulty in extensively engaging with stakeholders when </w:t>
            </w:r>
            <w:r w:rsidRPr="00BF281D">
              <w:rPr>
                <w:rFonts w:cs="Segoe UI Light"/>
              </w:rPr>
              <w:lastRenderedPageBreak/>
              <w:t>you haven’t got the permit. This is as engagement requires a depth of understanding which is usually only obtained / developed over the course of the operations.</w:t>
            </w:r>
          </w:p>
          <w:p w14:paraId="6BED3495" w14:textId="10BD8024" w:rsidR="00AE11D2" w:rsidRPr="00BF281D" w:rsidRDefault="00AE11D2" w:rsidP="00AB61CA">
            <w:pPr>
              <w:rPr>
                <w:rFonts w:cs="Segoe UI Light"/>
              </w:rPr>
            </w:pPr>
            <w:r w:rsidRPr="00BF281D">
              <w:rPr>
                <w:rFonts w:cs="Segoe UI Light"/>
              </w:rPr>
              <w:t xml:space="preserve">An authority holder commented that the government should be involved in the community consultation process. </w:t>
            </w:r>
          </w:p>
          <w:p w14:paraId="06072142" w14:textId="50E999FA" w:rsidR="00AE11D2" w:rsidRPr="00BF281D" w:rsidRDefault="003604D9" w:rsidP="00AB61CA">
            <w:pPr>
              <w:rPr>
                <w:rFonts w:cs="Segoe UI Light"/>
              </w:rPr>
            </w:pPr>
            <w:r>
              <w:rPr>
                <w:rFonts w:cs="Segoe UI Light"/>
              </w:rPr>
              <w:t>Several respondents agreed</w:t>
            </w:r>
            <w:r w:rsidR="00AE11D2" w:rsidRPr="00BF281D">
              <w:rPr>
                <w:rFonts w:cs="Segoe UI Light"/>
              </w:rPr>
              <w:t xml:space="preserve"> that ongoing community consultation is a good initiative. </w:t>
            </w:r>
          </w:p>
          <w:p w14:paraId="5A938E75" w14:textId="0DA01A3B" w:rsidR="00AE11D2" w:rsidRPr="005E25A9" w:rsidRDefault="00AE11D2" w:rsidP="00AB61CA">
            <w:pPr>
              <w:rPr>
                <w:rFonts w:cs="Segoe UI Light"/>
              </w:rPr>
            </w:pPr>
            <w:r w:rsidRPr="00BF281D">
              <w:rPr>
                <w:rFonts w:cs="Segoe UI Light"/>
              </w:rPr>
              <w:t xml:space="preserve">An authority holder mentioned that they already have a stakeholder engagement plan built into their processes, which is likely to include what is required under Option 2. </w:t>
            </w:r>
            <w:r w:rsidR="001C6559" w:rsidRPr="00BF281D">
              <w:rPr>
                <w:rFonts w:cs="Segoe UI Light"/>
              </w:rPr>
              <w:t>Therefore,</w:t>
            </w:r>
            <w:r w:rsidRPr="00BF281D">
              <w:rPr>
                <w:rFonts w:cs="Segoe UI Light"/>
              </w:rPr>
              <w:t xml:space="preserve"> </w:t>
            </w:r>
            <w:r w:rsidRPr="005E25A9">
              <w:rPr>
                <w:rFonts w:cs="Segoe UI Light"/>
              </w:rPr>
              <w:t xml:space="preserve">there would be minimal impact with regards to this aspect of the Option. </w:t>
            </w:r>
          </w:p>
          <w:p w14:paraId="69CD0228" w14:textId="77777777" w:rsidR="00AE11D2" w:rsidRPr="00BF281D" w:rsidRDefault="00AE11D2" w:rsidP="00AB61CA">
            <w:pPr>
              <w:rPr>
                <w:rFonts w:cs="Segoe UI Light"/>
              </w:rPr>
            </w:pPr>
            <w:r w:rsidRPr="005E25A9">
              <w:rPr>
                <w:rFonts w:cs="Segoe UI Light"/>
              </w:rPr>
              <w:t xml:space="preserve">Under the </w:t>
            </w:r>
            <w:r w:rsidRPr="00C73B72">
              <w:t>VGP</w:t>
            </w:r>
            <w:r w:rsidRPr="00BF281D">
              <w:rPr>
                <w:rFonts w:cs="Segoe UI Light"/>
              </w:rPr>
              <w:t xml:space="preserve">, the findings from the independent Stakeholder Advisory Panel indicated that the regulatory framework could be improved in its provisions for community engagement and transparency. While social research undertaken by the CSIRO found that 80 per cent of the South-West and Gippsland communities would embrace, support of tolerate onshore conventional gas development, community support would be enhanced by providing genuine engagement opportunities and more information about industry activity and how the communities interests are being managed. </w:t>
            </w:r>
          </w:p>
          <w:p w14:paraId="78D8A8B2" w14:textId="6AE6910C" w:rsidR="00AE11D2" w:rsidRPr="00BF281D" w:rsidRDefault="00AE11D2" w:rsidP="00AB61CA">
            <w:pPr>
              <w:rPr>
                <w:rFonts w:cs="Segoe UI Light"/>
              </w:rPr>
            </w:pPr>
            <w:r w:rsidRPr="00BF281D">
              <w:rPr>
                <w:rFonts w:cs="Segoe UI Light"/>
              </w:rPr>
              <w:t xml:space="preserve">A council noted that people’s fears about the industry have not been realised and their community does not see conventional gas development as dangerous. </w:t>
            </w:r>
          </w:p>
          <w:p w14:paraId="2ACCB1A5" w14:textId="0C4786BD" w:rsidR="00AE11D2" w:rsidRPr="00BF281D" w:rsidRDefault="00AE11D2" w:rsidP="00AB61CA">
            <w:pPr>
              <w:rPr>
                <w:rFonts w:cs="Segoe UI Light"/>
              </w:rPr>
            </w:pPr>
            <w:r w:rsidRPr="00BF281D">
              <w:rPr>
                <w:rFonts w:cs="Segoe UI Light"/>
              </w:rPr>
              <w:t xml:space="preserve">Various councils and industry bodies discussed what could be done to improve the sector’s </w:t>
            </w:r>
            <w:r w:rsidR="0054704E">
              <w:rPr>
                <w:rFonts w:cs="Segoe UI Light"/>
              </w:rPr>
              <w:t>social license</w:t>
            </w:r>
            <w:r w:rsidRPr="00BF281D">
              <w:rPr>
                <w:rFonts w:cs="Segoe UI Light"/>
              </w:rPr>
              <w:t xml:space="preserve"> with regards to community engagement. A council suggested that projects need to deliver ongoing benefits and not just benefits of a boom bust nature. Another council is supportive of consultation with local council in advance of site closure as per amendment act. </w:t>
            </w:r>
          </w:p>
          <w:p w14:paraId="09C7DFE3" w14:textId="7B2A3D70" w:rsidR="00AE11D2" w:rsidRPr="00BF281D" w:rsidRDefault="00AE11D2" w:rsidP="00AB61CA">
            <w:pPr>
              <w:rPr>
                <w:rFonts w:cs="Segoe UI Light"/>
              </w:rPr>
            </w:pPr>
            <w:r w:rsidRPr="00BF281D">
              <w:rPr>
                <w:rFonts w:cs="Segoe UI Light"/>
              </w:rPr>
              <w:t xml:space="preserve">Several authority holders tend to overcommunicate with community engagement, as they think this is the right thing to do and it will help build </w:t>
            </w:r>
            <w:r w:rsidR="0054704E">
              <w:rPr>
                <w:rFonts w:cs="Segoe UI Light"/>
              </w:rPr>
              <w:t>social license</w:t>
            </w:r>
            <w:r w:rsidRPr="00BF281D">
              <w:rPr>
                <w:rFonts w:cs="Segoe UI Light"/>
              </w:rPr>
              <w:t xml:space="preserve">. Others have interest in a more pro forma approach, with greater clarity on the expectations from government. However, some acknowledged that the approach may vary from case to case with differing circumstances and scale. </w:t>
            </w:r>
          </w:p>
          <w:p w14:paraId="53E4ABE1" w14:textId="77777777" w:rsidR="00AE11D2" w:rsidRPr="00BF281D" w:rsidRDefault="00AE11D2" w:rsidP="00AB61CA">
            <w:pPr>
              <w:rPr>
                <w:rFonts w:cs="Segoe UI Light"/>
              </w:rPr>
            </w:pPr>
            <w:r w:rsidRPr="00BF281D">
              <w:rPr>
                <w:rFonts w:cs="Segoe UI Light"/>
              </w:rPr>
              <w:t xml:space="preserve">Authority holders think it is important for government to help build the narrative around why more gas is needed. This could include economic benefits such as jobs and income, as well as gas’ role in the energy transition.  </w:t>
            </w:r>
          </w:p>
          <w:p w14:paraId="06A2BB39" w14:textId="77777777" w:rsidR="00AE11D2" w:rsidRPr="00BF281D" w:rsidRDefault="00AE11D2" w:rsidP="00AB61CA">
            <w:pPr>
              <w:rPr>
                <w:rFonts w:cs="Segoe UI Light"/>
              </w:rPr>
            </w:pPr>
            <w:r w:rsidRPr="00BF281D">
              <w:rPr>
                <w:rFonts w:cs="Segoe UI Light"/>
              </w:rPr>
              <w:t xml:space="preserve">Members of the farming community requested that agricultural landholders are given different provisions for stakeholder engagement so that their specific needs can be better understood and addressed.  </w:t>
            </w:r>
          </w:p>
          <w:p w14:paraId="2BF51D13" w14:textId="41CE8BD9" w:rsidR="00AE11D2" w:rsidRPr="00BF281D" w:rsidRDefault="00AE11D2" w:rsidP="00AB61CA">
            <w:pPr>
              <w:rPr>
                <w:rFonts w:cs="Segoe UI Light"/>
              </w:rPr>
            </w:pPr>
            <w:r w:rsidRPr="00BF281D">
              <w:rPr>
                <w:rFonts w:cs="Segoe UI Light"/>
              </w:rPr>
              <w:t xml:space="preserve">An authority holder mentioned that the level of stakeholder engagement needs to be carefully balanced, </w:t>
            </w:r>
            <w:proofErr w:type="gramStart"/>
            <w:r w:rsidRPr="00BF281D">
              <w:rPr>
                <w:rFonts w:cs="Segoe UI Light"/>
              </w:rPr>
              <w:t>so as to</w:t>
            </w:r>
            <w:proofErr w:type="gramEnd"/>
            <w:r w:rsidRPr="00BF281D">
              <w:rPr>
                <w:rFonts w:cs="Segoe UI Light"/>
              </w:rPr>
              <w:t xml:space="preserve"> build sufficient </w:t>
            </w:r>
            <w:r w:rsidR="0054704E">
              <w:rPr>
                <w:rFonts w:cs="Segoe UI Light"/>
              </w:rPr>
              <w:t>social license</w:t>
            </w:r>
            <w:r w:rsidRPr="00BF281D">
              <w:rPr>
                <w:rFonts w:cs="Segoe UI Light"/>
              </w:rPr>
              <w:t xml:space="preserve"> without creating stakeholder fatigue. </w:t>
            </w:r>
          </w:p>
          <w:p w14:paraId="5F9ECB48" w14:textId="56AC037E" w:rsidR="00AE11D2" w:rsidRPr="00BF281D" w:rsidRDefault="00AE11D2" w:rsidP="00AB61CA">
            <w:pPr>
              <w:rPr>
                <w:rFonts w:cs="Segoe UI Light"/>
              </w:rPr>
            </w:pPr>
            <w:r w:rsidRPr="00BF281D">
              <w:rPr>
                <w:rFonts w:cs="Segoe UI Light"/>
              </w:rPr>
              <w:t xml:space="preserve">An authority holder thought that prescriptive operation plan requirements might help build community confidence in the sense that it ensures a minimum standard is adhered to. </w:t>
            </w:r>
          </w:p>
        </w:tc>
      </w:tr>
      <w:tr w:rsidR="00AE11D2" w:rsidRPr="00BF281D" w14:paraId="5D0A3B40" w14:textId="77777777" w:rsidTr="00AB61CA">
        <w:tc>
          <w:tcPr>
            <w:tcW w:w="2384" w:type="dxa"/>
          </w:tcPr>
          <w:p w14:paraId="3CFCFA7A" w14:textId="77777777" w:rsidR="00AE11D2" w:rsidRPr="00BF281D" w:rsidRDefault="00AE11D2" w:rsidP="00AB61CA">
            <w:pPr>
              <w:rPr>
                <w:rFonts w:cs="Segoe UI Light"/>
              </w:rPr>
            </w:pPr>
            <w:r w:rsidRPr="00BF281D">
              <w:rPr>
                <w:rFonts w:cs="Segoe UI Light"/>
              </w:rPr>
              <w:lastRenderedPageBreak/>
              <w:t>Conduct of operations</w:t>
            </w:r>
          </w:p>
        </w:tc>
        <w:tc>
          <w:tcPr>
            <w:tcW w:w="11335" w:type="dxa"/>
          </w:tcPr>
          <w:p w14:paraId="5021F06A" w14:textId="200EE8A5" w:rsidR="00AE11D2" w:rsidRPr="00BF281D" w:rsidRDefault="007C6171" w:rsidP="00AB61CA">
            <w:pPr>
              <w:rPr>
                <w:rFonts w:cs="Segoe UI Light"/>
              </w:rPr>
            </w:pPr>
            <w:r>
              <w:rPr>
                <w:rFonts w:cs="Segoe UI Light"/>
              </w:rPr>
              <w:t>A stakeholder</w:t>
            </w:r>
            <w:r w:rsidR="00AE11D2" w:rsidRPr="00BF281D">
              <w:rPr>
                <w:rFonts w:cs="Segoe UI Light"/>
              </w:rPr>
              <w:t xml:space="preserve"> also questioned whether there would be further guidance provided on groundwater monitoring or if the Department was planning to differentiate between exploration and production.</w:t>
            </w:r>
          </w:p>
          <w:p w14:paraId="4110E108" w14:textId="3A05A23B" w:rsidR="00AE11D2" w:rsidRPr="00BF281D" w:rsidRDefault="00AE11D2" w:rsidP="00AB61CA">
            <w:pPr>
              <w:rPr>
                <w:rFonts w:cs="Segoe UI Light"/>
              </w:rPr>
            </w:pPr>
            <w:r w:rsidRPr="00BF281D">
              <w:rPr>
                <w:rFonts w:cs="Segoe UI Light"/>
              </w:rPr>
              <w:t xml:space="preserve">In terms of </w:t>
            </w:r>
            <w:r w:rsidRPr="00BF281D">
              <w:rPr>
                <w:rFonts w:cs="Segoe UI Light"/>
                <w:b/>
                <w:bCs/>
              </w:rPr>
              <w:t>emissions</w:t>
            </w:r>
            <w:r w:rsidRPr="00BF281D">
              <w:rPr>
                <w:rFonts w:cs="Segoe UI Light"/>
              </w:rPr>
              <w:t xml:space="preserve"> management, it was noted by an authority holder that at times, emissions are created </w:t>
            </w:r>
            <w:proofErr w:type="gramStart"/>
            <w:r w:rsidRPr="00BF281D">
              <w:rPr>
                <w:rFonts w:cs="Segoe UI Light"/>
              </w:rPr>
              <w:t>in order for</w:t>
            </w:r>
            <w:proofErr w:type="gramEnd"/>
            <w:r w:rsidRPr="00BF281D">
              <w:rPr>
                <w:rFonts w:cs="Segoe UI Light"/>
              </w:rPr>
              <w:t xml:space="preserve"> emissions to be reduced. They provided an example of </w:t>
            </w:r>
            <w:r w:rsidRPr="00BF281D">
              <w:rPr>
                <w:rFonts w:cs="Segoe UI Light"/>
              </w:rPr>
              <w:lastRenderedPageBreak/>
              <w:t xml:space="preserve">reducing overall emissions by relying on gas emissions opposed to coal emissions. Another example is sending LNG to China increased Australia’s emissions but reduces total global emissions. Therefore, they recommended the consideration of the entire value chain and the offset of coal resources in the measurement of emissions.  </w:t>
            </w:r>
          </w:p>
          <w:p w14:paraId="3F95D788" w14:textId="17BCDCA2" w:rsidR="00AE11D2" w:rsidRPr="00BF281D" w:rsidRDefault="00AE11D2" w:rsidP="00AB61CA">
            <w:pPr>
              <w:rPr>
                <w:rFonts w:cs="Segoe UI Light"/>
              </w:rPr>
            </w:pPr>
            <w:r w:rsidRPr="00BF281D">
              <w:rPr>
                <w:rFonts w:cs="Segoe UI Light"/>
              </w:rPr>
              <w:t xml:space="preserve">An authority holder would like the Department to consider alternative methods for establishing rehabilitation bonds. The requirement for smaller exploration companies to provide a bond for the full facilities of every project would lock up a significant portion of their funds. They indicated that it would be preferable to require an ‘insurance’ amount for each project to be paid to the Regulator to establish a rehabilitation fund and the project insurance should be considered on a risk basis. An </w:t>
            </w:r>
            <w:r w:rsidR="001C6559" w:rsidRPr="00BF281D">
              <w:rPr>
                <w:rFonts w:cs="Segoe UI Light"/>
              </w:rPr>
              <w:t>insurance-based</w:t>
            </w:r>
            <w:r w:rsidRPr="00BF281D">
              <w:rPr>
                <w:rFonts w:cs="Segoe UI Light"/>
              </w:rPr>
              <w:t xml:space="preserve"> rehabilitation fund should adequately cover the small number of eventualities.</w:t>
            </w:r>
          </w:p>
          <w:p w14:paraId="727A5E43" w14:textId="4BC62911" w:rsidR="00AE11D2" w:rsidRPr="005E25A9" w:rsidRDefault="00AE11D2" w:rsidP="00AB61CA">
            <w:pPr>
              <w:rPr>
                <w:rFonts w:cs="Segoe UI Light"/>
              </w:rPr>
            </w:pPr>
            <w:r w:rsidRPr="00BF281D">
              <w:rPr>
                <w:rFonts w:cs="Segoe UI Light"/>
              </w:rPr>
              <w:t xml:space="preserve">An authority holder expects minimal impact to preparation of their operations plans under Option 1, pending details. However, they also note that the way in which plans are reviewed and </w:t>
            </w:r>
            <w:r w:rsidR="00C97D92">
              <w:rPr>
                <w:rFonts w:cs="Segoe UI Light"/>
              </w:rPr>
              <w:t>accepted</w:t>
            </w:r>
            <w:r w:rsidRPr="00BF281D">
              <w:rPr>
                <w:rFonts w:cs="Segoe UI Light"/>
              </w:rPr>
              <w:t xml:space="preserve"> has been changing, and a more structured approach may be helpful for operators and the regulator. The general criteria and objectives framework in Option 1 would likely have a minimal impact on their ability to manage risks to the environment, </w:t>
            </w:r>
            <w:proofErr w:type="gramStart"/>
            <w:r w:rsidRPr="00BF281D">
              <w:rPr>
                <w:rFonts w:cs="Segoe UI Light"/>
              </w:rPr>
              <w:t>amenity</w:t>
            </w:r>
            <w:proofErr w:type="gramEnd"/>
            <w:r w:rsidRPr="00BF281D">
              <w:rPr>
                <w:rFonts w:cs="Segoe UI Light"/>
              </w:rPr>
              <w:t xml:space="preserve"> and safety. These risks must be identified and </w:t>
            </w:r>
            <w:r w:rsidRPr="005E25A9">
              <w:rPr>
                <w:rFonts w:cs="Segoe UI Light"/>
              </w:rPr>
              <w:t xml:space="preserve">managed </w:t>
            </w:r>
            <w:r w:rsidRPr="00C73B72">
              <w:t>regardless of the regulations</w:t>
            </w:r>
            <w:r w:rsidRPr="005E25A9">
              <w:rPr>
                <w:rFonts w:cs="Segoe UI Light"/>
              </w:rPr>
              <w:t>.</w:t>
            </w:r>
          </w:p>
          <w:p w14:paraId="5B7F12B8" w14:textId="3E2B695B" w:rsidR="00AE11D2" w:rsidRPr="00BF281D" w:rsidRDefault="00AE11D2" w:rsidP="00AB61CA">
            <w:pPr>
              <w:rPr>
                <w:rFonts w:cs="Segoe UI Light"/>
              </w:rPr>
            </w:pPr>
            <w:r w:rsidRPr="005E25A9">
              <w:rPr>
                <w:rFonts w:cs="Segoe UI Light"/>
              </w:rPr>
              <w:t>An authority holder already has existing well management standards, so non-enforceable</w:t>
            </w:r>
            <w:r w:rsidRPr="00BF281D">
              <w:rPr>
                <w:rFonts w:cs="Segoe UI Light"/>
              </w:rPr>
              <w:t xml:space="preserve"> well integrity management guidelines under Option 1 would likely have minimal impact on these entities. However, these guidelines may help identify areas for improvement. </w:t>
            </w:r>
          </w:p>
          <w:p w14:paraId="34FE09B7" w14:textId="7E8012AD" w:rsidR="00AE11D2" w:rsidRPr="00BF281D" w:rsidRDefault="00AE11D2" w:rsidP="00AB61CA">
            <w:pPr>
              <w:rPr>
                <w:rFonts w:cs="Segoe UI Light"/>
              </w:rPr>
            </w:pPr>
            <w:r w:rsidRPr="00BF281D">
              <w:rPr>
                <w:rFonts w:cs="Segoe UI Light"/>
              </w:rPr>
              <w:t xml:space="preserve">An authority holder noted that the general criteria and objectives framework in Option 1 is unlikely to build </w:t>
            </w:r>
            <w:r w:rsidR="0054704E">
              <w:rPr>
                <w:rFonts w:cs="Segoe UI Light"/>
              </w:rPr>
              <w:t>social license</w:t>
            </w:r>
            <w:r w:rsidRPr="00BF281D">
              <w:rPr>
                <w:rFonts w:cs="Segoe UI Light"/>
              </w:rPr>
              <w:t xml:space="preserve">, as most operating companies will have different approaches to consultation. This may lead to confusion for impacted stakeholders. </w:t>
            </w:r>
          </w:p>
          <w:p w14:paraId="10C78867" w14:textId="37CCC1CC" w:rsidR="00AE11D2" w:rsidRPr="00BF281D" w:rsidRDefault="00AE11D2" w:rsidP="00AB61CA">
            <w:pPr>
              <w:rPr>
                <w:rFonts w:cs="Segoe UI Light"/>
              </w:rPr>
            </w:pPr>
            <w:r w:rsidRPr="00BF281D">
              <w:rPr>
                <w:rFonts w:cs="Segoe UI Light"/>
              </w:rPr>
              <w:t xml:space="preserve">An authority holder mentioned that their operation plans already include provisions for rehabilitation, so there would be minimal impact to them </w:t>
            </w:r>
            <w:proofErr w:type="gramStart"/>
            <w:r w:rsidRPr="00BF281D">
              <w:rPr>
                <w:rFonts w:cs="Segoe UI Light"/>
              </w:rPr>
              <w:t>as a result of</w:t>
            </w:r>
            <w:proofErr w:type="gramEnd"/>
            <w:r w:rsidRPr="00BF281D">
              <w:rPr>
                <w:rFonts w:cs="Segoe UI Light"/>
              </w:rPr>
              <w:t xml:space="preserve"> the lack of supporting regulations in Option 1. </w:t>
            </w:r>
          </w:p>
          <w:p w14:paraId="51C87F81" w14:textId="60D92492" w:rsidR="00AE11D2" w:rsidRPr="00BF281D" w:rsidRDefault="00AE11D2" w:rsidP="00AB61CA">
            <w:pPr>
              <w:rPr>
                <w:rFonts w:cs="Segoe UI Light"/>
              </w:rPr>
            </w:pPr>
            <w:r w:rsidRPr="00BF281D">
              <w:rPr>
                <w:rFonts w:cs="Segoe UI Light"/>
              </w:rPr>
              <w:t xml:space="preserve">An authority holder noted that they have existing operation plan, WOMP and EMP templates in place, so the extent of the impact of the prescriptive requirements in Option 2 would depend on how those requirements differ from their current plans. </w:t>
            </w:r>
          </w:p>
          <w:p w14:paraId="13D05886" w14:textId="55737428" w:rsidR="00AE11D2" w:rsidRPr="00BF281D" w:rsidRDefault="00624AE5" w:rsidP="00AB61CA">
            <w:pPr>
              <w:rPr>
                <w:rFonts w:cs="Segoe UI Light"/>
              </w:rPr>
            </w:pPr>
            <w:r>
              <w:rPr>
                <w:rFonts w:cs="Segoe UI Light"/>
              </w:rPr>
              <w:t xml:space="preserve">In relation to managing risks to water quality, </w:t>
            </w:r>
            <w:r w:rsidR="00AE11D2" w:rsidRPr="00BF281D">
              <w:rPr>
                <w:rFonts w:cs="Segoe UI Light"/>
              </w:rPr>
              <w:t xml:space="preserve">noted the findings from the VGP which show that there is minimal/no risk to artesian water from the industry. They noted that there may not be a case for mandatory observation bores as the contamination risk is low. </w:t>
            </w:r>
          </w:p>
          <w:p w14:paraId="3AE0CC4B" w14:textId="77777777" w:rsidR="00AE11D2" w:rsidRPr="00BF281D" w:rsidRDefault="00AE11D2" w:rsidP="00AB61CA">
            <w:pPr>
              <w:rPr>
                <w:rFonts w:cs="Segoe UI Light"/>
              </w:rPr>
            </w:pPr>
            <w:r w:rsidRPr="00BF281D">
              <w:rPr>
                <w:rFonts w:cs="Segoe UI Light"/>
              </w:rPr>
              <w:t xml:space="preserve">A council noted that there is some interest in farmers to repurpose dis-used gas wells for water supply following rehabilitation. There may be some significant costs, risks and technical feasibility considerations associated, however. Some farms in affected areas have also raised concerns of being disrupted by future pipelines.  </w:t>
            </w:r>
          </w:p>
        </w:tc>
      </w:tr>
      <w:tr w:rsidR="00AE11D2" w:rsidRPr="00BF281D" w14:paraId="23FB99B6" w14:textId="77777777" w:rsidTr="00AB61CA">
        <w:tc>
          <w:tcPr>
            <w:tcW w:w="2384" w:type="dxa"/>
          </w:tcPr>
          <w:p w14:paraId="6C8FF691" w14:textId="77777777" w:rsidR="00AE11D2" w:rsidRPr="00BF281D" w:rsidRDefault="00AE11D2" w:rsidP="00AB61CA">
            <w:pPr>
              <w:rPr>
                <w:rFonts w:cs="Segoe UI Light"/>
              </w:rPr>
            </w:pPr>
            <w:r w:rsidRPr="00BF281D">
              <w:rPr>
                <w:rFonts w:cs="Segoe UI Light"/>
              </w:rPr>
              <w:lastRenderedPageBreak/>
              <w:t>Code of practice</w:t>
            </w:r>
          </w:p>
        </w:tc>
        <w:tc>
          <w:tcPr>
            <w:tcW w:w="11335" w:type="dxa"/>
          </w:tcPr>
          <w:p w14:paraId="69F2FD3A" w14:textId="54E3742A" w:rsidR="00AE11D2" w:rsidRPr="00BF281D" w:rsidRDefault="00AE11D2" w:rsidP="00AB61CA">
            <w:pPr>
              <w:rPr>
                <w:rFonts w:cs="Segoe UI Light"/>
              </w:rPr>
            </w:pPr>
            <w:r w:rsidRPr="00BF281D">
              <w:rPr>
                <w:rFonts w:cs="Segoe UI Light"/>
              </w:rPr>
              <w:t xml:space="preserve">A stakeholder questioned the purpose or problem that the Code of </w:t>
            </w:r>
            <w:r w:rsidR="007D321D">
              <w:rPr>
                <w:rFonts w:cs="Segoe UI Light"/>
              </w:rPr>
              <w:t>P</w:t>
            </w:r>
            <w:r w:rsidR="007D321D" w:rsidRPr="00BF281D">
              <w:rPr>
                <w:rFonts w:cs="Segoe UI Light"/>
              </w:rPr>
              <w:t xml:space="preserve">ractice </w:t>
            </w:r>
            <w:r w:rsidRPr="00BF281D">
              <w:rPr>
                <w:rFonts w:cs="Segoe UI Light"/>
              </w:rPr>
              <w:t xml:space="preserve">is trying to address. They understood the desire to implement a code </w:t>
            </w:r>
            <w:proofErr w:type="gramStart"/>
            <w:r w:rsidRPr="00BF281D">
              <w:rPr>
                <w:rFonts w:cs="Segoe UI Light"/>
              </w:rPr>
              <w:t>similar to</w:t>
            </w:r>
            <w:proofErr w:type="gramEnd"/>
            <w:r w:rsidRPr="00BF281D">
              <w:rPr>
                <w:rFonts w:cs="Segoe UI Light"/>
              </w:rPr>
              <w:t xml:space="preserve"> NT and QLD but questioned the major issue or problem that the Code was seeking to address in Victoria, the parties to the Code and how duplication will be avoided (with the new requirements around rehabilitation and well decommissioning). </w:t>
            </w:r>
          </w:p>
          <w:p w14:paraId="29E99148" w14:textId="7D083A3A" w:rsidR="00AE11D2" w:rsidRPr="00BF281D" w:rsidRDefault="00AE11D2" w:rsidP="00AB61CA">
            <w:pPr>
              <w:rPr>
                <w:rFonts w:cs="Segoe UI Light"/>
              </w:rPr>
            </w:pPr>
            <w:r w:rsidRPr="00BF281D">
              <w:rPr>
                <w:rFonts w:cs="Segoe UI Light"/>
              </w:rPr>
              <w:t xml:space="preserve">An authority holder recognised the QLD and NT Codes of Practice but suggested using the approach South Australia does. This approach has lower and higher levels of supervision. Option 1 is </w:t>
            </w:r>
            <w:proofErr w:type="gramStart"/>
            <w:r w:rsidRPr="00BF281D">
              <w:rPr>
                <w:rFonts w:cs="Segoe UI Light"/>
              </w:rPr>
              <w:t>similar to</w:t>
            </w:r>
            <w:proofErr w:type="gramEnd"/>
            <w:r w:rsidRPr="00BF281D">
              <w:rPr>
                <w:rFonts w:cs="Segoe UI Light"/>
              </w:rPr>
              <w:t xml:space="preserve"> lower supervision levels and is for companies that are well set-up </w:t>
            </w:r>
            <w:r w:rsidRPr="00BF281D">
              <w:rPr>
                <w:rFonts w:cs="Segoe UI Light"/>
              </w:rPr>
              <w:lastRenderedPageBreak/>
              <w:t xml:space="preserve">and have a proven track record, whereas Option 2 is similar to the higher supervision levels and would be for new projects that do not have a proven track record. </w:t>
            </w:r>
          </w:p>
          <w:p w14:paraId="007750A0" w14:textId="479178CA" w:rsidR="00AE11D2" w:rsidRPr="00BF281D" w:rsidRDefault="00AE11D2" w:rsidP="00AB61CA">
            <w:pPr>
              <w:rPr>
                <w:rFonts w:cs="Segoe UI Light"/>
              </w:rPr>
            </w:pPr>
            <w:r w:rsidRPr="00BF281D">
              <w:rPr>
                <w:rFonts w:cs="Segoe UI Light"/>
              </w:rPr>
              <w:t xml:space="preserve">Although there was an authority holder that preferred an </w:t>
            </w:r>
            <w:r w:rsidR="001C6559" w:rsidRPr="00BF281D">
              <w:rPr>
                <w:rFonts w:cs="Segoe UI Light"/>
              </w:rPr>
              <w:t>outcomes-based</w:t>
            </w:r>
            <w:r w:rsidRPr="00BF281D">
              <w:rPr>
                <w:rFonts w:cs="Segoe UI Light"/>
              </w:rPr>
              <w:t xml:space="preserve"> approach, they were still supportive of a Code of Practice for managing well integrity. A code of practice that is </w:t>
            </w:r>
            <w:proofErr w:type="gramStart"/>
            <w:r w:rsidRPr="00BF281D">
              <w:rPr>
                <w:rFonts w:cs="Segoe UI Light"/>
              </w:rPr>
              <w:t>similar to</w:t>
            </w:r>
            <w:proofErr w:type="gramEnd"/>
            <w:r w:rsidRPr="00BF281D">
              <w:rPr>
                <w:rFonts w:cs="Segoe UI Light"/>
              </w:rPr>
              <w:t xml:space="preserve"> QLD and NT Codes of </w:t>
            </w:r>
            <w:r w:rsidR="00A557DB" w:rsidRPr="00BF281D">
              <w:rPr>
                <w:rFonts w:cs="Segoe UI Light"/>
              </w:rPr>
              <w:t>Practi</w:t>
            </w:r>
            <w:r w:rsidR="00A557DB">
              <w:rPr>
                <w:rFonts w:cs="Segoe UI Light"/>
              </w:rPr>
              <w:t>c</w:t>
            </w:r>
            <w:r w:rsidR="00A557DB" w:rsidRPr="00BF281D">
              <w:rPr>
                <w:rFonts w:cs="Segoe UI Light"/>
              </w:rPr>
              <w:t xml:space="preserve">e </w:t>
            </w:r>
            <w:r w:rsidRPr="00BF281D">
              <w:rPr>
                <w:rFonts w:cs="Segoe UI Light"/>
              </w:rPr>
              <w:t xml:space="preserve">would be helpful to industry as it enables consistency across jurisdictions. </w:t>
            </w:r>
          </w:p>
          <w:p w14:paraId="7C5CB8F4" w14:textId="1578B0C4" w:rsidR="00AE11D2" w:rsidRPr="00BF281D" w:rsidRDefault="00AE11D2" w:rsidP="00AB61CA">
            <w:pPr>
              <w:rPr>
                <w:rFonts w:cs="Segoe UI Light"/>
              </w:rPr>
            </w:pPr>
            <w:r w:rsidRPr="00BF281D">
              <w:rPr>
                <w:rFonts w:cs="Segoe UI Light"/>
              </w:rPr>
              <w:t xml:space="preserve">An authority holder noted that they would continue manage environmental and safety risks as they have previously, and the cost impact of Option 2 would depend on what the prescriptive requirements entail. If they include baseline monitoring of aquifers as a requirement, this </w:t>
            </w:r>
            <w:proofErr w:type="gramStart"/>
            <w:r w:rsidRPr="00BF281D">
              <w:rPr>
                <w:rFonts w:cs="Segoe UI Light"/>
              </w:rPr>
              <w:t>would</w:t>
            </w:r>
            <w:proofErr w:type="gramEnd"/>
            <w:r w:rsidRPr="00BF281D">
              <w:rPr>
                <w:rFonts w:cs="Segoe UI Light"/>
              </w:rPr>
              <w:t xml:space="preserve"> have a significant cost. </w:t>
            </w:r>
          </w:p>
          <w:p w14:paraId="0C3056A4" w14:textId="750A2DE6" w:rsidR="00AE11D2" w:rsidRPr="00BF281D" w:rsidRDefault="00AE11D2" w:rsidP="00AB61CA">
            <w:pPr>
              <w:rPr>
                <w:rFonts w:cs="Segoe UI Light"/>
              </w:rPr>
            </w:pPr>
            <w:r w:rsidRPr="00BF281D">
              <w:rPr>
                <w:rFonts w:cs="Segoe UI Light"/>
              </w:rPr>
              <w:t>An authority holder noted that a code of practice focussed on supporting well integrity (as proposed in Option 2) would need to be based on common standards but tailored to Victoria’s requirements. Established authority holders are likely to already have existing well management standards in place, which could already be in line with a C</w:t>
            </w:r>
            <w:r w:rsidR="00A06787">
              <w:rPr>
                <w:rFonts w:cs="Segoe UI Light"/>
              </w:rPr>
              <w:t xml:space="preserve">ode </w:t>
            </w:r>
            <w:r w:rsidRPr="00BF281D">
              <w:rPr>
                <w:rFonts w:cs="Segoe UI Light"/>
              </w:rPr>
              <w:t>o</w:t>
            </w:r>
            <w:r w:rsidR="00A06787">
              <w:rPr>
                <w:rFonts w:cs="Segoe UI Light"/>
              </w:rPr>
              <w:t xml:space="preserve">f </w:t>
            </w:r>
            <w:r w:rsidRPr="00BF281D">
              <w:rPr>
                <w:rFonts w:cs="Segoe UI Light"/>
              </w:rPr>
              <w:t>P</w:t>
            </w:r>
            <w:r w:rsidR="00A06787">
              <w:rPr>
                <w:rFonts w:cs="Segoe UI Light"/>
              </w:rPr>
              <w:t>ractice</w:t>
            </w:r>
            <w:r w:rsidRPr="00BF281D">
              <w:rPr>
                <w:rFonts w:cs="Segoe UI Light"/>
              </w:rPr>
              <w:t>. However, a C</w:t>
            </w:r>
            <w:r w:rsidR="00A06787">
              <w:rPr>
                <w:rFonts w:cs="Segoe UI Light"/>
              </w:rPr>
              <w:t xml:space="preserve">ode of </w:t>
            </w:r>
            <w:r w:rsidRPr="00BF281D">
              <w:rPr>
                <w:rFonts w:cs="Segoe UI Light"/>
              </w:rPr>
              <w:t>P</w:t>
            </w:r>
            <w:r w:rsidR="00A06787">
              <w:rPr>
                <w:rFonts w:cs="Segoe UI Light"/>
              </w:rPr>
              <w:t>ractice</w:t>
            </w:r>
            <w:r w:rsidRPr="00BF281D">
              <w:rPr>
                <w:rFonts w:cs="Segoe UI Light"/>
              </w:rPr>
              <w:t xml:space="preserve"> could limit innovation if it is too prescriptive. </w:t>
            </w:r>
          </w:p>
          <w:p w14:paraId="6B4A7F1E" w14:textId="5A5BF727" w:rsidR="00AE11D2" w:rsidRPr="00BF281D" w:rsidRDefault="00AE11D2" w:rsidP="00AB61CA">
            <w:pPr>
              <w:rPr>
                <w:rFonts w:cs="Segoe UI Light"/>
              </w:rPr>
            </w:pPr>
            <w:r w:rsidRPr="00BF281D">
              <w:rPr>
                <w:rFonts w:cs="Segoe UI Light"/>
              </w:rPr>
              <w:t xml:space="preserve">APPEA mentioned that guidance material / code of conduct for the industry would need to be detailed and specific enough so that industry has reasonable certainty that following the guidance / code would result in approval. The EPA mentioned that guidance material may be required to assist industry with meeting their </w:t>
            </w:r>
            <w:r w:rsidR="00594CFD" w:rsidRPr="00BF281D">
              <w:rPr>
                <w:rFonts w:cs="Segoe UI Light"/>
              </w:rPr>
              <w:t>General Environmental Duty (</w:t>
            </w:r>
            <w:r w:rsidR="00004E9B" w:rsidRPr="00BF281D">
              <w:rPr>
                <w:rFonts w:cs="Segoe UI Light"/>
              </w:rPr>
              <w:t>GED) under</w:t>
            </w:r>
            <w:r w:rsidRPr="00BF281D">
              <w:rPr>
                <w:rFonts w:cs="Segoe UI Light"/>
              </w:rPr>
              <w:t xml:space="preserve"> the amended Environment Protection Act. </w:t>
            </w:r>
          </w:p>
        </w:tc>
      </w:tr>
      <w:tr w:rsidR="00AE11D2" w:rsidRPr="00BF281D" w14:paraId="7C885103" w14:textId="77777777" w:rsidTr="00AB61CA">
        <w:tc>
          <w:tcPr>
            <w:tcW w:w="2384" w:type="dxa"/>
          </w:tcPr>
          <w:p w14:paraId="06449FAE" w14:textId="77777777" w:rsidR="00AE11D2" w:rsidRPr="00BF281D" w:rsidRDefault="00AE11D2" w:rsidP="00AB61CA">
            <w:pPr>
              <w:rPr>
                <w:rFonts w:cs="Segoe UI Light"/>
              </w:rPr>
            </w:pPr>
            <w:r w:rsidRPr="00BF281D">
              <w:rPr>
                <w:rFonts w:cs="Segoe UI Light"/>
              </w:rPr>
              <w:lastRenderedPageBreak/>
              <w:t>Information</w:t>
            </w:r>
          </w:p>
        </w:tc>
        <w:tc>
          <w:tcPr>
            <w:tcW w:w="11335" w:type="dxa"/>
          </w:tcPr>
          <w:p w14:paraId="11AE9168" w14:textId="228FC213" w:rsidR="00AE11D2" w:rsidRPr="00BF281D" w:rsidRDefault="007C6171" w:rsidP="00AB61CA">
            <w:pPr>
              <w:rPr>
                <w:rFonts w:cs="Segoe UI Light"/>
              </w:rPr>
            </w:pPr>
            <w:r>
              <w:rPr>
                <w:rFonts w:cs="Segoe UI Light"/>
              </w:rPr>
              <w:t>A stakeholder</w:t>
            </w:r>
            <w:r w:rsidR="00AE11D2" w:rsidRPr="00BF281D">
              <w:rPr>
                <w:rFonts w:cs="Segoe UI Light"/>
              </w:rPr>
              <w:t xml:space="preserve"> commented that information provided which is related to the quantum of liability is highly contingent on how much of the well is included.</w:t>
            </w:r>
          </w:p>
          <w:p w14:paraId="710D0949" w14:textId="4E234499" w:rsidR="00AE11D2" w:rsidRPr="00BF281D" w:rsidRDefault="00AE11D2" w:rsidP="00AB61CA">
            <w:pPr>
              <w:rPr>
                <w:rFonts w:cs="Segoe UI Light"/>
              </w:rPr>
            </w:pPr>
            <w:r w:rsidRPr="00BF281D">
              <w:rPr>
                <w:rFonts w:cs="Segoe UI Light"/>
              </w:rPr>
              <w:t xml:space="preserve">An authority holder questioned the definition of someone who is “clearly qualified” signing off on a </w:t>
            </w:r>
            <w:r w:rsidR="004C7722">
              <w:rPr>
                <w:rFonts w:cs="Segoe UI Light"/>
              </w:rPr>
              <w:t>WOMP</w:t>
            </w:r>
            <w:r w:rsidRPr="00BF281D">
              <w:rPr>
                <w:rFonts w:cs="Segoe UI Light"/>
              </w:rPr>
              <w:t xml:space="preserve">. They were concerned that this person would have to be an independent expert. The Department clarified that this would not necessarily need to be an independent person </w:t>
            </w:r>
            <w:proofErr w:type="gramStart"/>
            <w:r w:rsidRPr="00BF281D">
              <w:rPr>
                <w:rFonts w:cs="Segoe UI Light"/>
              </w:rPr>
              <w:t>as long as</w:t>
            </w:r>
            <w:proofErr w:type="gramEnd"/>
            <w:r w:rsidRPr="00BF281D">
              <w:rPr>
                <w:rFonts w:cs="Segoe UI Light"/>
              </w:rPr>
              <w:t xml:space="preserve"> they were appropriately qualified. </w:t>
            </w:r>
          </w:p>
          <w:p w14:paraId="1C2A32CD" w14:textId="74F4388A" w:rsidR="00AE11D2" w:rsidRPr="00BF281D" w:rsidRDefault="00AE11D2" w:rsidP="00AB61CA">
            <w:pPr>
              <w:rPr>
                <w:rFonts w:cs="Segoe UI Light"/>
              </w:rPr>
            </w:pPr>
            <w:r w:rsidRPr="00BF281D">
              <w:rPr>
                <w:rFonts w:cs="Segoe UI Light"/>
              </w:rPr>
              <w:t xml:space="preserve">An authority holder commented that formalising community notification within a specified boundary under the </w:t>
            </w:r>
            <w:r w:rsidR="004C7722">
              <w:rPr>
                <w:rFonts w:cs="Segoe UI Light"/>
              </w:rPr>
              <w:t>EMP</w:t>
            </w:r>
            <w:r w:rsidRPr="00BF281D">
              <w:rPr>
                <w:rFonts w:cs="Segoe UI Light"/>
              </w:rPr>
              <w:t xml:space="preserve"> would be good. </w:t>
            </w:r>
          </w:p>
          <w:p w14:paraId="19EBB0ED" w14:textId="017BAC66" w:rsidR="00AE11D2" w:rsidRPr="00BF281D" w:rsidRDefault="00AE11D2" w:rsidP="00AB61CA">
            <w:pPr>
              <w:rPr>
                <w:rFonts w:cs="Segoe UI Light"/>
              </w:rPr>
            </w:pPr>
            <w:r w:rsidRPr="00BF281D">
              <w:rPr>
                <w:rFonts w:cs="Segoe UI Light"/>
              </w:rPr>
              <w:t xml:space="preserve">An authority holder was supportive of the Regulatory collecting raw data, supports and samples as it is important for petroleum exploration in the future. </w:t>
            </w:r>
          </w:p>
          <w:p w14:paraId="01EF2E65" w14:textId="60C2AEC1" w:rsidR="00AE11D2" w:rsidRPr="00BF281D" w:rsidRDefault="00AE11D2" w:rsidP="00AB61CA">
            <w:pPr>
              <w:rPr>
                <w:rFonts w:cs="Segoe UI Light"/>
              </w:rPr>
            </w:pPr>
            <w:r w:rsidRPr="00BF281D">
              <w:rPr>
                <w:rFonts w:cs="Segoe UI Light"/>
              </w:rPr>
              <w:t xml:space="preserve">Flexible timeframes for submitting information under Option 1 would not significantly impact operations, according to an authority holder. The broad information requirements under Option 1 would also not significantly impact this authority holder’s operation, as it is </w:t>
            </w:r>
            <w:proofErr w:type="gramStart"/>
            <w:r w:rsidRPr="00BF281D">
              <w:rPr>
                <w:rFonts w:cs="Segoe UI Light"/>
              </w:rPr>
              <w:t>similar to</w:t>
            </w:r>
            <w:proofErr w:type="gramEnd"/>
            <w:r w:rsidRPr="00BF281D">
              <w:rPr>
                <w:rFonts w:cs="Segoe UI Light"/>
              </w:rPr>
              <w:t xml:space="preserve"> the </w:t>
            </w:r>
            <w:r w:rsidR="00965043" w:rsidRPr="00BF281D">
              <w:rPr>
                <w:rFonts w:cs="Segoe UI Light"/>
              </w:rPr>
              <w:t>Status Quo</w:t>
            </w:r>
            <w:r w:rsidRPr="00BF281D">
              <w:rPr>
                <w:rFonts w:cs="Segoe UI Light"/>
              </w:rPr>
              <w:t xml:space="preserve">. These information and reporting requirements seem </w:t>
            </w:r>
            <w:proofErr w:type="gramStart"/>
            <w:r w:rsidRPr="00BF281D">
              <w:rPr>
                <w:rFonts w:cs="Segoe UI Light"/>
              </w:rPr>
              <w:t>similar to</w:t>
            </w:r>
            <w:proofErr w:type="gramEnd"/>
            <w:r w:rsidRPr="00BF281D">
              <w:rPr>
                <w:rFonts w:cs="Segoe UI Light"/>
              </w:rPr>
              <w:t xml:space="preserve"> other jurisdictions. </w:t>
            </w:r>
          </w:p>
          <w:p w14:paraId="4FD3984E" w14:textId="4BDBEE83" w:rsidR="00AE11D2" w:rsidRPr="00BF281D" w:rsidRDefault="00AE11D2" w:rsidP="00AB61CA">
            <w:pPr>
              <w:rPr>
                <w:rFonts w:cs="Segoe UI Light"/>
              </w:rPr>
            </w:pPr>
            <w:r w:rsidRPr="00BF281D">
              <w:rPr>
                <w:rFonts w:cs="Segoe UI Light"/>
              </w:rPr>
              <w:t xml:space="preserve">An authority holder mentioned that if the information and reporting requirements under Option 2 were too onerous, this could create excessive burden and operational risk. The extent would depend on what is required. </w:t>
            </w:r>
          </w:p>
          <w:p w14:paraId="0386CA59" w14:textId="18E6DEC0" w:rsidR="00AE11D2" w:rsidRPr="00BF281D" w:rsidRDefault="00AE11D2" w:rsidP="00AB61CA">
            <w:pPr>
              <w:jc w:val="both"/>
              <w:rPr>
                <w:rFonts w:cs="Segoe UI Light"/>
              </w:rPr>
            </w:pPr>
            <w:r w:rsidRPr="00BF281D">
              <w:rPr>
                <w:rFonts w:cs="Segoe UI Light"/>
              </w:rPr>
              <w:t xml:space="preserve">DELWP and the EPA made comments around the interaction between and roles of different bodies. They mentioned the allocation of duties between the various bodies, and the implications of the new </w:t>
            </w:r>
            <w:r w:rsidR="00594CFD">
              <w:rPr>
                <w:rFonts w:cs="Segoe UI Light"/>
              </w:rPr>
              <w:t>GED</w:t>
            </w:r>
            <w:r w:rsidRPr="00BF281D">
              <w:rPr>
                <w:rFonts w:cs="Segoe UI Light"/>
              </w:rPr>
              <w:t xml:space="preserve"> under the amended Environment Protection Act. </w:t>
            </w:r>
            <w:r w:rsidR="00594CFD">
              <w:rPr>
                <w:rFonts w:cs="Segoe UI Light"/>
              </w:rPr>
              <w:t>A stakeholder</w:t>
            </w:r>
            <w:r w:rsidRPr="00BF281D">
              <w:rPr>
                <w:rFonts w:cs="Segoe UI Light"/>
              </w:rPr>
              <w:t xml:space="preserve"> mentioned that regulatory bodies should coordinate to use existing data to assess groundwater impacts. </w:t>
            </w:r>
          </w:p>
          <w:p w14:paraId="650D72ED" w14:textId="77777777" w:rsidR="00AE11D2" w:rsidRPr="00BF281D" w:rsidRDefault="00AE11D2" w:rsidP="00AB61CA">
            <w:pPr>
              <w:rPr>
                <w:rFonts w:cs="Segoe UI Light"/>
              </w:rPr>
            </w:pPr>
            <w:r w:rsidRPr="00BF281D">
              <w:rPr>
                <w:rFonts w:cs="Segoe UI Light"/>
              </w:rPr>
              <w:lastRenderedPageBreak/>
              <w:t>Some authority holders already hold, or would be able to easily obtain, additional data to meet reporting requirements. Some of this data is already reported to AEMO or in annual reports.</w:t>
            </w:r>
          </w:p>
          <w:p w14:paraId="4FFEC996" w14:textId="77777777" w:rsidR="00AE11D2" w:rsidRPr="00BF281D" w:rsidRDefault="00AE11D2" w:rsidP="00AB61CA">
            <w:pPr>
              <w:rPr>
                <w:rFonts w:cs="Segoe UI Light"/>
              </w:rPr>
            </w:pPr>
            <w:r w:rsidRPr="00BF281D">
              <w:rPr>
                <w:rFonts w:cs="Segoe UI Light"/>
              </w:rPr>
              <w:t>DELWP and EPA also discussed how important it is that fugitive emissions be monitored and minimised, and who should have oversight of this. The provision of this data could help authorities to collaborate and ensure compliance against legislation. Some authority holders already report this in their annual reports, so providing this to government would not require any additional data collection.</w:t>
            </w:r>
          </w:p>
        </w:tc>
      </w:tr>
    </w:tbl>
    <w:p w14:paraId="1498D1E9" w14:textId="77777777" w:rsidR="00AE11D2" w:rsidRPr="00BF281D" w:rsidRDefault="00AE11D2" w:rsidP="00AE11D2"/>
    <w:p w14:paraId="5C1EE2DA" w14:textId="77777777" w:rsidR="00AE57AB" w:rsidRPr="00012DD6" w:rsidRDefault="00AE57AB" w:rsidP="00AE57AB">
      <w:pPr>
        <w:rPr>
          <w:lang w:eastAsia="en-AU"/>
        </w:rPr>
      </w:pPr>
    </w:p>
    <w:p w14:paraId="27F19E96" w14:textId="77777777" w:rsidR="00AE57AB" w:rsidRPr="00012DD6" w:rsidRDefault="00AE57AB" w:rsidP="00AE57AB">
      <w:pPr>
        <w:rPr>
          <w:lang w:eastAsia="en-AU"/>
        </w:rPr>
      </w:pPr>
    </w:p>
    <w:p w14:paraId="7B5DAEB7" w14:textId="77777777" w:rsidR="00AE57AB" w:rsidRPr="00012DD6" w:rsidRDefault="00AE57AB" w:rsidP="00AE57AB">
      <w:pPr>
        <w:rPr>
          <w:lang w:eastAsia="en-AU"/>
        </w:rPr>
      </w:pPr>
    </w:p>
    <w:p w14:paraId="54049498" w14:textId="77777777" w:rsidR="00AE57AB" w:rsidRPr="00012DD6" w:rsidRDefault="00AE57AB" w:rsidP="00AE57AB">
      <w:pPr>
        <w:rPr>
          <w:lang w:eastAsia="en-AU"/>
        </w:rPr>
      </w:pPr>
    </w:p>
    <w:p w14:paraId="4EC57DA2" w14:textId="77777777" w:rsidR="00AE57AB" w:rsidRPr="00012DD6" w:rsidRDefault="00AE57AB" w:rsidP="00AE57AB">
      <w:pPr>
        <w:rPr>
          <w:lang w:eastAsia="en-AU"/>
        </w:rPr>
      </w:pPr>
    </w:p>
    <w:p w14:paraId="097197B5" w14:textId="77777777" w:rsidR="00AE57AB" w:rsidRPr="00012DD6" w:rsidRDefault="00AE57AB" w:rsidP="00AE57AB">
      <w:pPr>
        <w:rPr>
          <w:lang w:eastAsia="en-AU"/>
        </w:rPr>
      </w:pPr>
    </w:p>
    <w:p w14:paraId="65D5A4C9" w14:textId="0B41090F" w:rsidR="00AE57AB" w:rsidRPr="00BF281D" w:rsidRDefault="003022F7" w:rsidP="00AE57AB">
      <w:pPr>
        <w:pStyle w:val="Appendixhead1"/>
      </w:pPr>
      <w:bookmarkStart w:id="181" w:name="_Ref65054690"/>
      <w:r w:rsidRPr="00817682">
        <w:lastRenderedPageBreak/>
        <w:t>Cross</w:t>
      </w:r>
      <w:r w:rsidRPr="00817682">
        <w:noBreakHyphen/>
        <w:t>jurisdictional</w:t>
      </w:r>
      <w:r w:rsidR="00AE57AB" w:rsidRPr="00BF281D">
        <w:t xml:space="preserve"> analysis</w:t>
      </w:r>
      <w:bookmarkEnd w:id="181"/>
      <w:r w:rsidR="00AE57AB" w:rsidRPr="00BF281D">
        <w:t xml:space="preserve"> </w:t>
      </w:r>
    </w:p>
    <w:p w14:paraId="6A98C9F9" w14:textId="131E619E" w:rsidR="00AE57AB" w:rsidRPr="00BF281D" w:rsidRDefault="003C07CE" w:rsidP="00AE57AB">
      <w:r>
        <w:t>T</w:t>
      </w:r>
      <w:r w:rsidR="00AE57AB" w:rsidRPr="00BF281D">
        <w:t xml:space="preserve">he Victorian petroleum sector has been operating in a limited capacity in recent years, </w:t>
      </w:r>
      <w:r w:rsidR="003C3AC2">
        <w:t>so with the impending restart of onshore conventional gas it is appropriate to consider carefully</w:t>
      </w:r>
      <w:r w:rsidR="00AE57AB" w:rsidRPr="00BF281D">
        <w:t xml:space="preserve"> what types or level of regulation </w:t>
      </w:r>
      <w:r w:rsidR="002D4940">
        <w:t>are</w:t>
      </w:r>
      <w:r w:rsidR="002D4940" w:rsidRPr="00BF281D">
        <w:t xml:space="preserve"> </w:t>
      </w:r>
      <w:r w:rsidR="00AE57AB" w:rsidRPr="00BF281D">
        <w:t xml:space="preserve">appropriate. </w:t>
      </w:r>
      <w:r w:rsidR="00B072C1">
        <w:t>R</w:t>
      </w:r>
      <w:r w:rsidR="00B072C1" w:rsidRPr="00BF281D">
        <w:t xml:space="preserve">egulatory </w:t>
      </w:r>
      <w:r w:rsidR="00AE57AB" w:rsidRPr="00BF281D">
        <w:t xml:space="preserve">approaches in other jurisdictions </w:t>
      </w:r>
      <w:r w:rsidR="00AA43A6">
        <w:t>are an important source of information to</w:t>
      </w:r>
      <w:r w:rsidR="00AA43A6" w:rsidRPr="00BF281D">
        <w:t xml:space="preserve"> </w:t>
      </w:r>
      <w:r w:rsidR="00AE57AB" w:rsidRPr="00BF281D">
        <w:t xml:space="preserve">help identify best practice. </w:t>
      </w:r>
    </w:p>
    <w:p w14:paraId="02894135" w14:textId="77777777" w:rsidR="00AE57AB" w:rsidRPr="00BF281D" w:rsidRDefault="00AE57AB" w:rsidP="00AE57AB">
      <w:r w:rsidRPr="00BF281D">
        <w:t xml:space="preserve">The sections below summarise how other Australian jurisdictions approach the following issues: </w:t>
      </w:r>
    </w:p>
    <w:p w14:paraId="6697495F" w14:textId="77777777" w:rsidR="00AE57AB" w:rsidRPr="00BF281D" w:rsidRDefault="00AE57AB" w:rsidP="00AE11D2">
      <w:pPr>
        <w:numPr>
          <w:ilvl w:val="0"/>
          <w:numId w:val="39"/>
        </w:numPr>
      </w:pPr>
      <w:r w:rsidRPr="00BF281D">
        <w:t xml:space="preserve">How does the state encourage onshore resource exploration and development? </w:t>
      </w:r>
    </w:p>
    <w:p w14:paraId="54E6A76A" w14:textId="0F939EA0" w:rsidR="00AE57AB" w:rsidRPr="00BF281D" w:rsidRDefault="00AE57AB" w:rsidP="00AE11D2">
      <w:pPr>
        <w:numPr>
          <w:ilvl w:val="0"/>
          <w:numId w:val="39"/>
        </w:numPr>
      </w:pPr>
      <w:r w:rsidRPr="00BF281D">
        <w:t xml:space="preserve">How is community </w:t>
      </w:r>
      <w:r w:rsidR="0054704E">
        <w:t>social license</w:t>
      </w:r>
      <w:r w:rsidRPr="00BF281D">
        <w:t xml:space="preserve"> built in the resources sector? </w:t>
      </w:r>
    </w:p>
    <w:p w14:paraId="2FB17F8D" w14:textId="581D4BE3" w:rsidR="00AE57AB" w:rsidRPr="00BF281D" w:rsidRDefault="00AE57AB" w:rsidP="00AE11D2">
      <w:pPr>
        <w:numPr>
          <w:ilvl w:val="0"/>
          <w:numId w:val="39"/>
        </w:numPr>
      </w:pPr>
      <w:r w:rsidRPr="00BF281D">
        <w:t xml:space="preserve">How does the state minimise risk to improve outcomes from the environment, public </w:t>
      </w:r>
      <w:proofErr w:type="gramStart"/>
      <w:r w:rsidRPr="00BF281D">
        <w:t>safety</w:t>
      </w:r>
      <w:proofErr w:type="gramEnd"/>
      <w:r w:rsidRPr="00BF281D">
        <w:t xml:space="preserve"> and amenity as they relate to petroleum development</w:t>
      </w:r>
      <w:r w:rsidR="0069621A" w:rsidRPr="00BF281D">
        <w:t>?</w:t>
      </w:r>
    </w:p>
    <w:p w14:paraId="4777093B" w14:textId="77777777" w:rsidR="00AE57AB" w:rsidRPr="00BF281D" w:rsidRDefault="00AE57AB" w:rsidP="00AE57AB">
      <w:r w:rsidRPr="00BF281D">
        <w:t xml:space="preserve">This analysis was used in developing the Options for the RIS. </w:t>
      </w:r>
    </w:p>
    <w:p w14:paraId="3CAA0170" w14:textId="77777777" w:rsidR="00AE57AB" w:rsidRPr="00BF281D" w:rsidRDefault="00AE57AB" w:rsidP="007D3541">
      <w:pPr>
        <w:pStyle w:val="Appendixhead2"/>
      </w:pPr>
      <w:r w:rsidRPr="001528D0">
        <w:rPr>
          <w:color w:val="012169" w:themeColor="accent4"/>
        </w:rPr>
        <w:t>Queensland</w:t>
      </w:r>
    </w:p>
    <w:p w14:paraId="6105F9D5" w14:textId="77777777" w:rsidR="00AE57AB" w:rsidRPr="00BF281D" w:rsidRDefault="00AE57AB" w:rsidP="007D3541">
      <w:pPr>
        <w:pStyle w:val="Appendixhead3"/>
      </w:pPr>
      <w:r w:rsidRPr="00BF281D">
        <w:t xml:space="preserve">How does the state encourage onshore resource exploration and development? </w:t>
      </w:r>
    </w:p>
    <w:p w14:paraId="3D4E398B" w14:textId="2D392AC1" w:rsidR="00AE57AB" w:rsidRPr="00BF281D" w:rsidRDefault="00AE57AB" w:rsidP="00AE57AB">
      <w:r w:rsidRPr="00BF281D">
        <w:t>The Queensland Government has encouraged gas exploration through various initiatives such as the Queensland Gas Scheme in 2005, or the Queensland exploration program (this has been run 3 times previously since 2016). The latter was commenced to explore potential locations for petroleum and gas activity, supported by the argument that gas was a vital transitional fuel on the path to renewable energy.</w:t>
      </w:r>
      <w:r w:rsidRPr="00817682">
        <w:rPr>
          <w:vertAlign w:val="superscript"/>
        </w:rPr>
        <w:endnoteReference w:id="21"/>
      </w:r>
      <w:r w:rsidRPr="00817682">
        <w:t xml:space="preserve"> Underpinning the State’s gas industry are two piece</w:t>
      </w:r>
      <w:r w:rsidRPr="00BF281D">
        <w:t xml:space="preserve">s of legislation; the </w:t>
      </w:r>
      <w:r w:rsidRPr="00BF281D">
        <w:rPr>
          <w:i/>
          <w:iCs/>
        </w:rPr>
        <w:t>Petroleum Act 1923</w:t>
      </w:r>
      <w:r w:rsidRPr="00BF281D">
        <w:t xml:space="preserve"> (QLD) and the </w:t>
      </w:r>
      <w:r w:rsidRPr="00BF281D">
        <w:rPr>
          <w:i/>
          <w:iCs/>
        </w:rPr>
        <w:t>Petroleum and Gas (Production and Safety) Act 2004</w:t>
      </w:r>
      <w:r w:rsidRPr="00BF281D">
        <w:t xml:space="preserve"> (QLD) (the P&amp;G Act</w:t>
      </w:r>
      <w:r w:rsidR="00CB5433" w:rsidRPr="00BF281D">
        <w:t>)</w:t>
      </w:r>
      <w:r w:rsidRPr="00BF281D">
        <w:t>. The former regulates tenures granted prior to 1993, while the latter is the primary legislative document regulating onshore operations</w:t>
      </w:r>
      <w:r w:rsidR="005B60B5">
        <w:t xml:space="preserve"> (</w:t>
      </w:r>
      <w:r w:rsidR="009862DD">
        <w:t>th</w:t>
      </w:r>
      <w:r w:rsidR="002C5856">
        <w:t>e onshore</w:t>
      </w:r>
      <w:r w:rsidR="00925E91">
        <w:t xml:space="preserve"> gas</w:t>
      </w:r>
      <w:r w:rsidR="009862DD">
        <w:t xml:space="preserve"> industry </w:t>
      </w:r>
      <w:r w:rsidR="00934BB0">
        <w:t xml:space="preserve">grew rapidly </w:t>
      </w:r>
      <w:r w:rsidR="00925E91">
        <w:t xml:space="preserve">in QLD </w:t>
      </w:r>
      <w:r w:rsidR="00934BB0">
        <w:t>from the mid-1990s)</w:t>
      </w:r>
      <w:r w:rsidRPr="00BF281D">
        <w:t xml:space="preserve">. Section 18 of the P&amp;G Act lists the types of authority that may be granted by the </w:t>
      </w:r>
      <w:r w:rsidR="00597219" w:rsidRPr="00BF281D">
        <w:t>relevant Minister</w:t>
      </w:r>
      <w:r w:rsidRPr="00BF281D">
        <w:t xml:space="preserve">. This Act comes into effect after an environmental authority has been granted under the </w:t>
      </w:r>
      <w:r w:rsidRPr="00BF281D">
        <w:rPr>
          <w:i/>
          <w:iCs/>
        </w:rPr>
        <w:t>Environmental Protection Act 1994</w:t>
      </w:r>
      <w:r w:rsidRPr="00BF281D">
        <w:t xml:space="preserve"> (QLD).</w:t>
      </w:r>
    </w:p>
    <w:p w14:paraId="7D02692D" w14:textId="77777777" w:rsidR="00AE57AB" w:rsidRPr="00BF281D" w:rsidRDefault="00AE57AB" w:rsidP="00AE57AB">
      <w:r w:rsidRPr="00BF281D">
        <w:t xml:space="preserve">The </w:t>
      </w:r>
      <w:r w:rsidRPr="00BF281D">
        <w:rPr>
          <w:i/>
          <w:iCs/>
        </w:rPr>
        <w:t>Land Access Code</w:t>
      </w:r>
      <w:r w:rsidRPr="00BF281D">
        <w:t xml:space="preserve">, administered by the Department of Natural Resources and Mines, sets out best practice guidelines for resource companies to communicate and negotiate with landholders. To facilitate the development of effective working relationships from the outset, the holder should make early contact with the landholder in person, notifying them of exploration activity. </w:t>
      </w:r>
    </w:p>
    <w:p w14:paraId="6089E1D3" w14:textId="77777777" w:rsidR="00AE57AB" w:rsidRPr="00BF281D" w:rsidRDefault="00AE57AB" w:rsidP="00AE57AB">
      <w:r w:rsidRPr="00BF281D">
        <w:t>Reduced apprehension among landholders and an improved relationship with the gas industry subsequently allows for greater exploration and prospecting to take place. In 2011, Queensland implemented supply condition regulations that required suppliers to only export gas on associated tenders to the Australian market. Producers are also required to maintain a record of details of gas supply for at least seven years and present it to the Minister upon request. If sufficient gas is produced from tenures to effectively supply the Australian market and further production is not commercially viable, the relevant entity may receive an exemption from meeting obligations.</w:t>
      </w:r>
    </w:p>
    <w:p w14:paraId="24A94CDF" w14:textId="052A04A9" w:rsidR="00AE57AB" w:rsidRPr="00BF281D" w:rsidRDefault="00AE57AB" w:rsidP="007D3541">
      <w:pPr>
        <w:pStyle w:val="Appendixhead3"/>
      </w:pPr>
      <w:r w:rsidRPr="00BF281D">
        <w:t xml:space="preserve">How is community </w:t>
      </w:r>
      <w:r w:rsidR="0054704E">
        <w:t>social license</w:t>
      </w:r>
      <w:r w:rsidRPr="00BF281D">
        <w:t xml:space="preserve"> built in the resources sector?  </w:t>
      </w:r>
    </w:p>
    <w:p w14:paraId="0DF6CC19" w14:textId="77777777" w:rsidR="00AE57AB" w:rsidRPr="00817682" w:rsidRDefault="00AE57AB" w:rsidP="00AE57AB">
      <w:r w:rsidRPr="00BF281D">
        <w:t>From a legislative viewpoint, the P&amp;G Act provides basic opportunities for community participation; in the form of submissions made about the initial application for a project or, by request for review or appeal of the initial decision made by the Land Court. Additionally, the Land Access Ombudsman resolves breaches committed by parties, providing landholders with security when negotiating agreements with resource companies. This strong legal and regulatory foundation was built to rectify the damage caused by the initial explosive expansion of the gas industry. This expansion caused considerable opposition in the community due to a lack of legislation and effective process.</w:t>
      </w:r>
      <w:r w:rsidRPr="00817682">
        <w:rPr>
          <w:vertAlign w:val="superscript"/>
        </w:rPr>
        <w:endnoteReference w:id="22"/>
      </w:r>
    </w:p>
    <w:p w14:paraId="5000A0B1" w14:textId="38017301" w:rsidR="00AE57AB" w:rsidRPr="00817682" w:rsidRDefault="00AE57AB" w:rsidP="00AE57AB">
      <w:r w:rsidRPr="00817682">
        <w:lastRenderedPageBreak/>
        <w:t>The Queens</w:t>
      </w:r>
      <w:r w:rsidRPr="00BF281D">
        <w:t xml:space="preserve">land exploration program is expecting to build on the positive response received from early engagement with stakeholders during previous exploration programs. The information is supported by an analysis of the Queensland gas sector, which found that community acceptance of the coal seam gas industry depended on the quality of information disclosure and stakeholder engagement. Improving social and environmental performance was also found to be an important factor in maintaining a </w:t>
      </w:r>
      <w:r w:rsidR="0054704E">
        <w:t>social license</w:t>
      </w:r>
      <w:r w:rsidRPr="00BF281D">
        <w:t>. If community support begins to diminish, government licenses and regulations will be insufficient to keep the industry afloat.</w:t>
      </w:r>
      <w:r w:rsidRPr="00817682">
        <w:rPr>
          <w:vertAlign w:val="superscript"/>
        </w:rPr>
        <w:endnoteReference w:id="23"/>
      </w:r>
    </w:p>
    <w:p w14:paraId="43217653" w14:textId="2AA5BC44" w:rsidR="00AE57AB" w:rsidRPr="00817682" w:rsidRDefault="00AE57AB" w:rsidP="00AE57AB">
      <w:r w:rsidRPr="00BF281D">
        <w:t>In recent years, the relationship between the gas industry and stakeholders has been more constructive. This has been achieved by the revision of the landholder payments model whereby payments are made on an annual basis commencing at the exploration phase, rather than once extraction has commenced.</w:t>
      </w:r>
      <w:r w:rsidRPr="00817682">
        <w:rPr>
          <w:vertAlign w:val="superscript"/>
        </w:rPr>
        <w:endnoteReference w:id="24"/>
      </w:r>
      <w:r w:rsidRPr="00817682">
        <w:t xml:space="preserve"> The industry and development composition presents greater challenges for developing a </w:t>
      </w:r>
      <w:r w:rsidR="0054704E">
        <w:t>social license</w:t>
      </w:r>
      <w:r w:rsidRPr="00BF281D">
        <w:t xml:space="preserve"> in South-East Queensland as the impacts of gas operations are perceived as having far-reaching consequences. The recommended solution is to gain an effective understanding of the community and form partnerships with communities from early stages of resource development.</w:t>
      </w:r>
      <w:r w:rsidRPr="00817682">
        <w:rPr>
          <w:vertAlign w:val="superscript"/>
        </w:rPr>
        <w:endnoteReference w:id="25"/>
      </w:r>
    </w:p>
    <w:p w14:paraId="75C527B0" w14:textId="77777777" w:rsidR="00AE57AB" w:rsidRPr="00BF281D" w:rsidRDefault="00AE57AB" w:rsidP="007D3541">
      <w:pPr>
        <w:pStyle w:val="Appendixhead3"/>
      </w:pPr>
      <w:r w:rsidRPr="00BF281D">
        <w:t xml:space="preserve">How does the state minimise risk to improve outcomes from the environment, public </w:t>
      </w:r>
      <w:proofErr w:type="gramStart"/>
      <w:r w:rsidRPr="00BF281D">
        <w:t>safety</w:t>
      </w:r>
      <w:proofErr w:type="gramEnd"/>
      <w:r w:rsidRPr="00BF281D">
        <w:t xml:space="preserve"> and amenity as they relate to petroleum development?</w:t>
      </w:r>
    </w:p>
    <w:p w14:paraId="27908D77" w14:textId="77777777" w:rsidR="00AE57AB" w:rsidRPr="00BF281D" w:rsidRDefault="00AE57AB" w:rsidP="00AE57AB">
      <w:r w:rsidRPr="00BF281D">
        <w:t xml:space="preserve">Before any environmentally relevant activity (ERA) can be undertaken, the </w:t>
      </w:r>
      <w:r w:rsidRPr="00BF281D">
        <w:rPr>
          <w:i/>
          <w:iCs/>
        </w:rPr>
        <w:t>Environmental Protection Act 1994</w:t>
      </w:r>
      <w:r w:rsidRPr="00BF281D">
        <w:t xml:space="preserve"> (QLD) (EP Act) requires an application for an environmental authority (EA). In relation to petroleum or geothermal operations, if there is a possibility of significant disruption to the environment, the EA holder may have to pay financial assurance to cover any costs incurred by the government.</w:t>
      </w:r>
    </w:p>
    <w:p w14:paraId="6F8FD1E3" w14:textId="75B2F4AA" w:rsidR="00AE57AB" w:rsidRPr="00BF281D" w:rsidRDefault="00AE57AB" w:rsidP="00AE57AB">
      <w:r w:rsidRPr="00BF281D">
        <w:t xml:space="preserve">The P&amp;G Act contains provisions which oversee the technical and operational components of gas production, distribution, use and licensing. The second key instrument is the </w:t>
      </w:r>
      <w:r w:rsidRPr="00BF281D">
        <w:rPr>
          <w:i/>
          <w:iCs/>
        </w:rPr>
        <w:t>Petroleum and Gas (Safety) Regulation 2018</w:t>
      </w:r>
      <w:r w:rsidRPr="00BF281D">
        <w:t xml:space="preserve"> (QLD), which contain</w:t>
      </w:r>
      <w:r w:rsidR="00E16A67">
        <w:t>s</w:t>
      </w:r>
      <w:r w:rsidRPr="00BF281D">
        <w:t xml:space="preserve"> multiple clauses specifically targeted at minimising the operational risk</w:t>
      </w:r>
      <w:r w:rsidR="00BC7362">
        <w:t>s</w:t>
      </w:r>
      <w:r w:rsidRPr="00BF281D">
        <w:t xml:space="preserve"> of mining, </w:t>
      </w:r>
      <w:proofErr w:type="gramStart"/>
      <w:r w:rsidRPr="00BF281D">
        <w:t>gas</w:t>
      </w:r>
      <w:proofErr w:type="gramEnd"/>
      <w:r w:rsidRPr="00BF281D">
        <w:t xml:space="preserve"> and petroleum production. The Regulation also prescribes several codes of practice used across the industry in relation to polyethylene gathering</w:t>
      </w:r>
      <w:r w:rsidR="00BE3F23">
        <w:t xml:space="preserve"> lines</w:t>
      </w:r>
      <w:r w:rsidRPr="00BF281D">
        <w:t>, construction of petroleum wells, gas well drilling, gas well servicing and leak management in petroleum operating plants.</w:t>
      </w:r>
      <w:r w:rsidRPr="00817682">
        <w:rPr>
          <w:vertAlign w:val="superscript"/>
        </w:rPr>
        <w:endnoteReference w:id="26"/>
      </w:r>
      <w:r w:rsidRPr="00817682">
        <w:t xml:space="preserve"> </w:t>
      </w:r>
    </w:p>
    <w:p w14:paraId="7B73F27D" w14:textId="3D97086E" w:rsidR="00AE57AB" w:rsidRPr="00817682" w:rsidRDefault="00D24BE1" w:rsidP="00AE57AB">
      <w:r>
        <w:t>T</w:t>
      </w:r>
      <w:r w:rsidR="00AE57AB" w:rsidRPr="00BF281D">
        <w:t xml:space="preserve">he Resource Safety and Health’s performance accountability framework enables public performance reporting and improved accountability and transparency. The framework’s 2018-19 self-assessment found that there was a high degree of collaboration </w:t>
      </w:r>
      <w:r w:rsidR="00192032">
        <w:t>between</w:t>
      </w:r>
      <w:r w:rsidR="00192032" w:rsidRPr="00BF281D">
        <w:t xml:space="preserve"> </w:t>
      </w:r>
      <w:r w:rsidR="00AE57AB" w:rsidRPr="00BF281D">
        <w:t>industry and regulatory bodies. It also found sufficient evidence that supported the existing approach to compliance and enforcement, that was built upon a risk-based regulatory approach.</w:t>
      </w:r>
      <w:r w:rsidR="00AE57AB" w:rsidRPr="00817682">
        <w:rPr>
          <w:vertAlign w:val="superscript"/>
        </w:rPr>
        <w:endnoteReference w:id="27"/>
      </w:r>
    </w:p>
    <w:p w14:paraId="2A2A9D86" w14:textId="77777777" w:rsidR="00AE57AB" w:rsidRPr="00BF281D" w:rsidRDefault="00AE57AB" w:rsidP="007D3541">
      <w:pPr>
        <w:pStyle w:val="Appendixhead2"/>
      </w:pPr>
      <w:r w:rsidRPr="001528D0">
        <w:rPr>
          <w:color w:val="012169" w:themeColor="accent4"/>
        </w:rPr>
        <w:t>Western Australia</w:t>
      </w:r>
    </w:p>
    <w:p w14:paraId="3FE9D7C0" w14:textId="77777777" w:rsidR="00AE57AB" w:rsidRPr="00BF281D" w:rsidRDefault="00AE57AB" w:rsidP="007D3541">
      <w:pPr>
        <w:pStyle w:val="Appendixhead3"/>
      </w:pPr>
      <w:r w:rsidRPr="00BF281D">
        <w:t>How does the state encourage onshore resource exploration and development?</w:t>
      </w:r>
    </w:p>
    <w:p w14:paraId="0906B1D3" w14:textId="268B37DC" w:rsidR="00AE57AB" w:rsidRPr="00BF281D" w:rsidRDefault="00AE57AB" w:rsidP="00AE57AB">
      <w:r w:rsidRPr="00BF281D">
        <w:t xml:space="preserve">The </w:t>
      </w:r>
      <w:r w:rsidRPr="00BF281D">
        <w:rPr>
          <w:i/>
          <w:iCs/>
        </w:rPr>
        <w:t>Petroleum and Geothermal Energy Resources Act 1967</w:t>
      </w:r>
      <w:r w:rsidRPr="00BF281D">
        <w:t xml:space="preserve"> (WA) (PGE Act) contains provisions relating to the issuing of permits and reservations for exploration and exploitation of petroleum. The Minister may invite applications for permits to explore and develop petroleum and onshore geothermal resources. Similarly, the </w:t>
      </w:r>
      <w:r w:rsidRPr="00BF281D">
        <w:rPr>
          <w:i/>
          <w:iCs/>
        </w:rPr>
        <w:t>Petroleum Pipelines Act 1969</w:t>
      </w:r>
      <w:r w:rsidRPr="00BF281D">
        <w:t xml:space="preserve"> (WA) grants the Minister power to authorise a person applying for a license to construct a petroleum pipeline on a specified piece of land. </w:t>
      </w:r>
    </w:p>
    <w:p w14:paraId="60E0B3A8" w14:textId="662B279F" w:rsidR="00AE57AB" w:rsidRPr="00817682" w:rsidRDefault="00AE57AB" w:rsidP="00AE57AB">
      <w:r w:rsidRPr="00BF281D">
        <w:t xml:space="preserve">The Exploration Incentive Scheme (EIS), which began in 2009, </w:t>
      </w:r>
      <w:r w:rsidR="005D591C">
        <w:t>i</w:t>
      </w:r>
      <w:r w:rsidRPr="00BF281D">
        <w:t>s an initiative that aims to stimulate the onshore resource industry by encouraging exploration. The scheme supports five high-level programs – two of these being a co-funded Exploration Drilling Program and a co-funded Energy Analysis Program. These offer successful applicants up to a 50% refund for activities falling within the scope of the grant.</w:t>
      </w:r>
      <w:r w:rsidRPr="00817682">
        <w:rPr>
          <w:vertAlign w:val="superscript"/>
        </w:rPr>
        <w:endnoteReference w:id="28"/>
      </w:r>
    </w:p>
    <w:p w14:paraId="2759233A" w14:textId="30ED37FD" w:rsidR="00AE57AB" w:rsidRPr="00817682" w:rsidRDefault="00AE57AB" w:rsidP="00AE57AB">
      <w:r w:rsidRPr="00BF281D">
        <w:t xml:space="preserve">Under the WA Domestic Gas Reservation Policy, the </w:t>
      </w:r>
      <w:r w:rsidR="00E41C14" w:rsidRPr="00BF281D">
        <w:t>state g</w:t>
      </w:r>
      <w:r w:rsidRPr="00BF281D">
        <w:t>overnment can enter agreements with LNG producers which provide both certainty of work for the producer and a consistent supply of gas for the domestic market. There is also an option for a producer to offset their domestic commitment by supplying energy from an alternative energy source. This enables exports to external markets which are otherwise not allowed by the WA gas pipeline network.</w:t>
      </w:r>
      <w:r w:rsidRPr="00817682">
        <w:rPr>
          <w:vertAlign w:val="superscript"/>
        </w:rPr>
        <w:endnoteReference w:id="29"/>
      </w:r>
      <w:r w:rsidRPr="00817682">
        <w:t xml:space="preserve"> Additionally, the Resource Rent Royalty scheme uses its funds to improve state services and infrastructure, while also acting as a tax-deductible payment for producers.</w:t>
      </w:r>
      <w:r w:rsidRPr="00817682">
        <w:rPr>
          <w:vertAlign w:val="superscript"/>
        </w:rPr>
        <w:endnoteReference w:id="30"/>
      </w:r>
      <w:r w:rsidRPr="00817682">
        <w:t xml:space="preserve"> In 2017, the government also enacted a plan to release further ac</w:t>
      </w:r>
      <w:r w:rsidRPr="00BF281D">
        <w:t>reage for petroleum exploration, highlighting continued support for the expansion of the industry.</w:t>
      </w:r>
      <w:r w:rsidRPr="00817682">
        <w:rPr>
          <w:vertAlign w:val="superscript"/>
        </w:rPr>
        <w:endnoteReference w:id="31"/>
      </w:r>
    </w:p>
    <w:p w14:paraId="21A930D4" w14:textId="77777777" w:rsidR="00AE57AB" w:rsidRPr="00817682" w:rsidRDefault="00AE57AB" w:rsidP="00AE57AB">
      <w:r w:rsidRPr="00817682">
        <w:lastRenderedPageBreak/>
        <w:t xml:space="preserve">The </w:t>
      </w:r>
      <w:r w:rsidRPr="00BF281D">
        <w:rPr>
          <w:i/>
          <w:iCs/>
        </w:rPr>
        <w:t>WA Domestic Gas Policy – Reporting Framework</w:t>
      </w:r>
      <w:r w:rsidRPr="00BF281D">
        <w:t xml:space="preserve"> outlines expectations and requirements that LNG exporters are expected to uphold from a monitoring and transparency standpoint. The framework analyses a producer’s export approvals, domestic gas supply contributions, domestic infrastructure maintenance and marketing activities. In aggregate, these statistics provide an annual statement of the gas industry’s performance, including the size of gas reserves and contributions towards domestic commitments. This is used to inform further development in WA.</w:t>
      </w:r>
      <w:r w:rsidRPr="00817682">
        <w:rPr>
          <w:vertAlign w:val="superscript"/>
        </w:rPr>
        <w:endnoteReference w:id="32"/>
      </w:r>
    </w:p>
    <w:p w14:paraId="72C2F6CD" w14:textId="209BD96D" w:rsidR="00AE57AB" w:rsidRPr="00BF281D" w:rsidRDefault="00AE57AB" w:rsidP="007D3541">
      <w:pPr>
        <w:pStyle w:val="Appendixhead3"/>
      </w:pPr>
      <w:r w:rsidRPr="00BF281D">
        <w:t xml:space="preserve">How is community </w:t>
      </w:r>
      <w:r w:rsidR="0054704E">
        <w:t>social license</w:t>
      </w:r>
      <w:r w:rsidRPr="00BF281D">
        <w:t xml:space="preserve"> built in the resources sector?</w:t>
      </w:r>
    </w:p>
    <w:p w14:paraId="3C8302BF" w14:textId="14741227" w:rsidR="00AE57AB" w:rsidRPr="00817682" w:rsidRDefault="004B3FF8" w:rsidP="00AE57AB">
      <w:r>
        <w:t>S</w:t>
      </w:r>
      <w:r w:rsidR="0054704E">
        <w:t>ocial license</w:t>
      </w:r>
      <w:r w:rsidR="00AE57AB" w:rsidRPr="00BF281D">
        <w:t xml:space="preserve"> of the mining industry in WA </w:t>
      </w:r>
      <w:r>
        <w:t>has been</w:t>
      </w:r>
      <w:r w:rsidR="00AE57AB" w:rsidRPr="00BF281D">
        <w:t xml:space="preserve"> built </w:t>
      </w:r>
      <w:r>
        <w:t>via emphasising the</w:t>
      </w:r>
      <w:r w:rsidR="00AE57AB" w:rsidRPr="00BF281D">
        <w:t xml:space="preserve"> economic legitimacy </w:t>
      </w:r>
      <w:r>
        <w:t xml:space="preserve">and impacts to the WA community, as well as via </w:t>
      </w:r>
      <w:r w:rsidR="00AE57AB" w:rsidRPr="00BF281D">
        <w:t xml:space="preserve">government </w:t>
      </w:r>
      <w:r w:rsidR="006C2E3A">
        <w:t>encouragement of the industry</w:t>
      </w:r>
      <w:r w:rsidR="00AE57AB" w:rsidRPr="00BF281D">
        <w:t>.</w:t>
      </w:r>
      <w:r w:rsidR="00AE57AB" w:rsidRPr="00817682">
        <w:rPr>
          <w:vertAlign w:val="superscript"/>
        </w:rPr>
        <w:endnoteReference w:id="33"/>
      </w:r>
      <w:r w:rsidR="00AE57AB" w:rsidRPr="00817682">
        <w:t xml:space="preserve"> The presence of the mining and resources sector has led to the development of critical infrastructure in remote regions, with towns being built to support the local workforce. Despite these efforts, under the existing model, th</w:t>
      </w:r>
      <w:r w:rsidR="00036769">
        <w:t>er</w:t>
      </w:r>
      <w:r w:rsidR="00727F78">
        <w:t>e</w:t>
      </w:r>
      <w:r w:rsidR="00AE57AB" w:rsidRPr="00817682">
        <w:t xml:space="preserve"> is </w:t>
      </w:r>
      <w:r w:rsidR="0039073A">
        <w:t xml:space="preserve">evidence </w:t>
      </w:r>
      <w:r w:rsidR="00AE57AB" w:rsidRPr="00817682">
        <w:t>that mining compan</w:t>
      </w:r>
      <w:r w:rsidR="00AE57AB" w:rsidRPr="00BF281D">
        <w:t xml:space="preserve">ies are not meeting the </w:t>
      </w:r>
      <w:r w:rsidR="006C5EAE">
        <w:t xml:space="preserve">community </w:t>
      </w:r>
      <w:r w:rsidR="00AE57AB" w:rsidRPr="00BF281D">
        <w:t xml:space="preserve">standards </w:t>
      </w:r>
      <w:r w:rsidR="006C5EAE">
        <w:t>to effectively build</w:t>
      </w:r>
      <w:r w:rsidR="006C5EAE" w:rsidRPr="00BF281D">
        <w:t xml:space="preserve"> </w:t>
      </w:r>
      <w:r w:rsidR="0054704E">
        <w:t>social license</w:t>
      </w:r>
      <w:r w:rsidR="00AE57AB" w:rsidRPr="00BF281D">
        <w:t xml:space="preserve">. </w:t>
      </w:r>
      <w:r w:rsidR="00DA2E47">
        <w:t xml:space="preserve"> The </w:t>
      </w:r>
      <w:r w:rsidR="00BF3B6B">
        <w:t>relevant WA</w:t>
      </w:r>
      <w:r w:rsidR="00E86899">
        <w:t xml:space="preserve"> Department of Mines, Industry, Regulation and Safety</w:t>
      </w:r>
      <w:r w:rsidR="00AE57AB" w:rsidRPr="00BF281D">
        <w:t xml:space="preserve"> have adopted several initiatives to improve stakeholder consultation and engagement</w:t>
      </w:r>
      <w:r w:rsidR="00E86899">
        <w:t xml:space="preserve"> in the mining and resources sector</w:t>
      </w:r>
      <w:r w:rsidR="00AE57AB" w:rsidRPr="00BF281D">
        <w:t xml:space="preserve">. The </w:t>
      </w:r>
      <w:r w:rsidR="008604CE" w:rsidRPr="00BF281D">
        <w:t>d</w:t>
      </w:r>
      <w:r w:rsidR="00AE57AB" w:rsidRPr="00BF281D">
        <w:t>epartment’s strategic plan lists protection of the community and safe and responsible resource development as priorities.</w:t>
      </w:r>
      <w:r w:rsidR="00AE57AB" w:rsidRPr="00817682">
        <w:rPr>
          <w:vertAlign w:val="superscript"/>
        </w:rPr>
        <w:endnoteReference w:id="34"/>
      </w:r>
    </w:p>
    <w:p w14:paraId="090D1F00" w14:textId="77777777" w:rsidR="00AE57AB" w:rsidRPr="00BF281D" w:rsidRDefault="00AE57AB" w:rsidP="007D3541">
      <w:pPr>
        <w:pStyle w:val="Appendixhead3"/>
      </w:pPr>
      <w:r w:rsidRPr="00BF281D">
        <w:t xml:space="preserve">How does the state minimise risk to improve outcomes from the environment, public </w:t>
      </w:r>
      <w:proofErr w:type="gramStart"/>
      <w:r w:rsidRPr="00BF281D">
        <w:t>safety</w:t>
      </w:r>
      <w:proofErr w:type="gramEnd"/>
      <w:r w:rsidRPr="00BF281D">
        <w:t xml:space="preserve"> and amenity as they relate to petroleum development?</w:t>
      </w:r>
    </w:p>
    <w:p w14:paraId="576AECA9" w14:textId="77777777" w:rsidR="00AE57AB" w:rsidRPr="00BF281D" w:rsidRDefault="00AE57AB" w:rsidP="00AE57AB">
      <w:r w:rsidRPr="00BF281D">
        <w:t xml:space="preserve">In total, WA has eleven legislative and regulatory instruments containing safety requirements for onshore and offshore petroleum and energy operations. All petroleum proposals are evaluated under the PGE Act, which require operators to submit Environment Plans, Safety Management Systems and Well Manage Plans to the public authority. These plans are required by the </w:t>
      </w:r>
      <w:r w:rsidRPr="00BF281D">
        <w:rPr>
          <w:i/>
          <w:iCs/>
        </w:rPr>
        <w:t>Petroleum and Geothermal Energy Resources (Environment) Regulations 2012</w:t>
      </w:r>
      <w:r w:rsidRPr="00BF281D">
        <w:t xml:space="preserve">, which also include provisions for public disclosure of chemicals in wells and the publication of an environmental plan summary on the DMIRS website. The environmental plans must; include a thorough assessment of a variety of factors, be conducted using an environmental risk assessment and project implementation strategy, and include extensive stakeholder consultation and reporting on meteorological, geographical, </w:t>
      </w:r>
      <w:proofErr w:type="gramStart"/>
      <w:r w:rsidRPr="00BF281D">
        <w:t>geological</w:t>
      </w:r>
      <w:proofErr w:type="gramEnd"/>
      <w:r w:rsidRPr="00BF281D">
        <w:t xml:space="preserve"> and chemical standards.</w:t>
      </w:r>
    </w:p>
    <w:p w14:paraId="3C05E8EF" w14:textId="77777777" w:rsidR="00AE57AB" w:rsidRPr="00BF281D" w:rsidRDefault="00AE57AB" w:rsidP="00AE57AB">
      <w:r w:rsidRPr="00BF281D">
        <w:t>Furthermore, the PGE Act and </w:t>
      </w:r>
      <w:r w:rsidRPr="00BF281D">
        <w:rPr>
          <w:i/>
          <w:iCs/>
        </w:rPr>
        <w:t>Petroleum (Submerged Lands) Act 1982</w:t>
      </w:r>
      <w:r w:rsidRPr="00BF281D">
        <w:t xml:space="preserve"> (WA) require auditing and evaluations of petroleum activities, in addition to self-assessments conducted by operators. If operations are being carried out within 500 metres of an ‘environmentally sensitive area’, the petroleum activity must be assessed under the </w:t>
      </w:r>
      <w:r w:rsidRPr="00BF281D">
        <w:rPr>
          <w:i/>
          <w:iCs/>
        </w:rPr>
        <w:t>Environmental Protection Act 1986</w:t>
      </w:r>
      <w:r w:rsidRPr="00BF281D">
        <w:t xml:space="preserve"> (WA), and may be referred to the Commonwealth Department of Environment if the development has the potential to significantly impact a matter of national environmental significance. The </w:t>
      </w:r>
      <w:r w:rsidRPr="00BF281D">
        <w:rPr>
          <w:i/>
          <w:iCs/>
        </w:rPr>
        <w:t>Petroleum Pipelines (Environment) Regulations 2012</w:t>
      </w:r>
      <w:r w:rsidRPr="00BF281D">
        <w:t xml:space="preserve"> similarly require an environment plan to be submitted, but additionally require the submission of an oil spill contingency plan that is approved by the Minister. Section 8 of the Regulations penalises the continued operation of petroleum pipeline activity after a significant environmental risk has been identified. </w:t>
      </w:r>
    </w:p>
    <w:p w14:paraId="49C5F4FC" w14:textId="77777777" w:rsidR="00AE57AB" w:rsidRPr="00BF281D" w:rsidRDefault="00AE57AB" w:rsidP="007D3541">
      <w:pPr>
        <w:pStyle w:val="Appendixhead2"/>
      </w:pPr>
      <w:r w:rsidRPr="001528D0">
        <w:rPr>
          <w:color w:val="012169" w:themeColor="accent4"/>
        </w:rPr>
        <w:t>South Australia</w:t>
      </w:r>
    </w:p>
    <w:p w14:paraId="4A54516C" w14:textId="77777777" w:rsidR="00AE57AB" w:rsidRPr="00BF281D" w:rsidRDefault="00AE57AB" w:rsidP="007D3541">
      <w:pPr>
        <w:pStyle w:val="Appendixhead3"/>
      </w:pPr>
      <w:r w:rsidRPr="00BF281D">
        <w:t xml:space="preserve">How does the state encourage onshore resource exploration and development? </w:t>
      </w:r>
    </w:p>
    <w:p w14:paraId="1FC468F7" w14:textId="43E9180B" w:rsidR="00AE57AB" w:rsidRPr="00BF281D" w:rsidRDefault="00AE57AB" w:rsidP="00AE57AB">
      <w:r w:rsidRPr="00BF281D">
        <w:t xml:space="preserve">The </w:t>
      </w:r>
      <w:r w:rsidRPr="00BF281D">
        <w:rPr>
          <w:i/>
        </w:rPr>
        <w:t>South Australian Mining Act 1971</w:t>
      </w:r>
      <w:r w:rsidRPr="00BF281D">
        <w:t xml:space="preserve"> and associated regulations detail the requirements for grants of exploration licenses. Under the </w:t>
      </w:r>
      <w:r w:rsidRPr="00BF281D">
        <w:rPr>
          <w:i/>
        </w:rPr>
        <w:t>Petroleum and Geothermal Energy Regulations 2013</w:t>
      </w:r>
      <w:r w:rsidRPr="00BF281D">
        <w:t xml:space="preserve">, applications for an </w:t>
      </w:r>
      <w:r w:rsidR="009D59F5">
        <w:t>exploration permit</w:t>
      </w:r>
      <w:r w:rsidRPr="00BF281D">
        <w:t xml:space="preserve"> can be lodged at any time for areas that are not in a Competitive Tender </w:t>
      </w:r>
      <w:proofErr w:type="gramStart"/>
      <w:r w:rsidRPr="00BF281D">
        <w:t>Region</w:t>
      </w:r>
      <w:proofErr w:type="gramEnd"/>
      <w:r w:rsidRPr="00BF281D">
        <w:t xml:space="preserve"> but the Minister must call for tenders for an exploration license within a competitive tender region.  At least 28 days before the Minister grants an exploration license, a notice must be published by the Minister in the Gazette. </w:t>
      </w:r>
    </w:p>
    <w:p w14:paraId="4CFB7F35" w14:textId="77777777" w:rsidR="00AE57AB" w:rsidRPr="00BF281D" w:rsidRDefault="00AE57AB" w:rsidP="00AE57AB">
      <w:r w:rsidRPr="00BF281D">
        <w:t>The Plan for Accelerating Exploration (PACE) is an initiative to advance resource exploration and mining developments in South Australia.</w:t>
      </w:r>
      <w:r w:rsidRPr="00817682">
        <w:rPr>
          <w:vertAlign w:val="superscript"/>
        </w:rPr>
        <w:endnoteReference w:id="35"/>
      </w:r>
      <w:r w:rsidRPr="00817682">
        <w:t xml:space="preserve"> An evaluation of PACE found that the $56 million invested by the state between 2004 and 2013 generated an additional $700 million in mineral exploration investment in South Australia.</w:t>
      </w:r>
      <w:r w:rsidRPr="00817682">
        <w:rPr>
          <w:vertAlign w:val="superscript"/>
        </w:rPr>
        <w:endnoteReference w:id="36"/>
      </w:r>
      <w:r w:rsidRPr="00817682">
        <w:t xml:space="preserve"> In 2017, additional grants tota</w:t>
      </w:r>
      <w:r w:rsidRPr="00BF281D">
        <w:t>lling $24 million have also encouraged further development.</w:t>
      </w:r>
      <w:r w:rsidRPr="00817682">
        <w:rPr>
          <w:vertAlign w:val="superscript"/>
        </w:rPr>
        <w:endnoteReference w:id="37"/>
      </w:r>
      <w:r w:rsidRPr="00817682">
        <w:t xml:space="preserve"> The market’s view is that this has been very effective in unlocking marginal development activity within SA.</w:t>
      </w:r>
    </w:p>
    <w:p w14:paraId="674BE5EC" w14:textId="77777777" w:rsidR="00AE57AB" w:rsidRPr="00BF281D" w:rsidRDefault="00AE57AB" w:rsidP="00AE57AB">
      <w:r w:rsidRPr="00BF281D">
        <w:lastRenderedPageBreak/>
        <w:t>The Accelerated Discovery Initiative (ADI) has also provided co-funding opportunities to drive development and, stimulate growth and innovation in the State’s resource sector. The funding commitment totalled $10 million over 2019-2020.</w:t>
      </w:r>
      <w:r w:rsidRPr="00817682">
        <w:rPr>
          <w:vertAlign w:val="superscript"/>
        </w:rPr>
        <w:endnoteReference w:id="38"/>
      </w:r>
      <w:r w:rsidRPr="00817682">
        <w:t xml:space="preserve"> </w:t>
      </w:r>
    </w:p>
    <w:p w14:paraId="65C08E7C" w14:textId="604C2879" w:rsidR="00AE57AB" w:rsidRPr="00BF281D" w:rsidRDefault="00AE57AB" w:rsidP="007D3541">
      <w:pPr>
        <w:pStyle w:val="Appendixhead3"/>
      </w:pPr>
      <w:r w:rsidRPr="00BF281D">
        <w:t xml:space="preserve">How is community </w:t>
      </w:r>
      <w:r w:rsidR="0054704E">
        <w:t>social license</w:t>
      </w:r>
      <w:r w:rsidRPr="00BF281D">
        <w:t xml:space="preserve"> built in the resources sector? </w:t>
      </w:r>
    </w:p>
    <w:p w14:paraId="27271FA3" w14:textId="0FF887C5" w:rsidR="00AE57AB" w:rsidRPr="00BF281D" w:rsidRDefault="00AE57AB" w:rsidP="00AE57AB">
      <w:r w:rsidRPr="00BF281D">
        <w:t xml:space="preserve">In South Australia, the increasing proximity of resources and the rise in agricultural activity has magnified community concerns about resources activity. </w:t>
      </w:r>
      <w:r w:rsidR="00B07F8A">
        <w:t>I</w:t>
      </w:r>
      <w:r w:rsidRPr="00BF281D">
        <w:t xml:space="preserve">n South Australia, the </w:t>
      </w:r>
      <w:r w:rsidRPr="00BF281D">
        <w:rPr>
          <w:i/>
          <w:iCs/>
        </w:rPr>
        <w:t>Petroleum and Geothermal Energy Act 2000</w:t>
      </w:r>
      <w:r w:rsidRPr="00BF281D">
        <w:t xml:space="preserve"> (SA) (PGE) and the </w:t>
      </w:r>
      <w:r w:rsidRPr="00BF281D">
        <w:rPr>
          <w:i/>
          <w:iCs/>
        </w:rPr>
        <w:t>Petroleum and Geothermal Energy Regulations 2013</w:t>
      </w:r>
      <w:r w:rsidRPr="00BF281D">
        <w:t xml:space="preserve"> contain</w:t>
      </w:r>
      <w:r w:rsidR="00E76944">
        <w:t>s</w:t>
      </w:r>
      <w:r w:rsidRPr="00BF281D">
        <w:t xml:space="preserve"> basic provisions for consultation. </w:t>
      </w:r>
    </w:p>
    <w:p w14:paraId="22F57BF8" w14:textId="77777777" w:rsidR="00AE57AB" w:rsidRPr="00BF281D" w:rsidRDefault="00AE57AB" w:rsidP="00AE57AB">
      <w:r w:rsidRPr="00BF281D">
        <w:t xml:space="preserve">On regulated activities, Part 12 of the PGE requires an environmental impact report to be provided by the licensee. The objectives of this are to ensure the adverse impact is properly managed and reduced as far as reasonably practicable. The Regulations specify that information about consultation that have occurred must be included in the report. However, it does not mandate this consultation. Interested persons </w:t>
      </w:r>
      <w:proofErr w:type="gramStart"/>
      <w:r w:rsidRPr="00BF281D">
        <w:t>are able to</w:t>
      </w:r>
      <w:proofErr w:type="gramEnd"/>
      <w:r w:rsidRPr="00BF281D">
        <w:t xml:space="preserve"> make submissions on the environmental impact report and the Minister must take these into account. The length of public consultation depends on the impact level classification. Low impact activity will entail consultation only between government agencies whereas higher impact activity will require a public consultation process.</w:t>
      </w:r>
    </w:p>
    <w:p w14:paraId="3EA1A512" w14:textId="77777777" w:rsidR="00AE57AB" w:rsidRPr="00BF281D" w:rsidRDefault="00AE57AB" w:rsidP="00AE57AB">
      <w:r w:rsidRPr="00BF281D">
        <w:t xml:space="preserve">Prior to entering land, notice of entry is required at least 21 days before. The PGE Act also contains provisions for disputed entry and compensation. Owners of land receive security through requirement for mediation and the ability to apply to the Warden’s Court for dispute resolution. </w:t>
      </w:r>
    </w:p>
    <w:p w14:paraId="5A46846C" w14:textId="7B327C7A" w:rsidR="00AE57AB" w:rsidRPr="00BF281D" w:rsidRDefault="00AE57AB" w:rsidP="00AE57AB">
      <w:r w:rsidRPr="00BF281D">
        <w:t xml:space="preserve">South Australia </w:t>
      </w:r>
      <w:r w:rsidR="00F44C12">
        <w:t>has a</w:t>
      </w:r>
      <w:r w:rsidRPr="00BF281D">
        <w:t xml:space="preserve"> </w:t>
      </w:r>
      <w:r w:rsidR="00250C88">
        <w:t xml:space="preserve">dedicated </w:t>
      </w:r>
      <w:r w:rsidRPr="00BF281D">
        <w:t>‘Multiple Land Use Policy Framework’</w:t>
      </w:r>
      <w:r w:rsidRPr="00817682">
        <w:rPr>
          <w:vertAlign w:val="superscript"/>
        </w:rPr>
        <w:endnoteReference w:id="39"/>
      </w:r>
      <w:r w:rsidRPr="00817682">
        <w:t xml:space="preserve"> to </w:t>
      </w:r>
      <w:r w:rsidR="00F44C12">
        <w:t>facilitate</w:t>
      </w:r>
      <w:r w:rsidRPr="00817682">
        <w:t xml:space="preserve"> best-practice engagement for land use. This framework sets out guidance for engagement with all relevant stakeholders including landowners. Resource companies involved in l</w:t>
      </w:r>
      <w:r w:rsidRPr="00BF281D">
        <w:t xml:space="preserve">and use projects are encouraged to use this framework and ensure their processes are consistent with the guiding principles and mechanisms. </w:t>
      </w:r>
    </w:p>
    <w:p w14:paraId="5E52F7C1" w14:textId="77777777" w:rsidR="00AE57AB" w:rsidRPr="00BF281D" w:rsidRDefault="00AE57AB" w:rsidP="00AE57AB">
      <w:r w:rsidRPr="00BF281D">
        <w:t>A 2020 study undertaken by the Gas Industry Social and Environmental Research Alliance (GISERA) in the South-East region of South Australia investigated the potential community wellbeing impacts of onshore conventional gas development.</w:t>
      </w:r>
      <w:r w:rsidRPr="00817682">
        <w:rPr>
          <w:vertAlign w:val="superscript"/>
        </w:rPr>
        <w:endnoteReference w:id="40"/>
      </w:r>
      <w:r w:rsidRPr="00817682">
        <w:t xml:space="preserve"> The identified areas needed for a social license to operate were trust in the industry, procedural fairness and, quality of relations</w:t>
      </w:r>
      <w:r w:rsidRPr="00BF281D">
        <w:t xml:space="preserve">hip with the company. The study showed that perceptions of government authorities to hold gas companies accountable were modest. Engagement through the frameworks provided, in addition to the regulations, is key to shaping trust in the conventional gas industry in South Australia. </w:t>
      </w:r>
    </w:p>
    <w:p w14:paraId="2FF77CC2" w14:textId="77777777" w:rsidR="00AE57AB" w:rsidRPr="00BF281D" w:rsidRDefault="00AE57AB" w:rsidP="007D3541">
      <w:pPr>
        <w:pStyle w:val="Appendixhead3"/>
      </w:pPr>
      <w:r w:rsidRPr="00BF281D">
        <w:t xml:space="preserve">How does the state minimise risk to improve outcomes from the environment, public </w:t>
      </w:r>
      <w:proofErr w:type="gramStart"/>
      <w:r w:rsidRPr="00BF281D">
        <w:t>safety</w:t>
      </w:r>
      <w:proofErr w:type="gramEnd"/>
      <w:r w:rsidRPr="00BF281D">
        <w:t xml:space="preserve"> and amenity as they relate to petroleum development? </w:t>
      </w:r>
    </w:p>
    <w:p w14:paraId="4479E98E" w14:textId="77777777" w:rsidR="00AE57AB" w:rsidRPr="00BF281D" w:rsidRDefault="00AE57AB" w:rsidP="00AE57AB">
      <w:r w:rsidRPr="00BF281D">
        <w:t xml:space="preserve">The </w:t>
      </w:r>
      <w:r w:rsidRPr="00BF281D">
        <w:rPr>
          <w:i/>
          <w:iCs/>
        </w:rPr>
        <w:t xml:space="preserve">Petroleum and Geothermal Energy Regulations 2013 </w:t>
      </w:r>
      <w:r w:rsidRPr="00BF281D">
        <w:t>cover operational components to minimise risk and detail operational issues with drilling and wells. They contain provisions for reporting on serious incidents related to public safety or environmental damage. Fitness-for-purpose assessments are prescribed by the Regulations</w:t>
      </w:r>
      <w:r w:rsidRPr="00817682">
        <w:rPr>
          <w:vertAlign w:val="superscript"/>
        </w:rPr>
        <w:endnoteReference w:id="41"/>
      </w:r>
      <w:r w:rsidRPr="00817682">
        <w:t xml:space="preserve"> with further guidance provided in the Fitness-for-purpose assessment reporting guidelines. </w:t>
      </w:r>
    </w:p>
    <w:p w14:paraId="1401C694" w14:textId="6D749326" w:rsidR="00AE57AB" w:rsidRPr="00BF281D" w:rsidRDefault="00AE57AB" w:rsidP="00AE57AB">
      <w:r w:rsidRPr="00BF281D">
        <w:t>Under Part 12 of the PGE Act, guidelines for environmental impact classification are provided to establish the criteria for an environmental impact report.</w:t>
      </w:r>
      <w:r w:rsidRPr="00817682">
        <w:rPr>
          <w:vertAlign w:val="superscript"/>
        </w:rPr>
        <w:endnoteReference w:id="42"/>
      </w:r>
      <w:r w:rsidRPr="00817682">
        <w:t xml:space="preserve"> The p</w:t>
      </w:r>
      <w:r w:rsidRPr="00BF281D">
        <w:t xml:space="preserve">rovisions in these guidelines enable risk minimisation through the clarity of information provided to the Minister prior to approval of processes and commencement of operations. Frameworks related to well evaluation, completion and abandonment </w:t>
      </w:r>
      <w:proofErr w:type="gramStart"/>
      <w:r w:rsidRPr="00BF281D">
        <w:t>exist</w:t>
      </w:r>
      <w:proofErr w:type="gramEnd"/>
      <w:r w:rsidRPr="00BF281D">
        <w:t xml:space="preserve"> and annual reporting requirements also outline the expectations for resource companies to limit public safety risks.</w:t>
      </w:r>
      <w:r w:rsidRPr="00817682">
        <w:rPr>
          <w:vertAlign w:val="superscript"/>
        </w:rPr>
        <w:endnoteReference w:id="43"/>
      </w:r>
      <w:r w:rsidRPr="00817682">
        <w:t xml:space="preserve"> </w:t>
      </w:r>
    </w:p>
    <w:p w14:paraId="232BD503" w14:textId="77777777" w:rsidR="00AE57AB" w:rsidRPr="00BF281D" w:rsidRDefault="00AE57AB" w:rsidP="007D3541">
      <w:pPr>
        <w:pStyle w:val="Appendixhead2"/>
      </w:pPr>
      <w:r w:rsidRPr="001528D0">
        <w:rPr>
          <w:color w:val="012169" w:themeColor="accent4"/>
        </w:rPr>
        <w:t>Northern Territory</w:t>
      </w:r>
    </w:p>
    <w:p w14:paraId="6397A53C" w14:textId="77777777" w:rsidR="00AE57AB" w:rsidRPr="00BF281D" w:rsidRDefault="00AE57AB" w:rsidP="007D3541">
      <w:pPr>
        <w:pStyle w:val="Appendixhead3"/>
      </w:pPr>
      <w:r w:rsidRPr="00BF281D">
        <w:t xml:space="preserve">How does the Territory encourage onshore resource exploration and development? </w:t>
      </w:r>
    </w:p>
    <w:p w14:paraId="4BAAE422" w14:textId="77777777" w:rsidR="00AE57AB" w:rsidRPr="00BF281D" w:rsidRDefault="00AE57AB" w:rsidP="00AE57AB">
      <w:r w:rsidRPr="00BF281D">
        <w:t xml:space="preserve">The </w:t>
      </w:r>
      <w:r w:rsidRPr="00BF281D">
        <w:rPr>
          <w:i/>
        </w:rPr>
        <w:t>Northern Territory Petroleum Act 1984</w:t>
      </w:r>
      <w:r w:rsidRPr="00BF281D">
        <w:t xml:space="preserve"> details the process for the release of blocks and the application for exploration permits (Part 2, Division 2). The Minister must publish a notice about new blocks available that invites applications for the grant of an exploration permit. Applications for the block are reviewed by the Minister.</w:t>
      </w:r>
    </w:p>
    <w:p w14:paraId="75FED76C" w14:textId="5ADE52B9" w:rsidR="00AE57AB" w:rsidRPr="00817682" w:rsidRDefault="00AE57AB" w:rsidP="00AE57AB">
      <w:proofErr w:type="gramStart"/>
      <w:r w:rsidRPr="00BF281D">
        <w:lastRenderedPageBreak/>
        <w:t>In order to</w:t>
      </w:r>
      <w:proofErr w:type="gramEnd"/>
      <w:r w:rsidRPr="00BF281D">
        <w:t xml:space="preserve"> encourage resource companies to produce applications for new blocks, the Northern Territory Government developed an initiative called “Resourcing the Territory” (2018-2022).</w:t>
      </w:r>
      <w:r w:rsidRPr="00817682">
        <w:rPr>
          <w:vertAlign w:val="superscript"/>
        </w:rPr>
        <w:endnoteReference w:id="44"/>
      </w:r>
      <w:r w:rsidRPr="00817682">
        <w:t xml:space="preserve"> This initiative involves a range of pre-competitive geoscience, investment attraction and exploration stimulus programs designed to support resource</w:t>
      </w:r>
      <w:r w:rsidRPr="00BF281D">
        <w:t>s exploration. It follows the $23.8 million Creating Opportunities for Resource Exploration (CORE) initiative (2014-2018) which allocated $2 million per annum to assess the potential for shale gas in the Northern Territory.</w:t>
      </w:r>
      <w:r w:rsidRPr="00817682">
        <w:rPr>
          <w:vertAlign w:val="superscript"/>
        </w:rPr>
        <w:endnoteReference w:id="45"/>
      </w:r>
    </w:p>
    <w:p w14:paraId="4C9B39BA" w14:textId="1E186D88" w:rsidR="00AE57AB" w:rsidRPr="00BF281D" w:rsidRDefault="00AE57AB" w:rsidP="007D3541">
      <w:pPr>
        <w:pStyle w:val="Appendixhead3"/>
      </w:pPr>
      <w:r w:rsidRPr="00BF281D">
        <w:t xml:space="preserve">How is community </w:t>
      </w:r>
      <w:r w:rsidR="0054704E">
        <w:t>social license</w:t>
      </w:r>
      <w:r w:rsidRPr="00BF281D">
        <w:t xml:space="preserve"> built in the resources sector? </w:t>
      </w:r>
    </w:p>
    <w:p w14:paraId="7A027932" w14:textId="2A2ECA95" w:rsidR="00AE57AB" w:rsidRPr="00BF281D" w:rsidRDefault="00AE57AB" w:rsidP="00AE57AB">
      <w:r w:rsidRPr="00BF281D">
        <w:t>In recent decades, the demand for assurances regarding appropriate regulation ha</w:t>
      </w:r>
      <w:r w:rsidR="00F708D2">
        <w:t>s</w:t>
      </w:r>
      <w:r w:rsidRPr="00BF281D">
        <w:t xml:space="preserve"> increased in the Northern Territory. </w:t>
      </w:r>
      <w:proofErr w:type="gramStart"/>
      <w:r w:rsidRPr="00BF281D">
        <w:t>In order to</w:t>
      </w:r>
      <w:proofErr w:type="gramEnd"/>
      <w:r w:rsidRPr="00BF281D">
        <w:t xml:space="preserve"> address community concerns related to the onshore shale gas industry in the NT, at least one inquiry into the industry has been commissioned by the last three NT Governments. Submissions expressed a lack of confidence in the regulatory framework and its ability to ensure that industry development occurs in line with community expectations.</w:t>
      </w:r>
      <w:r w:rsidRPr="00817682">
        <w:rPr>
          <w:vertAlign w:val="superscript"/>
        </w:rPr>
        <w:endnoteReference w:id="46"/>
      </w:r>
      <w:r w:rsidRPr="00817682">
        <w:t xml:space="preserve"> As</w:t>
      </w:r>
      <w:r w:rsidRPr="00BF281D">
        <w:t xml:space="preserve"> a result, new regulations and frameworks have been developed in response to inquiry recommendations. </w:t>
      </w:r>
    </w:p>
    <w:p w14:paraId="4BF07131" w14:textId="601E773D" w:rsidR="00AE57AB" w:rsidRPr="00BF281D" w:rsidRDefault="00AE57AB" w:rsidP="00AE57AB">
      <w:r w:rsidRPr="00BF281D">
        <w:t xml:space="preserve">The </w:t>
      </w:r>
      <w:r w:rsidRPr="00BF281D">
        <w:rPr>
          <w:i/>
        </w:rPr>
        <w:t>Petroleum (Environmental) Regulations 2016</w:t>
      </w:r>
      <w:r w:rsidRPr="00BF281D">
        <w:t xml:space="preserve"> implemented recommendations that require stakeholder engagement in the preparation of an </w:t>
      </w:r>
      <w:r w:rsidR="004C7722">
        <w:t>EMP</w:t>
      </w:r>
      <w:r w:rsidRPr="00BF281D">
        <w:t xml:space="preserve">.  Stakeholders are persons or bodies whose rights or activities may be directly affected by the environmental impacts or risks of the regulated activity. </w:t>
      </w:r>
    </w:p>
    <w:p w14:paraId="623352B8" w14:textId="74D5BB4D" w:rsidR="00AE57AB" w:rsidRPr="00BF281D" w:rsidRDefault="00AE57AB" w:rsidP="00AE57AB">
      <w:r w:rsidRPr="00BF281D">
        <w:t xml:space="preserve">Based on recent inquiries, stakeholder engagement, </w:t>
      </w:r>
      <w:proofErr w:type="gramStart"/>
      <w:r w:rsidRPr="00BF281D">
        <w:t>in particular across</w:t>
      </w:r>
      <w:proofErr w:type="gramEnd"/>
      <w:r w:rsidRPr="00BF281D">
        <w:t xml:space="preserve"> the environmental domain, is recognised as a critical element of a successful project prior to commencement. As a result, the </w:t>
      </w:r>
      <w:r w:rsidRPr="00BF281D">
        <w:rPr>
          <w:i/>
          <w:iCs/>
        </w:rPr>
        <w:t>Petroleum Regulations 2020</w:t>
      </w:r>
      <w:r w:rsidRPr="00BF281D">
        <w:t xml:space="preserve"> require that an interest holder must not commence regulated operations except in accordance with an approved access agreement. An access agreement is not required to be entered into with a native title holder or registered native title claimant. There is a separate process in this case which is explored further in the section </w:t>
      </w:r>
      <w:r w:rsidR="0059754A" w:rsidRPr="00BF281D">
        <w:fldChar w:fldCharType="begin"/>
      </w:r>
      <w:r w:rsidR="0059754A" w:rsidRPr="00BF281D">
        <w:instrText xml:space="preserve"> REF _Ref63796205 \r \h </w:instrText>
      </w:r>
      <w:r w:rsidR="0059754A" w:rsidRPr="00BF281D">
        <w:fldChar w:fldCharType="separate"/>
      </w:r>
      <w:r w:rsidR="009B3538">
        <w:t>C.6</w:t>
      </w:r>
      <w:r w:rsidR="0059754A" w:rsidRPr="00BF281D">
        <w:fldChar w:fldCharType="end"/>
      </w:r>
      <w:r w:rsidRPr="00817682">
        <w:t xml:space="preserve">. A 2018 inquiry into fracking in the NT recommended the development of social impact management plans. </w:t>
      </w:r>
    </w:p>
    <w:p w14:paraId="65F94897" w14:textId="77777777" w:rsidR="00AE57AB" w:rsidRPr="00BF281D" w:rsidRDefault="00AE57AB" w:rsidP="00AE57AB">
      <w:r w:rsidRPr="00BF281D">
        <w:t>Other measurers undertaken by the NT Government for establishing and retaining social license are the maintenance of pastoralists rights (</w:t>
      </w:r>
      <w:r w:rsidRPr="00BF281D">
        <w:rPr>
          <w:i/>
        </w:rPr>
        <w:t>NT Pastoral Land Act 1992</w:t>
      </w:r>
      <w:r w:rsidRPr="00BF281D">
        <w:t>) and support of local industry and workforce benefits (</w:t>
      </w:r>
      <w:r w:rsidRPr="00BF281D">
        <w:rPr>
          <w:i/>
        </w:rPr>
        <w:t>Territory Benefits Policy</w:t>
      </w:r>
      <w:r w:rsidRPr="00BF281D">
        <w:t xml:space="preserve">). </w:t>
      </w:r>
    </w:p>
    <w:p w14:paraId="2762AA57" w14:textId="77777777" w:rsidR="00AE57AB" w:rsidRPr="00BF281D" w:rsidRDefault="00AE57AB" w:rsidP="00AE57AB">
      <w:r w:rsidRPr="00BF281D">
        <w:t xml:space="preserve">The NT Government’s </w:t>
      </w:r>
      <w:r w:rsidRPr="00BF281D">
        <w:rPr>
          <w:i/>
          <w:iCs/>
        </w:rPr>
        <w:t>‘Building the Northern Territory Industry Participation Policy’</w:t>
      </w:r>
      <w:r w:rsidRPr="00BF281D">
        <w:t xml:space="preserve"> (now replaced by the </w:t>
      </w:r>
      <w:r w:rsidRPr="00BF281D">
        <w:rPr>
          <w:i/>
          <w:iCs/>
        </w:rPr>
        <w:t>‘Territory Benefits Policy’)</w:t>
      </w:r>
      <w:r w:rsidRPr="00BF281D">
        <w:t xml:space="preserve"> requires the establishment of an industry participation plan. This has previously provided social and economic benefits to resource companies such as Jemena in their Northern Gas Pipeline Project.</w:t>
      </w:r>
      <w:r w:rsidRPr="00817682">
        <w:rPr>
          <w:vertAlign w:val="superscript"/>
        </w:rPr>
        <w:endnoteReference w:id="47"/>
      </w:r>
      <w:r w:rsidRPr="00817682">
        <w:t xml:space="preserve"> The policy required the establishme</w:t>
      </w:r>
      <w:r w:rsidRPr="00BF281D">
        <w:t>nt of a plan which supports local business participation in projects and an enhancement of Territory business and industry capacity. Feedback from local stakeholders suggested that Jemena’s approach to social engagement is a model for successful community outcomes. The new Territory Benefits Policy does not apply to Government procurement but does apply to private sector projects under specific conditions.</w:t>
      </w:r>
      <w:r w:rsidRPr="00817682">
        <w:rPr>
          <w:vertAlign w:val="superscript"/>
        </w:rPr>
        <w:endnoteReference w:id="48"/>
      </w:r>
      <w:r w:rsidRPr="00817682">
        <w:t xml:space="preserve">  Frameworks for social impact assessments of shale gas development in the NT have also been develope</w:t>
      </w:r>
      <w:r w:rsidRPr="00BF281D">
        <w:t>d.</w:t>
      </w:r>
      <w:r w:rsidRPr="00817682">
        <w:rPr>
          <w:vertAlign w:val="superscript"/>
        </w:rPr>
        <w:endnoteReference w:id="49"/>
      </w:r>
      <w:r w:rsidRPr="00817682">
        <w:t xml:space="preserve"> </w:t>
      </w:r>
    </w:p>
    <w:p w14:paraId="0F2D8B26" w14:textId="51AADECD" w:rsidR="00AE57AB" w:rsidRPr="00BF281D" w:rsidRDefault="00AE57AB" w:rsidP="00AE57AB">
      <w:r w:rsidRPr="00BF281D">
        <w:t>In line with the recommendations of the ‘</w:t>
      </w:r>
      <w:r w:rsidRPr="00BF281D">
        <w:rPr>
          <w:i/>
        </w:rPr>
        <w:t>Final report of the Scientific Inquiry into Hydraulic Fracturing in the Northern Territory</w:t>
      </w:r>
      <w:r w:rsidRPr="00BF281D">
        <w:t xml:space="preserve">’, the Strategic Regional Environmental and Baseline Assessment (SREBA) framework was developed. A SREBA can create greater clarity and confidence in the community through the consideration of social, </w:t>
      </w:r>
      <w:proofErr w:type="gramStart"/>
      <w:r w:rsidRPr="00BF281D">
        <w:t>cultural</w:t>
      </w:r>
      <w:proofErr w:type="gramEnd"/>
      <w:r w:rsidRPr="00BF281D">
        <w:t xml:space="preserve"> and economic domains. </w:t>
      </w:r>
    </w:p>
    <w:p w14:paraId="613FE57A" w14:textId="14DF008D" w:rsidR="00AE57AB" w:rsidRPr="00BF281D" w:rsidRDefault="00AE57AB" w:rsidP="00AE57AB">
      <w:r w:rsidRPr="00BF281D">
        <w:t xml:space="preserve">A key regulatory measure to support </w:t>
      </w:r>
      <w:r w:rsidR="0054704E">
        <w:t>social license</w:t>
      </w:r>
      <w:r w:rsidRPr="00BF281D">
        <w:t xml:space="preserve"> includes maintaining the rights of Aboriginal persons (</w:t>
      </w:r>
      <w:r w:rsidRPr="00BF281D">
        <w:rPr>
          <w:i/>
        </w:rPr>
        <w:t>Land Rights (NT) Act 1976, Native Title Act 1993, NT Aboriginal Sacred Sights Act</w:t>
      </w:r>
      <w:r w:rsidRPr="00BF281D">
        <w:t xml:space="preserve">). This measure is discussed in more detail below. </w:t>
      </w:r>
    </w:p>
    <w:p w14:paraId="6B536DC2" w14:textId="77777777" w:rsidR="00AE57AB" w:rsidRPr="00BF281D" w:rsidRDefault="00AE57AB" w:rsidP="007D3541">
      <w:pPr>
        <w:pStyle w:val="Appendixhead3"/>
        <w:numPr>
          <w:ilvl w:val="0"/>
          <w:numId w:val="0"/>
        </w:numPr>
        <w:ind w:left="794"/>
      </w:pPr>
    </w:p>
    <w:p w14:paraId="7AA68FA7" w14:textId="77777777" w:rsidR="00AE57AB" w:rsidRPr="00BF281D" w:rsidRDefault="00AE57AB" w:rsidP="007D3541">
      <w:pPr>
        <w:pStyle w:val="Appendixhead3"/>
        <w:rPr>
          <w:bCs/>
        </w:rPr>
      </w:pPr>
      <w:r w:rsidRPr="00BF281D">
        <w:rPr>
          <w:bCs/>
        </w:rPr>
        <w:t xml:space="preserve">How does the state minimise risk to improve outcomes from the environment, public </w:t>
      </w:r>
      <w:proofErr w:type="gramStart"/>
      <w:r w:rsidRPr="00BF281D">
        <w:rPr>
          <w:bCs/>
        </w:rPr>
        <w:t>safety</w:t>
      </w:r>
      <w:proofErr w:type="gramEnd"/>
      <w:r w:rsidRPr="00BF281D">
        <w:rPr>
          <w:bCs/>
        </w:rPr>
        <w:t xml:space="preserve"> and amenity as they relate to petroleum development? </w:t>
      </w:r>
    </w:p>
    <w:p w14:paraId="62E1F453" w14:textId="77777777" w:rsidR="00AE57AB" w:rsidRPr="00BF281D" w:rsidRDefault="00AE57AB" w:rsidP="00AE57AB">
      <w:r w:rsidRPr="00BF281D">
        <w:t xml:space="preserve">The </w:t>
      </w:r>
      <w:r w:rsidRPr="00BF281D">
        <w:rPr>
          <w:i/>
        </w:rPr>
        <w:t>Petroleum Environment Regulations 2016</w:t>
      </w:r>
      <w:r w:rsidRPr="00BF281D">
        <w:t xml:space="preserve"> is the main regulatory framework that prescribes the requirements for environmental risk assessment. It requires that where interested holders propose to carry out a regulated activity, the following occurs: </w:t>
      </w:r>
    </w:p>
    <w:p w14:paraId="1166FB55" w14:textId="77777777" w:rsidR="00AE57AB" w:rsidRPr="00BF281D" w:rsidRDefault="00AE57AB" w:rsidP="00AE11D2">
      <w:pPr>
        <w:numPr>
          <w:ilvl w:val="0"/>
          <w:numId w:val="32"/>
        </w:numPr>
      </w:pPr>
      <w:r w:rsidRPr="00BF281D">
        <w:t>assessment of the environmental impact</w:t>
      </w:r>
    </w:p>
    <w:p w14:paraId="36C4A3ED" w14:textId="4A24DE37" w:rsidR="00AE57AB" w:rsidRPr="00BF281D" w:rsidRDefault="00AE57AB" w:rsidP="00AE11D2">
      <w:pPr>
        <w:numPr>
          <w:ilvl w:val="0"/>
          <w:numId w:val="32"/>
        </w:numPr>
      </w:pPr>
      <w:r w:rsidRPr="00BF281D">
        <w:t xml:space="preserve">stakeholder engagement in preparation of an </w:t>
      </w:r>
      <w:r w:rsidR="004C7722">
        <w:t>EMP</w:t>
      </w:r>
      <w:r w:rsidRPr="00BF281D">
        <w:t xml:space="preserve">. </w:t>
      </w:r>
    </w:p>
    <w:p w14:paraId="30D18FD8" w14:textId="036DB847" w:rsidR="00AE57AB" w:rsidRPr="00BF281D" w:rsidRDefault="00AE57AB" w:rsidP="00AE57AB">
      <w:r w:rsidRPr="00BF281D">
        <w:lastRenderedPageBreak/>
        <w:t xml:space="preserve">The Minister must approve all activities that may have an impact on the environment. The </w:t>
      </w:r>
      <w:r w:rsidR="004C7722">
        <w:t>EMP</w:t>
      </w:r>
      <w:r w:rsidRPr="00BF281D">
        <w:t xml:space="preserve"> must demonstrate that the environmental risks and impacts of the activity will be reduced to a level that is as low as reasonably practicable and acceptable. The Minister must take into consideration any comments from interested parties within 28 days from release. </w:t>
      </w:r>
    </w:p>
    <w:p w14:paraId="728815A7" w14:textId="657604D8" w:rsidR="00AE57AB" w:rsidRPr="00BF281D" w:rsidRDefault="00AE57AB" w:rsidP="00AE57AB">
      <w:r w:rsidRPr="00BF281D">
        <w:t xml:space="preserve">The regulation prescribes the </w:t>
      </w:r>
      <w:r w:rsidRPr="00BF281D">
        <w:rPr>
          <w:i/>
        </w:rPr>
        <w:t>Code of Practice: Onshore Petroleum Activities in the NT,</w:t>
      </w:r>
      <w:r w:rsidRPr="00817682">
        <w:rPr>
          <w:i/>
          <w:vertAlign w:val="superscript"/>
        </w:rPr>
        <w:endnoteReference w:id="50"/>
      </w:r>
      <w:r w:rsidRPr="00817682">
        <w:t xml:space="preserve"> which provide minimum standards for surface activities, well operations, methane emissions and water management. In providing an </w:t>
      </w:r>
      <w:r w:rsidR="004C7722">
        <w:t>EMP</w:t>
      </w:r>
      <w:r w:rsidRPr="00817682">
        <w:t xml:space="preserve"> as requir</w:t>
      </w:r>
      <w:r w:rsidRPr="00BF281D">
        <w:t xml:space="preserve">ed by the Regulations, the resource company must demonstrate how the requirements of this code will be met. The details of </w:t>
      </w:r>
      <w:r w:rsidR="004C7722">
        <w:t>WOMP</w:t>
      </w:r>
      <w:r w:rsidRPr="00BF281D">
        <w:t>s are also set out in this code of practice.</w:t>
      </w:r>
    </w:p>
    <w:p w14:paraId="69B38CBE" w14:textId="77777777" w:rsidR="00AE57AB" w:rsidRPr="00BF281D" w:rsidRDefault="00AE57AB" w:rsidP="00AE57AB">
      <w:r w:rsidRPr="00BF281D">
        <w:t xml:space="preserve">The </w:t>
      </w:r>
      <w:r w:rsidRPr="00BF281D">
        <w:rPr>
          <w:i/>
        </w:rPr>
        <w:t>Schedule of Petroleum Onshore requirements</w:t>
      </w:r>
      <w:r w:rsidRPr="00817682">
        <w:rPr>
          <w:i/>
          <w:vertAlign w:val="superscript"/>
        </w:rPr>
        <w:endnoteReference w:id="51"/>
      </w:r>
      <w:r w:rsidRPr="00817682">
        <w:t xml:space="preserve"> also spec</w:t>
      </w:r>
      <w:r w:rsidRPr="00BF281D">
        <w:t xml:space="preserve">ifies safety requirements including Safety Management Plans, approvals of well activities, and production operations. This Schedule includes many clauses which are targeted toward minimising risk to public safety. </w:t>
      </w:r>
    </w:p>
    <w:p w14:paraId="282B5694" w14:textId="77777777" w:rsidR="00AE57AB" w:rsidRPr="00BF281D" w:rsidRDefault="00AE57AB" w:rsidP="007D3541">
      <w:pPr>
        <w:pStyle w:val="Appendixhead2"/>
      </w:pPr>
      <w:r w:rsidRPr="001528D0">
        <w:rPr>
          <w:color w:val="012169" w:themeColor="accent4"/>
        </w:rPr>
        <w:t>New South Wales</w:t>
      </w:r>
    </w:p>
    <w:p w14:paraId="21A5216B" w14:textId="77777777" w:rsidR="00AE57AB" w:rsidRPr="00BF281D" w:rsidRDefault="00AE57AB" w:rsidP="007D3541">
      <w:pPr>
        <w:pStyle w:val="Appendixhead3"/>
        <w:numPr>
          <w:ilvl w:val="0"/>
          <w:numId w:val="0"/>
        </w:numPr>
        <w:ind w:left="794"/>
      </w:pPr>
    </w:p>
    <w:p w14:paraId="56FFBB72" w14:textId="77777777" w:rsidR="00AE57AB" w:rsidRPr="00BF281D" w:rsidRDefault="00AE57AB" w:rsidP="007D3541">
      <w:pPr>
        <w:pStyle w:val="Appendixhead3"/>
        <w:rPr>
          <w:bCs/>
        </w:rPr>
      </w:pPr>
      <w:r w:rsidRPr="00BF281D">
        <w:rPr>
          <w:bCs/>
        </w:rPr>
        <w:t xml:space="preserve">How does the state encourage onshore resource exploration and development? </w:t>
      </w:r>
    </w:p>
    <w:p w14:paraId="2BC6D962" w14:textId="77777777" w:rsidR="00AE57AB" w:rsidRPr="00817682" w:rsidRDefault="00AE57AB" w:rsidP="00AE57AB">
      <w:r w:rsidRPr="00BF281D">
        <w:t xml:space="preserve">The </w:t>
      </w:r>
      <w:r w:rsidRPr="00BF281D">
        <w:rPr>
          <w:i/>
          <w:iCs/>
        </w:rPr>
        <w:t xml:space="preserve">Mining Act 1992 </w:t>
      </w:r>
      <w:r w:rsidRPr="00BF281D">
        <w:t>(NSW)</w:t>
      </w:r>
      <w:r w:rsidRPr="00BF281D">
        <w:rPr>
          <w:i/>
          <w:iCs/>
        </w:rPr>
        <w:t xml:space="preserve"> </w:t>
      </w:r>
      <w:r w:rsidRPr="00BF281D">
        <w:t xml:space="preserve">seeks to encourage discovery and ecologically sustainable development of mineral resources in NSW. The </w:t>
      </w:r>
      <w:r w:rsidRPr="00BF281D">
        <w:rPr>
          <w:i/>
          <w:iCs/>
        </w:rPr>
        <w:t>NSW Minerals Strategy</w:t>
      </w:r>
      <w:r w:rsidRPr="00BF281D">
        <w:t xml:space="preserve"> also provides a roadmap to maximise NSW resources. The NSW Government also has significant geoscience programs in place for mineral exploration. However, the 2019 Fraser Institute’s Annual Survey of Mining Companies found that NSW had the lowest investment attractiveness index score and the lowest policy perception index score of all Australia jurisdictions.</w:t>
      </w:r>
      <w:r w:rsidRPr="00817682">
        <w:rPr>
          <w:vertAlign w:val="superscript"/>
        </w:rPr>
        <w:endnoteReference w:id="52"/>
      </w:r>
    </w:p>
    <w:p w14:paraId="068E5DB2" w14:textId="4D545F64" w:rsidR="00AE57AB" w:rsidRPr="00BF281D" w:rsidRDefault="00AE57AB" w:rsidP="00AE57AB">
      <w:r w:rsidRPr="00BF281D">
        <w:t xml:space="preserve">The </w:t>
      </w:r>
      <w:r w:rsidRPr="00BF281D">
        <w:rPr>
          <w:i/>
          <w:iCs/>
        </w:rPr>
        <w:t>Petroleum (Onshore) Act 1991</w:t>
      </w:r>
      <w:r w:rsidRPr="00BF281D">
        <w:t xml:space="preserve"> contains provisions for exploration and production activity in NSW. Together with the </w:t>
      </w:r>
      <w:r w:rsidRPr="00BF281D">
        <w:rPr>
          <w:i/>
          <w:iCs/>
        </w:rPr>
        <w:t>Mining Act 1992</w:t>
      </w:r>
      <w:r w:rsidRPr="00BF281D">
        <w:t>, this legislation details the requirements for land access agreements. Unlike other states, land access agreements must be negotiated prior to any exploration activity taking place</w:t>
      </w:r>
      <w:r w:rsidR="004E2482" w:rsidRPr="00BF281D">
        <w:t xml:space="preserve">, </w:t>
      </w:r>
      <w:r w:rsidRPr="00BF281D">
        <w:t xml:space="preserve">even if the activity is unlikely to impact the land. This may assist in encouraging landholders to engage in early communication with project proponents. However, it also increases the initial costs of exploration - therefore potentially reducing </w:t>
      </w:r>
      <w:r w:rsidR="00280E1E" w:rsidRPr="00BF281D">
        <w:t xml:space="preserve">the level of </w:t>
      </w:r>
      <w:r w:rsidRPr="00BF281D">
        <w:t xml:space="preserve">investment. </w:t>
      </w:r>
    </w:p>
    <w:p w14:paraId="1EAD2805" w14:textId="2021A212" w:rsidR="00AE57AB" w:rsidRPr="00BF281D" w:rsidRDefault="00AE57AB" w:rsidP="00AE57AB">
      <w:r w:rsidRPr="00BF281D">
        <w:t>While the State does run the successful ‘New Frontiers Cooperative Drilling’ program, these grants do not apply to the petroleum sector and are predominantly for co</w:t>
      </w:r>
      <w:r w:rsidR="002B4437" w:rsidRPr="00BF281D">
        <w:t>p</w:t>
      </w:r>
      <w:r w:rsidRPr="00BF281D">
        <w:t>per and gold exploration.</w:t>
      </w:r>
      <w:r w:rsidRPr="00817682">
        <w:rPr>
          <w:vertAlign w:val="superscript"/>
        </w:rPr>
        <w:endnoteReference w:id="53"/>
      </w:r>
      <w:r w:rsidRPr="00817682">
        <w:t xml:space="preserve"> </w:t>
      </w:r>
    </w:p>
    <w:p w14:paraId="73E4FDB0" w14:textId="7BA4D1B2" w:rsidR="00AE57AB" w:rsidRPr="00BF281D" w:rsidRDefault="00AE57AB" w:rsidP="007D3541">
      <w:pPr>
        <w:pStyle w:val="Appendixhead3"/>
      </w:pPr>
      <w:r w:rsidRPr="00BF281D">
        <w:t xml:space="preserve">How is community </w:t>
      </w:r>
      <w:r w:rsidR="0054704E">
        <w:t>social license</w:t>
      </w:r>
      <w:r w:rsidRPr="00BF281D">
        <w:t xml:space="preserve"> built in the resources sector?  </w:t>
      </w:r>
    </w:p>
    <w:p w14:paraId="0FBF0AF9" w14:textId="7D0D83D6" w:rsidR="0098556C" w:rsidRDefault="00AE57AB" w:rsidP="00AE57AB">
      <w:r w:rsidRPr="00BF281D">
        <w:t xml:space="preserve">Effective community engagement is crucial to obtaining social license to operate and avoiding lengthy and costly delays in operation. Community consultation can provide resource companies with an opportunity to take community concerns into account in their operation and inform communities of project benefits. While there is incentive for resource companies to build social license, regulations and guidelines can also assist. The NSW Government has guidance on social impact assessments and how to engage with communities. </w:t>
      </w:r>
    </w:p>
    <w:p w14:paraId="4750E66F" w14:textId="006DC841" w:rsidR="0098556C" w:rsidRDefault="00C33867" w:rsidP="00AE57AB">
      <w:r>
        <w:t xml:space="preserve">In 2012, the NSW government the Strategic Regional Land Use Policy, with the purpose </w:t>
      </w:r>
      <w:r w:rsidR="00F64E7E">
        <w:t xml:space="preserve">of better managing the potential conflicts arising from the proximity of mining and coal seam gas activity to high quality agricultural land.  The adjacent initiatives include: </w:t>
      </w:r>
    </w:p>
    <w:p w14:paraId="33E87DFF" w14:textId="77777777" w:rsidR="00937611" w:rsidRDefault="00937611" w:rsidP="00B34FE1">
      <w:pPr>
        <w:pStyle w:val="ListParagraph"/>
        <w:numPr>
          <w:ilvl w:val="0"/>
          <w:numId w:val="89"/>
        </w:numPr>
      </w:pPr>
      <w:r>
        <w:t>introduction of the Gateway process which introduces an upfront, scientific assessment of State significant mining and coal seam gas proposals on the State's strategic agricultural land</w:t>
      </w:r>
    </w:p>
    <w:p w14:paraId="79367E91" w14:textId="77777777" w:rsidR="00937611" w:rsidRDefault="00937611" w:rsidP="00B34FE1">
      <w:pPr>
        <w:pStyle w:val="ListParagraph"/>
        <w:numPr>
          <w:ilvl w:val="0"/>
          <w:numId w:val="89"/>
        </w:numPr>
      </w:pPr>
      <w:r>
        <w:t>establishment of the independent Mining and Petroleum Gateway Panel, comprising experts in the fields of hydrogeology, mining and petroleum, and agricultural science, to oversee the Gateway process</w:t>
      </w:r>
    </w:p>
    <w:p w14:paraId="3AA28633" w14:textId="77777777" w:rsidR="00937611" w:rsidRDefault="00937611" w:rsidP="00B34FE1">
      <w:pPr>
        <w:pStyle w:val="ListParagraph"/>
        <w:numPr>
          <w:ilvl w:val="0"/>
          <w:numId w:val="89"/>
        </w:numPr>
      </w:pPr>
      <w:r>
        <w:t>introduction of coal seam gas exclusion zones which prohibit coal seam gas activity in and within 2 kilometres of residential areas across the State, and the North West and South West Growth Centres of Sydney</w:t>
      </w:r>
    </w:p>
    <w:p w14:paraId="0EA80F47" w14:textId="726D828F" w:rsidR="00F64E7E" w:rsidRDefault="00937611" w:rsidP="00B34FE1">
      <w:pPr>
        <w:pStyle w:val="ListParagraph"/>
        <w:numPr>
          <w:ilvl w:val="0"/>
          <w:numId w:val="89"/>
        </w:numPr>
      </w:pPr>
      <w:r>
        <w:t>Strategic Regional Land Use Plans for the Upper Hunter and New England North West regions of the State have been released.</w:t>
      </w:r>
      <w:r>
        <w:rPr>
          <w:rStyle w:val="EndnoteReference"/>
        </w:rPr>
        <w:endnoteReference w:id="54"/>
      </w:r>
    </w:p>
    <w:p w14:paraId="32E539C8" w14:textId="2DE3BBD6" w:rsidR="00AE57AB" w:rsidRPr="00BF281D" w:rsidRDefault="0098556C" w:rsidP="00AE57AB">
      <w:r>
        <w:t>In addition, a</w:t>
      </w:r>
      <w:r w:rsidR="00AE57AB" w:rsidRPr="00BF281D">
        <w:t xml:space="preserve"> code of practice</w:t>
      </w:r>
      <w:r w:rsidR="00AE57AB" w:rsidRPr="00817682">
        <w:rPr>
          <w:vertAlign w:val="superscript"/>
        </w:rPr>
        <w:endnoteReference w:id="55"/>
      </w:r>
      <w:r w:rsidR="00AE57AB" w:rsidRPr="00817682">
        <w:t xml:space="preserve"> regarding community consultation was published in 2016 that set</w:t>
      </w:r>
      <w:r w:rsidR="00AE57AB" w:rsidRPr="00BF281D">
        <w:t xml:space="preserve">s out mandatory community engagement requirements for exploration activities. Any prospective tenements </w:t>
      </w:r>
      <w:r w:rsidR="00AE57AB" w:rsidRPr="00BF281D">
        <w:lastRenderedPageBreak/>
        <w:t xml:space="preserve">after the publication must meet the conditions of this Code of Practice. For applications prior to publication, requirements may exist through Landholder and Community Liaison Program requirements. Before commencing activity, authority holders must conduct a risk assessment which considers any threats and opportunities for community engagement. </w:t>
      </w:r>
    </w:p>
    <w:p w14:paraId="1EE6766A" w14:textId="77777777" w:rsidR="00AE57AB" w:rsidRPr="00BF281D" w:rsidRDefault="00AE57AB" w:rsidP="00AE57AB">
      <w:r w:rsidRPr="00BF281D">
        <w:t>There is requirement for a community consultation strategy that includes several factors, notably a description of the expected mechanism of engagement and mechanisms for review of the strategy. The title holder is required to report annually on the community consultation strategy and this report must include details of community feedback and how feedback raised has been responded to. Community consultative groups consisting of community members, project members and the local government can also be required for major projects.</w:t>
      </w:r>
    </w:p>
    <w:p w14:paraId="0A59824C" w14:textId="77777777" w:rsidR="00AE57AB" w:rsidRPr="00BF281D" w:rsidRDefault="00AE57AB" w:rsidP="00AE57AB">
      <w:r w:rsidRPr="00BF281D">
        <w:t xml:space="preserve">The NSW Resources Regulator also publishes updates on rehabilitation progress, enforceable </w:t>
      </w:r>
      <w:proofErr w:type="gramStart"/>
      <w:r w:rsidRPr="00BF281D">
        <w:t>undertakings</w:t>
      </w:r>
      <w:proofErr w:type="gramEnd"/>
      <w:r w:rsidRPr="00BF281D">
        <w:t xml:space="preserve"> and outcomes of compliance priority programs. This has helped improve community confidence in the regulation of the sector.</w:t>
      </w:r>
      <w:r w:rsidRPr="00817682">
        <w:rPr>
          <w:vertAlign w:val="superscript"/>
        </w:rPr>
        <w:endnoteReference w:id="56"/>
      </w:r>
      <w:r w:rsidRPr="00817682">
        <w:t xml:space="preserve"> </w:t>
      </w:r>
    </w:p>
    <w:p w14:paraId="26E86385" w14:textId="77777777" w:rsidR="00AE57AB" w:rsidRPr="00BF281D" w:rsidRDefault="00AE57AB" w:rsidP="007D3541">
      <w:pPr>
        <w:pStyle w:val="Appendixhead3"/>
      </w:pPr>
      <w:r w:rsidRPr="00BF281D">
        <w:t xml:space="preserve">How does the state minimise risk to improve outcomes from the environment, public </w:t>
      </w:r>
      <w:proofErr w:type="gramStart"/>
      <w:r w:rsidRPr="00BF281D">
        <w:t>safety</w:t>
      </w:r>
      <w:proofErr w:type="gramEnd"/>
      <w:r w:rsidRPr="00BF281D">
        <w:t xml:space="preserve"> and amenity as they relate to petroleum development? </w:t>
      </w:r>
    </w:p>
    <w:p w14:paraId="3C3EAADA" w14:textId="77777777" w:rsidR="00AE57AB" w:rsidRPr="00BF281D" w:rsidRDefault="00AE57AB" w:rsidP="00AE57AB">
      <w:r w:rsidRPr="00BF281D">
        <w:t xml:space="preserve">The NSW Government takes a risk-based approach to environmental impact assessments to align the focus and effort of investigations with the associated risk level. Guidelines indicate that matters will be categorised as a ‘key issue’ (where detailed assessment will be required) or ‘other issue’ (where previous study has occurred, or limited assessment is expected). The outcome-based conditions outline criteria that must be complied with to achieve an appropriate environmental outcome, but do not dictate how a company should achieve these outcomes. This is </w:t>
      </w:r>
      <w:proofErr w:type="gramStart"/>
      <w:r w:rsidRPr="00BF281D">
        <w:t>in order to</w:t>
      </w:r>
      <w:proofErr w:type="gramEnd"/>
      <w:r w:rsidRPr="00BF281D">
        <w:t xml:space="preserve"> reduce the potential for constrained innovation in the resource sector. This approach </w:t>
      </w:r>
      <w:proofErr w:type="gramStart"/>
      <w:r w:rsidRPr="00BF281D">
        <w:t>is considered to be</w:t>
      </w:r>
      <w:proofErr w:type="gramEnd"/>
      <w:r w:rsidRPr="00BF281D">
        <w:t xml:space="preserve"> leading practice in reducing costs to industry and government, while also developing better environmental outcomes. </w:t>
      </w:r>
    </w:p>
    <w:p w14:paraId="4B2D3640" w14:textId="77777777" w:rsidR="00AE57AB" w:rsidRPr="00BF281D" w:rsidRDefault="00AE57AB" w:rsidP="00AE57AB">
      <w:r w:rsidRPr="00BF281D">
        <w:t xml:space="preserve">Any petroleum production is seen as a ‘State significant development’ and as such, development consent must occur under the </w:t>
      </w:r>
      <w:r w:rsidRPr="00BF281D">
        <w:rPr>
          <w:i/>
          <w:iCs/>
        </w:rPr>
        <w:t>Environmental Planning and Assessment Act 1979</w:t>
      </w:r>
      <w:r w:rsidRPr="00BF281D">
        <w:t xml:space="preserve"> before producers are granted a petroleum production lease. As well as the environmental impact assessment, high intensity activities are subject to a Review of Environmental Factors. This review addresses all possible impacts of the project – including the environment and community. </w:t>
      </w:r>
    </w:p>
    <w:p w14:paraId="208712EA" w14:textId="77777777" w:rsidR="00AE57AB" w:rsidRPr="00BF281D" w:rsidRDefault="00AE57AB" w:rsidP="00AE57AB">
      <w:r w:rsidRPr="00BF281D">
        <w:t xml:space="preserve">Risk to public safety is minimised through requirements under the </w:t>
      </w:r>
      <w:r w:rsidRPr="00BF281D">
        <w:rPr>
          <w:i/>
          <w:iCs/>
        </w:rPr>
        <w:t>Work Health and Safety (Mines and Petroleum Sites Act 2013)</w:t>
      </w:r>
      <w:r w:rsidRPr="00BF281D">
        <w:t xml:space="preserve">. This Act specifies that all persons conducting a business or undertaking have a primary duty to ensure the health and safety </w:t>
      </w:r>
      <w:proofErr w:type="gramStart"/>
      <w:r w:rsidRPr="00BF281D">
        <w:t>of,</w:t>
      </w:r>
      <w:proofErr w:type="gramEnd"/>
      <w:r w:rsidRPr="00BF281D">
        <w:t xml:space="preserve"> workers they engage or activities they direct. </w:t>
      </w:r>
    </w:p>
    <w:p w14:paraId="78ED506E" w14:textId="77777777" w:rsidR="00AE57AB" w:rsidRPr="00817682" w:rsidRDefault="00AE57AB" w:rsidP="00AE57AB">
      <w:r w:rsidRPr="00BF281D">
        <w:t xml:space="preserve">As a result of the 2014 </w:t>
      </w:r>
      <w:r w:rsidRPr="00BF281D">
        <w:rPr>
          <w:i/>
          <w:iCs/>
        </w:rPr>
        <w:t>Independent Review of Goal Seam Gas Activities in NSW</w:t>
      </w:r>
      <w:r w:rsidRPr="00BF281D">
        <w:t xml:space="preserve">, rehabilitation standards were introduced for exploration. Under the </w:t>
      </w:r>
      <w:r w:rsidRPr="00BF281D">
        <w:rPr>
          <w:i/>
          <w:iCs/>
        </w:rPr>
        <w:t>Mining Act 1992</w:t>
      </w:r>
      <w:r w:rsidRPr="00BF281D">
        <w:t xml:space="preserve">, the Regulator ensures that the title and associated rehabilitation security deposit are held until rehabilitation obligations are met.  The NSW Regulator has a range of compliance and enforcement powers to ensure these requirements are upheld. </w:t>
      </w:r>
      <w:r w:rsidRPr="00817682">
        <w:rPr>
          <w:vertAlign w:val="superscript"/>
        </w:rPr>
        <w:endnoteReference w:id="57"/>
      </w:r>
    </w:p>
    <w:p w14:paraId="4333795B" w14:textId="77777777" w:rsidR="00AE57AB" w:rsidRPr="00BF281D" w:rsidRDefault="00AE57AB" w:rsidP="007D3541">
      <w:pPr>
        <w:pStyle w:val="Appendixhead2"/>
      </w:pPr>
      <w:bookmarkStart w:id="182" w:name="_Ref63796205"/>
      <w:r w:rsidRPr="00693CCA">
        <w:rPr>
          <w:color w:val="012169" w:themeColor="accent4"/>
        </w:rPr>
        <w:t>Native title holders</w:t>
      </w:r>
      <w:bookmarkEnd w:id="182"/>
      <w:r w:rsidRPr="00693CCA">
        <w:rPr>
          <w:color w:val="012169" w:themeColor="accent4"/>
        </w:rPr>
        <w:br/>
      </w:r>
    </w:p>
    <w:p w14:paraId="28C37964" w14:textId="4E580D09" w:rsidR="00AE57AB" w:rsidRPr="00BF281D" w:rsidRDefault="00AE57AB" w:rsidP="00AE57AB">
      <w:pPr>
        <w:rPr>
          <w:bCs/>
        </w:rPr>
      </w:pPr>
      <w:r w:rsidRPr="00BF281D">
        <w:rPr>
          <w:bCs/>
        </w:rPr>
        <w:t xml:space="preserve">One of the objectives of the Commonwealth </w:t>
      </w:r>
      <w:r w:rsidRPr="00BF281D">
        <w:rPr>
          <w:bCs/>
          <w:i/>
          <w:iCs/>
        </w:rPr>
        <w:t xml:space="preserve">Native Title Act 1993 </w:t>
      </w:r>
      <w:r w:rsidRPr="00BF281D">
        <w:t>(</w:t>
      </w:r>
      <w:r w:rsidR="00433A76" w:rsidRPr="00BF281D">
        <w:rPr>
          <w:bCs/>
        </w:rPr>
        <w:t>Cth)</w:t>
      </w:r>
      <w:r w:rsidRPr="00BF281D">
        <w:rPr>
          <w:bCs/>
          <w:i/>
          <w:iCs/>
        </w:rPr>
        <w:t xml:space="preserve"> </w:t>
      </w:r>
      <w:r w:rsidRPr="00BF281D">
        <w:rPr>
          <w:bCs/>
        </w:rPr>
        <w:t>(</w:t>
      </w:r>
      <w:r w:rsidRPr="00BF281D">
        <w:t>NTA)</w:t>
      </w:r>
      <w:r w:rsidRPr="00BF281D">
        <w:rPr>
          <w:bCs/>
          <w:i/>
          <w:iCs/>
        </w:rPr>
        <w:t xml:space="preserve"> </w:t>
      </w:r>
      <w:r w:rsidRPr="00BF281D">
        <w:rPr>
          <w:bCs/>
        </w:rPr>
        <w:t xml:space="preserve">is to establish ways in which future dealings </w:t>
      </w:r>
      <w:r w:rsidR="001D31B1">
        <w:rPr>
          <w:bCs/>
        </w:rPr>
        <w:t xml:space="preserve">in land </w:t>
      </w:r>
      <w:r w:rsidRPr="00BF281D">
        <w:rPr>
          <w:bCs/>
        </w:rPr>
        <w:t xml:space="preserve">affecting native title </w:t>
      </w:r>
      <w:r w:rsidR="00570849">
        <w:rPr>
          <w:bCs/>
        </w:rPr>
        <w:t xml:space="preserve">(‘future acts’) </w:t>
      </w:r>
      <w:r w:rsidRPr="00BF281D">
        <w:rPr>
          <w:bCs/>
        </w:rPr>
        <w:t>may proceed and to set standards for those dealings. This includes a special right to negotiate (RTN) for holders and registered claimants of native title in relation to the grant of exploration leases. Some states including WA, NT and SA have also implemented alternative regimes to those prescribed by this Act.</w:t>
      </w:r>
    </w:p>
    <w:p w14:paraId="6E14C94B" w14:textId="0DE28646" w:rsidR="00AE57AB" w:rsidRPr="00BF281D" w:rsidRDefault="003F5560" w:rsidP="00AE57AB">
      <w:pPr>
        <w:rPr>
          <w:bCs/>
        </w:rPr>
      </w:pPr>
      <w:r>
        <w:rPr>
          <w:bCs/>
        </w:rPr>
        <w:t>Under the NTA</w:t>
      </w:r>
      <w:r w:rsidR="00AE57AB" w:rsidRPr="00BF281D">
        <w:rPr>
          <w:bCs/>
        </w:rPr>
        <w:t xml:space="preserve">, voluntary Indigenous Land Use Agreements (ILUAs) </w:t>
      </w:r>
      <w:r w:rsidR="00251EDF">
        <w:rPr>
          <w:bCs/>
        </w:rPr>
        <w:t>may be</w:t>
      </w:r>
      <w:r w:rsidR="00251EDF" w:rsidRPr="00BF281D">
        <w:rPr>
          <w:bCs/>
        </w:rPr>
        <w:t xml:space="preserve"> </w:t>
      </w:r>
      <w:r w:rsidR="00AE57AB" w:rsidRPr="00BF281D">
        <w:rPr>
          <w:bCs/>
        </w:rPr>
        <w:t xml:space="preserve">made between a native title group and others about the use of land and waters. In 2007, South Australia achieved the first conjunctive petroleum ILUA. </w:t>
      </w:r>
    </w:p>
    <w:p w14:paraId="2E7B2587" w14:textId="77777777" w:rsidR="00AE57AB" w:rsidRPr="00BF281D" w:rsidRDefault="00AE57AB" w:rsidP="00AE57AB">
      <w:pPr>
        <w:rPr>
          <w:bCs/>
        </w:rPr>
      </w:pPr>
      <w:r w:rsidRPr="00BF281D">
        <w:rPr>
          <w:bCs/>
        </w:rPr>
        <w:t xml:space="preserve">South Australia has specific land access agreements with native title holders and is considered to have a leading practice approach. The SA scheme differs from the </w:t>
      </w:r>
      <w:r w:rsidRPr="00BF281D">
        <w:rPr>
          <w:bCs/>
          <w:i/>
          <w:iCs/>
        </w:rPr>
        <w:t>NTA</w:t>
      </w:r>
      <w:r w:rsidRPr="00BF281D">
        <w:rPr>
          <w:bCs/>
        </w:rPr>
        <w:t xml:space="preserve"> as low-impact exploration activity can be carried out as soon as notification occurs with no objection period. Where activity is expected to affect the rights and interests of native title groups, the project proponent, rather than the State, may initiate the negotiation. These reforms were pursued to provide more flexibility in the framework and encourage </w:t>
      </w:r>
      <w:r w:rsidRPr="00BF281D">
        <w:rPr>
          <w:bCs/>
        </w:rPr>
        <w:lastRenderedPageBreak/>
        <w:t xml:space="preserve">exploration investment. This occurs under Part 9B of the </w:t>
      </w:r>
      <w:r w:rsidRPr="00BF281D">
        <w:rPr>
          <w:bCs/>
          <w:i/>
          <w:iCs/>
        </w:rPr>
        <w:t xml:space="preserve">Mining Act 1971 </w:t>
      </w:r>
      <w:r w:rsidRPr="00BF281D">
        <w:rPr>
          <w:bCs/>
        </w:rPr>
        <w:t>(SA)</w:t>
      </w:r>
      <w:r w:rsidRPr="00BF281D">
        <w:rPr>
          <w:bCs/>
          <w:i/>
          <w:iCs/>
        </w:rPr>
        <w:t>.</w:t>
      </w:r>
      <w:r w:rsidRPr="00BF281D">
        <w:rPr>
          <w:bCs/>
        </w:rPr>
        <w:t xml:space="preserve"> Notices and land access agreement requirements are also specified in the </w:t>
      </w:r>
      <w:r w:rsidRPr="00BF281D">
        <w:rPr>
          <w:bCs/>
          <w:i/>
          <w:iCs/>
        </w:rPr>
        <w:t>Native Title (South Australia) Act 1994</w:t>
      </w:r>
      <w:r w:rsidRPr="00BF281D">
        <w:rPr>
          <w:bCs/>
        </w:rPr>
        <w:t xml:space="preserve">. </w:t>
      </w:r>
    </w:p>
    <w:p w14:paraId="455B7972" w14:textId="38DC6502" w:rsidR="00AE57AB" w:rsidRPr="00BF281D" w:rsidRDefault="00AE57AB" w:rsidP="00AE57AB">
      <w:r w:rsidRPr="00BF281D">
        <w:rPr>
          <w:bCs/>
        </w:rPr>
        <w:t xml:space="preserve">When agreements cannot be reached in SA, the Environment and Resources and Development Court is able to resolve this rather than the </w:t>
      </w:r>
      <w:r w:rsidRPr="00BF281D">
        <w:t xml:space="preserve">National Native Title Tribunal (NNTT). Through this, the SA Government’s intention is to reduce negotiation time compared to other States and Territories. </w:t>
      </w:r>
    </w:p>
    <w:p w14:paraId="614ED63D" w14:textId="77777777" w:rsidR="00AE57AB" w:rsidRPr="00BF281D" w:rsidRDefault="00AE57AB" w:rsidP="00AE57AB">
      <w:pPr>
        <w:rPr>
          <w:bCs/>
        </w:rPr>
      </w:pPr>
      <w:r w:rsidRPr="00BF281D">
        <w:t xml:space="preserve">However, the framework also involves self-assessment by resource companies. This carries significant risks and has the potential to hinder good relationships with stakeholders. </w:t>
      </w:r>
    </w:p>
    <w:p w14:paraId="287DDB79" w14:textId="77777777" w:rsidR="00AE57AB" w:rsidRPr="00BF281D" w:rsidRDefault="00AE57AB" w:rsidP="00AE57AB">
      <w:r w:rsidRPr="00BF281D">
        <w:rPr>
          <w:bCs/>
        </w:rPr>
        <w:t xml:space="preserve">In the Northern Territory, the </w:t>
      </w:r>
      <w:r w:rsidRPr="00BF281D">
        <w:rPr>
          <w:i/>
          <w:iCs/>
        </w:rPr>
        <w:t>Petroleum Act 1984</w:t>
      </w:r>
      <w:r w:rsidRPr="00BF281D">
        <w:t xml:space="preserve"> contains provisions for considering native title interests. These interests include way of life, culture and traditions of Aboriginal landowners and traditional custodians. The </w:t>
      </w:r>
      <w:r w:rsidRPr="00BF281D">
        <w:rPr>
          <w:i/>
          <w:iCs/>
        </w:rPr>
        <w:t xml:space="preserve">Aboriginal Land Rights (Northern Territory) Act </w:t>
      </w:r>
      <w:r w:rsidRPr="00BF281D">
        <w:t xml:space="preserve">1976 gives traditional owners the right to prohibit exploration on their land. As a result, the cost of negotiating agreements can be significant which may present a barrier to resource development. In 2018, </w:t>
      </w:r>
      <w:r w:rsidRPr="00BF281D">
        <w:rPr>
          <w:bCs/>
        </w:rPr>
        <w:t xml:space="preserve">the NT Fracking Inquiry </w:t>
      </w:r>
      <w:r w:rsidRPr="00BF281D">
        <w:t xml:space="preserve">highlighted that Aboriginal people from communities almost universally expressed concern about the development of any onshore shale gas industry on their land. Damage to sacred sites or disruption to traditional practices may lead to feelings of disempowerment and loss of control – both which could have lasting impacts on future generations. As a result, native title holders are a significant stakeholder for consultation. </w:t>
      </w:r>
    </w:p>
    <w:p w14:paraId="7F59675A" w14:textId="77777777" w:rsidR="00AE57AB" w:rsidRPr="00BF281D" w:rsidRDefault="00AE57AB" w:rsidP="00AE57AB">
      <w:r w:rsidRPr="00BF281D">
        <w:t>The NTA</w:t>
      </w:r>
      <w:r w:rsidRPr="00BF281D">
        <w:rPr>
          <w:i/>
          <w:iCs/>
        </w:rPr>
        <w:t xml:space="preserve"> </w:t>
      </w:r>
      <w:r w:rsidRPr="00BF281D">
        <w:t xml:space="preserve">has three main processes for grants of tenement: expedited procedure, future act agreements and ILUAs. The expedited procedures enable low-impact activities that are unlikely to impact native title groups’ activities to take place without negotiation. In WA, all exploration and prospecting licences in the State are covered by the expedited procedures in the Act even though some license applications will necessarily involve impacts to native title groups’ activities or risk damage to native title land. This stance occurs as impact of activity on native title land is believed to be covered under WA’s heritage laws. Despite the decrease in delays, the tendency in WA towards the expedited process for all exploration licenses can result in delays as objections from native title holders or claimants may go directly to the National Native Title Tribunal without the ordinary period of negotiation present under the Future act agreement process. A determination in the NNTT can potentially involve a significant delay before the hearing. However, as the expedited procedure can be the quickest option for resource companies, it may encourage petroleum development and investment in the State. </w:t>
      </w:r>
    </w:p>
    <w:p w14:paraId="23DEE2F4" w14:textId="77777777" w:rsidR="00AE57AB" w:rsidRPr="00BF281D" w:rsidRDefault="00AE57AB" w:rsidP="00AE57AB">
      <w:r w:rsidRPr="00BF281D">
        <w:t xml:space="preserve">Due to variance in contexts and experiences between the States and Territories, there is no single common or clearly leading practice for approaches to native title. </w:t>
      </w:r>
    </w:p>
    <w:p w14:paraId="38B57CD6" w14:textId="77777777" w:rsidR="00AE57AB" w:rsidRPr="00BF281D" w:rsidRDefault="00AE57AB" w:rsidP="007D3541">
      <w:pPr>
        <w:pStyle w:val="Appendixhead2"/>
      </w:pPr>
      <w:r w:rsidRPr="00693CCA">
        <w:rPr>
          <w:color w:val="012169" w:themeColor="accent4"/>
        </w:rPr>
        <w:t>Commonwealth</w:t>
      </w:r>
    </w:p>
    <w:p w14:paraId="2583018C" w14:textId="0F918498" w:rsidR="00AE57AB" w:rsidRPr="00BF281D" w:rsidRDefault="00AE57AB" w:rsidP="00AE57AB">
      <w:r w:rsidRPr="00BF281D">
        <w:t xml:space="preserve">Part 6.9 of the </w:t>
      </w:r>
      <w:r w:rsidRPr="00BF281D">
        <w:rPr>
          <w:i/>
          <w:iCs/>
        </w:rPr>
        <w:t xml:space="preserve">Offshore Petroleum and Greenhouse Gas </w:t>
      </w:r>
      <w:r w:rsidR="0037558D">
        <w:rPr>
          <w:i/>
          <w:iCs/>
        </w:rPr>
        <w:t xml:space="preserve">Storage </w:t>
      </w:r>
      <w:r w:rsidRPr="00BF281D">
        <w:rPr>
          <w:i/>
          <w:iCs/>
        </w:rPr>
        <w:t>Act 2006</w:t>
      </w:r>
      <w:r w:rsidRPr="00BF281D">
        <w:rPr>
          <w:b/>
          <w:bCs/>
        </w:rPr>
        <w:t xml:space="preserve"> </w:t>
      </w:r>
      <w:r w:rsidRPr="00BF281D">
        <w:t xml:space="preserve">establishes the National Offshore Petroleum Safety and Environmental Management Authority (NOPSEMA). NOPSEMA has functions in relation to the occupational health and safety of persons engaged in offshore petroleum operations, offshore GHG storage operations, the structural integrity of facilities, wells, and well-related equipment, and environmental management. Importantly, NOPSEMA as the offshore legislative framework’s sole regulator is independent of the administrative, policy, and decision-making arms of the framework. </w:t>
      </w:r>
    </w:p>
    <w:p w14:paraId="2DDF2F9A" w14:textId="77777777" w:rsidR="00AE57AB" w:rsidRPr="00BF281D" w:rsidRDefault="00AE57AB" w:rsidP="00AE57AB">
      <w:r w:rsidRPr="00BF281D">
        <w:t xml:space="preserve">NOPSEMA regulates all offshore areas in Commonwealth waters, which comprise those areas beyond the first three nautical miles of the territorial sea. This includes the Ashmore and Cartier offshore territories and offshore areas adjacent to all states and the Northern Territory. </w:t>
      </w:r>
    </w:p>
    <w:p w14:paraId="6631F551" w14:textId="77777777" w:rsidR="00AE57AB" w:rsidRPr="00BF281D" w:rsidRDefault="00AE57AB" w:rsidP="00AE57AB">
      <w:r w:rsidRPr="00BF281D">
        <w:t>NOPSEMA also regulates all offshore areas in coastal waters where a state or territory has conferred regulatory powers and functions. In 2013, Victoria conferred its functions for the regulation of health and safety and structural integrity on NOPSEMA. In jurisdictions where powers to regulate are not conferred, regulatory responsibilities remain with the relevant state or territory.</w:t>
      </w:r>
    </w:p>
    <w:p w14:paraId="259D247B" w14:textId="77777777" w:rsidR="00AE57AB" w:rsidRPr="00BF281D" w:rsidRDefault="00AE57AB" w:rsidP="007D3541">
      <w:pPr>
        <w:pStyle w:val="Appendixhead3"/>
      </w:pPr>
      <w:r w:rsidRPr="00BF281D">
        <w:t xml:space="preserve">How does the Commonwealth encourage onshore resource exploration and development? </w:t>
      </w:r>
    </w:p>
    <w:p w14:paraId="188D466C" w14:textId="1171D4E9" w:rsidR="00AE57AB" w:rsidRPr="00BF281D" w:rsidRDefault="00AE57AB" w:rsidP="00AE57AB">
      <w:r w:rsidRPr="00BF281D">
        <w:t xml:space="preserve">Each year, the Australian </w:t>
      </w:r>
      <w:r w:rsidR="00E41C14" w:rsidRPr="00BF281D">
        <w:t>G</w:t>
      </w:r>
      <w:r w:rsidRPr="00BF281D">
        <w:t xml:space="preserve">overnment releases areas in Australian waters for oil and gas exploration and invites companies to bid for the opportunity to invest in oil and gas exploration. The annual offshore </w:t>
      </w:r>
      <w:r w:rsidRPr="00BF281D">
        <w:lastRenderedPageBreak/>
        <w:t xml:space="preserve">petroleum exploration acreage release is part of the government’s strategy to promote offshore oil and gas exploration. Oil and gas companies can participate in the acreage release process through either bidding or suggesting areas for future exploration in the nomination process, with nomination generally indicating a strong interest in exploring the area.  </w:t>
      </w:r>
    </w:p>
    <w:p w14:paraId="7ED35880" w14:textId="77777777" w:rsidR="00AE57AB" w:rsidRPr="00BF281D" w:rsidRDefault="00AE57AB" w:rsidP="00AE57AB">
      <w:r w:rsidRPr="00BF281D">
        <w:t>The government then undertakes a consultation process which involves seeking feedback from anyone who has an interest in the area or that can provide specific information relevant to exploration in that area. This consultation informs the Joint Authorities –consisting of the responsible Federal Minister and the relevant state or Northern Territory Minister – who will consider and endorse release areas.</w:t>
      </w:r>
    </w:p>
    <w:p w14:paraId="0CF71A58" w14:textId="77777777" w:rsidR="00AE57AB" w:rsidRPr="00BF281D" w:rsidRDefault="00AE57AB" w:rsidP="00AE57AB">
      <w:r w:rsidRPr="00BF281D">
        <w:t>Once an area is released, the Joint Authorities invite companies to bid on the release areas. National Offshore Petroleum Titles Administrator (NOPTA) then assesses the bids against:</w:t>
      </w:r>
    </w:p>
    <w:p w14:paraId="7EBA4E8C" w14:textId="5D2E9686" w:rsidR="00AE57AB" w:rsidRPr="00BF281D" w:rsidRDefault="00AE57AB" w:rsidP="00AE11D2">
      <w:pPr>
        <w:numPr>
          <w:ilvl w:val="0"/>
          <w:numId w:val="34"/>
        </w:numPr>
      </w:pPr>
      <w:r w:rsidRPr="00BF281D">
        <w:t xml:space="preserve">application criteria in the </w:t>
      </w:r>
      <w:r w:rsidRPr="00BF281D">
        <w:rPr>
          <w:i/>
          <w:iCs/>
        </w:rPr>
        <w:t>Offshore Petroleum and Greenhouse Gas Storage Act 2006</w:t>
      </w:r>
      <w:r w:rsidR="00433A76" w:rsidRPr="00BF281D">
        <w:rPr>
          <w:i/>
          <w:iCs/>
        </w:rPr>
        <w:t xml:space="preserve"> </w:t>
      </w:r>
      <w:r w:rsidR="00433A76" w:rsidRPr="00BF281D">
        <w:t>(Cth)</w:t>
      </w:r>
    </w:p>
    <w:p w14:paraId="4C6453FC" w14:textId="77777777" w:rsidR="00AE57AB" w:rsidRPr="00BF281D" w:rsidRDefault="00AE57AB" w:rsidP="00AE11D2">
      <w:pPr>
        <w:numPr>
          <w:ilvl w:val="0"/>
          <w:numId w:val="34"/>
        </w:numPr>
      </w:pPr>
      <w:r w:rsidRPr="00BF281D">
        <w:t>requirements of the Australian Government Gazette Notice invitations to bid</w:t>
      </w:r>
    </w:p>
    <w:p w14:paraId="3FF6BF97" w14:textId="46AB09BE" w:rsidR="00AE57AB" w:rsidRPr="00BF281D" w:rsidRDefault="00433A76" w:rsidP="00AE11D2">
      <w:pPr>
        <w:numPr>
          <w:ilvl w:val="0"/>
          <w:numId w:val="34"/>
        </w:numPr>
      </w:pPr>
      <w:r w:rsidRPr="00BF281D">
        <w:t xml:space="preserve">the </w:t>
      </w:r>
      <w:r w:rsidR="00AE57AB" w:rsidRPr="00BF281D">
        <w:t xml:space="preserve">expectations </w:t>
      </w:r>
      <w:r w:rsidRPr="00BF281D">
        <w:t xml:space="preserve">set out </w:t>
      </w:r>
      <w:r w:rsidR="00AE57AB" w:rsidRPr="00BF281D">
        <w:t>in NOPTA’s offshore petroleum and greenhouse gas storage guidelines.</w:t>
      </w:r>
      <w:r w:rsidR="00AE57AB" w:rsidRPr="00817682">
        <w:rPr>
          <w:vertAlign w:val="superscript"/>
        </w:rPr>
        <w:endnoteReference w:id="58"/>
      </w:r>
      <w:r w:rsidR="00AE57AB" w:rsidRPr="00817682">
        <w:t xml:space="preserve"> </w:t>
      </w:r>
    </w:p>
    <w:p w14:paraId="7820E3E9" w14:textId="77777777" w:rsidR="00AE57AB" w:rsidRPr="00BF281D" w:rsidRDefault="00AE57AB" w:rsidP="00AE57AB">
      <w:r w:rsidRPr="00BF281D">
        <w:t xml:space="preserve">NOPTA provides advice to the Joint Authorities who then decide which bids are successful. Successful bidders are offered an offshore petroleum exploration permit. NOPTA grants these permits on behalf of the relevant Joint Authority for a period of 6-years. During this time, primary and secondary work </w:t>
      </w:r>
      <w:proofErr w:type="gramStart"/>
      <w:r w:rsidRPr="00BF281D">
        <w:t>programs</w:t>
      </w:r>
      <w:proofErr w:type="gramEnd"/>
      <w:r w:rsidRPr="00BF281D">
        <w:t xml:space="preserve"> and a condition of the title, require the titleholder to commence and complete key activities agreed.</w:t>
      </w:r>
    </w:p>
    <w:p w14:paraId="20D45C9B" w14:textId="77777777" w:rsidR="00AE57AB" w:rsidRPr="00BF281D" w:rsidRDefault="00AE57AB" w:rsidP="00AE57AB">
      <w:proofErr w:type="gramStart"/>
      <w:r w:rsidRPr="00BF281D">
        <w:t>Following the granting of the exploration permit, there</w:t>
      </w:r>
      <w:proofErr w:type="gramEnd"/>
      <w:r w:rsidRPr="00BF281D">
        <w:t xml:space="preserve"> are three potential pathways for the titleholder. The titleholder can apply to renew their exploration permit for up to 50% of the initial title area. The remaining 50% of the permit area is relinquished and the renewal of the permit is for five years with a maximum of two renewals. Alternatively, the permit may be discontinued due to surrender, cancellation, or expiry.</w:t>
      </w:r>
    </w:p>
    <w:p w14:paraId="0DF15CA3" w14:textId="77777777" w:rsidR="00AE57AB" w:rsidRPr="00BF281D" w:rsidRDefault="00AE57AB" w:rsidP="00AE57AB">
      <w:r w:rsidRPr="00BF281D">
        <w:t xml:space="preserve">In addition to offering oil and gas explorers an annual release of petroleum acreage for bidding, the Commonwealth offers oil and gas explorers open access to the Petroleum Data Repository. This is precompetitive geological and geophysical data and analysis provided by Geoscience Australia. </w:t>
      </w:r>
    </w:p>
    <w:p w14:paraId="7F7B80C6" w14:textId="77777777" w:rsidR="00AE57AB" w:rsidRPr="00BF281D" w:rsidRDefault="00AE57AB" w:rsidP="00AE57AB">
      <w:r w:rsidRPr="00BF281D">
        <w:t xml:space="preserve">The government also ensures environmental approvals are conducted by a single regulatory authority, NOPSEMA, to reduce layers of red tape for businesses trying to develop offshore projects. </w:t>
      </w:r>
    </w:p>
    <w:p w14:paraId="40082889" w14:textId="4645DB16" w:rsidR="00AE57AB" w:rsidRPr="00BF281D" w:rsidRDefault="00AE57AB" w:rsidP="007D3541">
      <w:pPr>
        <w:pStyle w:val="Appendixhead3"/>
      </w:pPr>
      <w:r w:rsidRPr="00BF281D">
        <w:t xml:space="preserve">How is </w:t>
      </w:r>
      <w:r w:rsidR="0054704E">
        <w:t>social license</w:t>
      </w:r>
      <w:r w:rsidRPr="00BF281D">
        <w:t xml:space="preserve"> built in the resources sector by the Commonwealth? </w:t>
      </w:r>
    </w:p>
    <w:p w14:paraId="1407EC4F" w14:textId="00F2A28E" w:rsidR="00AE57AB" w:rsidRPr="00BF281D" w:rsidRDefault="00AE57AB" w:rsidP="00AE57AB">
      <w:r w:rsidRPr="00BF281D">
        <w:t xml:space="preserve">CSIRO is Australia’s national science agency that works with industries, governments and communities that are engaged with, or impacted by gas development. CSIRO is responsible for undertaking research on the mineral industry’s </w:t>
      </w:r>
      <w:r w:rsidR="0054704E">
        <w:t>social license</w:t>
      </w:r>
      <w:r w:rsidRPr="00BF281D">
        <w:t xml:space="preserve"> in Australia and the socio-economic and environmental impacts of the natural gas industry. Through collaboration with industry partners, CSIRO has developed benchmarks for the social performance of the minerals industry that allow stakeholders to engage with each other on issues that matter and develop genuine trust-based relationships. </w:t>
      </w:r>
    </w:p>
    <w:p w14:paraId="0F0152B1" w14:textId="77777777" w:rsidR="00AE57AB" w:rsidRPr="00BF281D" w:rsidRDefault="00AE57AB" w:rsidP="00AE57AB">
      <w:r w:rsidRPr="00BF281D">
        <w:t xml:space="preserve">In 2011, the Gas Industry Social and </w:t>
      </w:r>
      <w:r w:rsidRPr="009A7CE7">
        <w:t xml:space="preserve">Environmental </w:t>
      </w:r>
      <w:r w:rsidRPr="00D76991">
        <w:t>Rese</w:t>
      </w:r>
      <w:r w:rsidRPr="00580A9E">
        <w:t xml:space="preserve">arch Alliance (GISERA) was established by CSIRO to undertake independent quality assured research. GISERA is a collaboration </w:t>
      </w:r>
      <w:r w:rsidRPr="00E02AFD">
        <w:t xml:space="preserve">between the Commonwealth Government, State Governments, the gas </w:t>
      </w:r>
      <w:proofErr w:type="gramStart"/>
      <w:r w:rsidRPr="00E02AFD">
        <w:t>industry</w:t>
      </w:r>
      <w:proofErr w:type="gramEnd"/>
      <w:r w:rsidRPr="00E02AFD">
        <w:t xml:space="preserve"> and CSIRO.</w:t>
      </w:r>
      <w:r w:rsidRPr="00464DFA">
        <w:t xml:space="preserve"> Their</w:t>
      </w:r>
      <w:r w:rsidRPr="00BF281D">
        <w:t xml:space="preserve"> research focuses on social and environmental topics that are of concern to the community including topics such as groundwater and surface water, biodiversity, land management, the marine environment, human </w:t>
      </w:r>
      <w:proofErr w:type="gramStart"/>
      <w:r w:rsidRPr="00BF281D">
        <w:t>health</w:t>
      </w:r>
      <w:proofErr w:type="gramEnd"/>
      <w:r w:rsidRPr="00BF281D">
        <w:t xml:space="preserve"> and socio-economic impacts.</w:t>
      </w:r>
    </w:p>
    <w:p w14:paraId="40CE086C" w14:textId="77777777" w:rsidR="00AE57AB" w:rsidRPr="00BF281D" w:rsidRDefault="00AE57AB" w:rsidP="00AE57AB">
      <w:r w:rsidRPr="00BF281D">
        <w:t xml:space="preserve">GISERA aims to achieve credibility, </w:t>
      </w:r>
      <w:proofErr w:type="gramStart"/>
      <w:r w:rsidRPr="00BF281D">
        <w:t>trust</w:t>
      </w:r>
      <w:proofErr w:type="gramEnd"/>
      <w:r w:rsidRPr="00BF281D">
        <w:t xml:space="preserve"> and respect from all stakeholders through open and transparent communication of its research and related activities. Since GISERA began in 2011, over 1,200 engagements with a wide range of stakeholders have been conducted across mainland Australia through forums such as workshops, seminars, </w:t>
      </w:r>
      <w:proofErr w:type="gramStart"/>
      <w:r w:rsidRPr="00BF281D">
        <w:t>conferences</w:t>
      </w:r>
      <w:proofErr w:type="gramEnd"/>
      <w:r w:rsidRPr="00BF281D">
        <w:t xml:space="preserve"> and technical briefings. The research is published on their website to allow the community to investigate, inspect, criticise, </w:t>
      </w:r>
      <w:proofErr w:type="gramStart"/>
      <w:r w:rsidRPr="00BF281D">
        <w:t>question</w:t>
      </w:r>
      <w:proofErr w:type="gramEnd"/>
      <w:r w:rsidRPr="00BF281D">
        <w:t xml:space="preserve"> and understand the work that they do. </w:t>
      </w:r>
    </w:p>
    <w:p w14:paraId="3B25F2F2" w14:textId="77777777" w:rsidR="00AE57AB" w:rsidRPr="00BF281D" w:rsidRDefault="00AE57AB" w:rsidP="00AE57AB">
      <w:r w:rsidRPr="00BF281D">
        <w:lastRenderedPageBreak/>
        <w:t xml:space="preserve">GISERO’s work encourages a better understanding and perspective of the effects of the natural gas industry on Australia’s society, </w:t>
      </w:r>
      <w:proofErr w:type="gramStart"/>
      <w:r w:rsidRPr="00BF281D">
        <w:t>economy</w:t>
      </w:r>
      <w:proofErr w:type="gramEnd"/>
      <w:r w:rsidRPr="00BF281D">
        <w:t xml:space="preserve"> and environment. This benefits all Australian communities in onshore gas regions and informs governments and policy makers to enable better decision making. </w:t>
      </w:r>
    </w:p>
    <w:p w14:paraId="39E61457" w14:textId="77777777" w:rsidR="00AE57AB" w:rsidRPr="00BF281D" w:rsidRDefault="00AE57AB" w:rsidP="007D3541">
      <w:pPr>
        <w:pStyle w:val="Appendixhead3"/>
      </w:pPr>
      <w:r w:rsidRPr="00BF281D">
        <w:t xml:space="preserve">How does the Commonwealth minimise risk to improve outcomes from the environment, public </w:t>
      </w:r>
      <w:proofErr w:type="gramStart"/>
      <w:r w:rsidRPr="00BF281D">
        <w:t>safety</w:t>
      </w:r>
      <w:proofErr w:type="gramEnd"/>
      <w:r w:rsidRPr="00BF281D">
        <w:t xml:space="preserve"> and amenity as they relate to petroleum development matters in the Commonwealth jurisdiction? </w:t>
      </w:r>
    </w:p>
    <w:p w14:paraId="4AA7330F" w14:textId="7752C09A" w:rsidR="00AE57AB" w:rsidRPr="00BF281D" w:rsidRDefault="00AE57AB" w:rsidP="00AE57AB">
      <w:r w:rsidRPr="00BF281D">
        <w:br/>
        <w:t>NOPSEMA administer</w:t>
      </w:r>
      <w:r w:rsidR="009E5914">
        <w:t>s</w:t>
      </w:r>
      <w:r w:rsidRPr="00BF281D">
        <w:t xml:space="preserve"> three </w:t>
      </w:r>
      <w:proofErr w:type="spellStart"/>
      <w:r w:rsidRPr="00BF281D">
        <w:t>permissioning</w:t>
      </w:r>
      <w:proofErr w:type="spellEnd"/>
      <w:r w:rsidRPr="00BF281D">
        <w:t xml:space="preserve"> documents through the application of an objectives-based offshore legislative framework: </w:t>
      </w:r>
      <w:proofErr w:type="gramStart"/>
      <w:r w:rsidRPr="00BF281D">
        <w:t>the</w:t>
      </w:r>
      <w:proofErr w:type="gramEnd"/>
      <w:r w:rsidRPr="00BF281D">
        <w:t xml:space="preserve"> Well Operations Management Plan (WOMP), the Environment Plan (EP), and the Safety Case.</w:t>
      </w:r>
    </w:p>
    <w:p w14:paraId="0B5E9E0B" w14:textId="77777777" w:rsidR="00AE57AB" w:rsidRPr="00BF281D" w:rsidRDefault="00AE57AB" w:rsidP="00AE57AB">
      <w:r w:rsidRPr="00BF281D">
        <w:t xml:space="preserve">Before the commencement of offshore activities, responsible parties are required to obtain a range of ‘permissions’ from NOPSEMA, which may include OHS, well integrity, and environment permissions. The permissions are obtained by developing and submitting a document to the regulator outlining the hazards and risks associated with the work and the approach the responsible party will take to reduce the hazards and risks to “As Low </w:t>
      </w:r>
      <w:proofErr w:type="gramStart"/>
      <w:r w:rsidRPr="00BF281D">
        <w:t>As</w:t>
      </w:r>
      <w:proofErr w:type="gramEnd"/>
      <w:r w:rsidRPr="00BF281D">
        <w:t xml:space="preserve"> Reasonably Practicable” (ALARP) from a safety and well integrity perspective, and “Acceptable” from an environment perspective. It is also important to recognise that all </w:t>
      </w:r>
      <w:proofErr w:type="spellStart"/>
      <w:r w:rsidRPr="00BF281D">
        <w:t>permissioning</w:t>
      </w:r>
      <w:proofErr w:type="spellEnd"/>
      <w:r w:rsidRPr="00BF281D">
        <w:t xml:space="preserve"> documents are not the same. For example, one WOMP does not necessarily equate to one well – a WOMP could apply to multiple wells.</w:t>
      </w:r>
    </w:p>
    <w:p w14:paraId="47E1CC6F" w14:textId="77777777" w:rsidR="00AE57AB" w:rsidRPr="00BF281D" w:rsidRDefault="00AE57AB" w:rsidP="00AE57AB">
      <w:r w:rsidRPr="009A7CE7">
        <w:t>NOPSEMA’s Inspection Policy states that “inspections are part of NOPSEMA’s function under</w:t>
      </w:r>
      <w:r w:rsidRPr="00D76991">
        <w:t xml:space="preserve"> the OPGGS Act to develop and impl</w:t>
      </w:r>
      <w:r w:rsidRPr="00580A9E">
        <w:t>ement effective monitoring and enforcement strategies to secure compliance by persons with their obligations under the OPGGS Act</w:t>
      </w:r>
      <w:r w:rsidRPr="00BF281D">
        <w:t xml:space="preserve"> and supporting regulations”.</w:t>
      </w:r>
    </w:p>
    <w:p w14:paraId="3C6CA042" w14:textId="79A14093" w:rsidR="00AE57AB" w:rsidRPr="00BF281D" w:rsidRDefault="00AE57AB" w:rsidP="00AE57AB">
      <w:r w:rsidRPr="00BF281D">
        <w:t>NOPSEMA’s processes recognise the need for adoption of a risk-based inspection regime. Inspections appear to be risk-based centred on the knowledge and research of the inspector, with a sampling approach to risk control measures and management system elements adopted, taking into account other relevant risk factors (such as, previous performance and compliance history of titleholders informed by inspections, investigations, incident history and other safety and environmental performance factors, industry incident trends and responses to recommendations from previous inspections). The philosophy of “find one, fix many” is a key ten</w:t>
      </w:r>
      <w:r w:rsidR="009C5BC0" w:rsidRPr="00BF281D">
        <w:t>et</w:t>
      </w:r>
      <w:r w:rsidRPr="00BF281D">
        <w:t xml:space="preserve"> of the inspection regime.</w:t>
      </w:r>
    </w:p>
    <w:p w14:paraId="2E4CC6F7" w14:textId="1F4334FE" w:rsidR="00AE57AB" w:rsidRPr="00BF281D" w:rsidRDefault="00AE57AB" w:rsidP="007D3541">
      <w:pPr>
        <w:pStyle w:val="AppendixTableCaption"/>
      </w:pPr>
      <w:bookmarkStart w:id="183" w:name="_Toc68799775"/>
      <w:bookmarkStart w:id="184" w:name="_Toc67663785"/>
      <w:r w:rsidRPr="00693CCA">
        <w:rPr>
          <w:color w:val="auto"/>
        </w:rPr>
        <w:t xml:space="preserve">: The three types of </w:t>
      </w:r>
      <w:proofErr w:type="spellStart"/>
      <w:r w:rsidRPr="00693CCA">
        <w:rPr>
          <w:color w:val="auto"/>
        </w:rPr>
        <w:t>permissioning</w:t>
      </w:r>
      <w:proofErr w:type="spellEnd"/>
      <w:r w:rsidRPr="00693CCA">
        <w:rPr>
          <w:color w:val="auto"/>
        </w:rPr>
        <w:t xml:space="preserve"> documents</w:t>
      </w:r>
      <w:bookmarkEnd w:id="183"/>
      <w:bookmarkEnd w:id="184"/>
    </w:p>
    <w:tbl>
      <w:tblPr>
        <w:tblStyle w:val="Deloittetable"/>
        <w:tblW w:w="9781" w:type="dxa"/>
        <w:tblLook w:val="04A0" w:firstRow="1" w:lastRow="0" w:firstColumn="1" w:lastColumn="0" w:noHBand="0" w:noVBand="1"/>
      </w:tblPr>
      <w:tblGrid>
        <w:gridCol w:w="1691"/>
        <w:gridCol w:w="8090"/>
      </w:tblGrid>
      <w:tr w:rsidR="001528D0" w:rsidRPr="00BF281D" w14:paraId="7C504AD6" w14:textId="77777777" w:rsidTr="001528D0">
        <w:trPr>
          <w:cnfStyle w:val="100000000000" w:firstRow="1" w:lastRow="0" w:firstColumn="0" w:lastColumn="0" w:oddVBand="0" w:evenVBand="0" w:oddHBand="0" w:evenHBand="0" w:firstRowFirstColumn="0" w:firstRowLastColumn="0" w:lastRowFirstColumn="0" w:lastRowLastColumn="0"/>
        </w:trPr>
        <w:tc>
          <w:tcPr>
            <w:tcW w:w="1691" w:type="dxa"/>
          </w:tcPr>
          <w:p w14:paraId="5279B40B" w14:textId="77777777" w:rsidR="001528D0" w:rsidRPr="00BF281D" w:rsidRDefault="001528D0" w:rsidP="00E86F3F">
            <w:pPr>
              <w:ind w:left="0" w:right="0"/>
              <w:rPr>
                <w:b/>
                <w:sz w:val="18"/>
              </w:rPr>
            </w:pPr>
            <w:r w:rsidRPr="00BF281D">
              <w:rPr>
                <w:sz w:val="18"/>
              </w:rPr>
              <w:t>Type</w:t>
            </w:r>
          </w:p>
        </w:tc>
        <w:tc>
          <w:tcPr>
            <w:tcW w:w="8090" w:type="dxa"/>
          </w:tcPr>
          <w:p w14:paraId="21FCDA52" w14:textId="77777777" w:rsidR="001528D0" w:rsidRPr="00BF281D" w:rsidRDefault="001528D0" w:rsidP="00E86F3F">
            <w:pPr>
              <w:ind w:left="0" w:right="0"/>
              <w:rPr>
                <w:b/>
                <w:sz w:val="18"/>
              </w:rPr>
            </w:pPr>
            <w:r w:rsidRPr="00BF281D">
              <w:rPr>
                <w:sz w:val="18"/>
              </w:rPr>
              <w:t>Description</w:t>
            </w:r>
          </w:p>
        </w:tc>
      </w:tr>
      <w:tr w:rsidR="00AE57AB" w:rsidRPr="00BF281D" w14:paraId="6AB1B419" w14:textId="77777777" w:rsidTr="001528D0">
        <w:tc>
          <w:tcPr>
            <w:tcW w:w="1691" w:type="dxa"/>
          </w:tcPr>
          <w:p w14:paraId="2F53E5C9" w14:textId="77777777" w:rsidR="00AE57AB" w:rsidRPr="00BF281D" w:rsidRDefault="00AE57AB" w:rsidP="00E86F3F">
            <w:pPr>
              <w:ind w:left="0" w:right="0"/>
              <w:rPr>
                <w:sz w:val="18"/>
              </w:rPr>
            </w:pPr>
            <w:r w:rsidRPr="00BF281D">
              <w:rPr>
                <w:b/>
                <w:sz w:val="18"/>
              </w:rPr>
              <w:t>Safety case</w:t>
            </w:r>
          </w:p>
        </w:tc>
        <w:tc>
          <w:tcPr>
            <w:tcW w:w="8090" w:type="dxa"/>
          </w:tcPr>
          <w:p w14:paraId="40A3152E" w14:textId="77777777" w:rsidR="00AE57AB" w:rsidRPr="00BF281D" w:rsidRDefault="00AE57AB" w:rsidP="00E86F3F">
            <w:pPr>
              <w:ind w:left="0" w:right="0"/>
              <w:rPr>
                <w:sz w:val="18"/>
              </w:rPr>
            </w:pPr>
            <w:r w:rsidRPr="00BF281D">
              <w:rPr>
                <w:sz w:val="18"/>
              </w:rPr>
              <w:t xml:space="preserve">A safety case is a </w:t>
            </w:r>
            <w:proofErr w:type="spellStart"/>
            <w:r w:rsidRPr="00BF281D">
              <w:rPr>
                <w:sz w:val="18"/>
              </w:rPr>
              <w:t>permissioning</w:t>
            </w:r>
            <w:proofErr w:type="spellEnd"/>
            <w:r w:rsidRPr="00BF281D">
              <w:rPr>
                <w:sz w:val="18"/>
              </w:rPr>
              <w:t xml:space="preserve"> document developed by an operator of a facility, in consultation with its workers, which identifies the hazards and risks, describes how the risks are controlled, and describes the Safety Management System (</w:t>
            </w:r>
            <w:r w:rsidRPr="00BF281D">
              <w:t>SMS</w:t>
            </w:r>
            <w:r w:rsidRPr="00BF281D">
              <w:rPr>
                <w:sz w:val="18"/>
              </w:rPr>
              <w:t>) in place to ensure the controls are effectively and consistently applied</w:t>
            </w:r>
          </w:p>
          <w:p w14:paraId="4B70524A" w14:textId="77777777" w:rsidR="00AE57AB" w:rsidRPr="00BF281D" w:rsidRDefault="00AE57AB" w:rsidP="00E86F3F">
            <w:pPr>
              <w:ind w:left="0" w:right="0"/>
              <w:rPr>
                <w:sz w:val="18"/>
              </w:rPr>
            </w:pPr>
            <w:r w:rsidRPr="00BF281D">
              <w:rPr>
                <w:sz w:val="18"/>
              </w:rPr>
              <w:t>In the safety case regime, it is the operators' responsibility to assess its own processes, procedures, and systems to identify and evaluate risks and implement the appropriate controls – ensuring risk is reduced to ALARP</w:t>
            </w:r>
          </w:p>
          <w:p w14:paraId="2F11ACC9" w14:textId="77777777" w:rsidR="00AE57AB" w:rsidRPr="00BF281D" w:rsidRDefault="00AE57AB" w:rsidP="00E86F3F">
            <w:pPr>
              <w:ind w:left="0" w:right="0"/>
              <w:rPr>
                <w:sz w:val="18"/>
              </w:rPr>
            </w:pPr>
            <w:r w:rsidRPr="00BF281D">
              <w:rPr>
                <w:sz w:val="18"/>
              </w:rPr>
              <w:t>The key focus of a safety case is on the critical aspects of the facility that can cause a major accident. An operator’s safety case must consider both technical and managerial risk factors that could increase the risk of harm</w:t>
            </w:r>
          </w:p>
          <w:p w14:paraId="541E74EF" w14:textId="77777777" w:rsidR="00AE57AB" w:rsidRPr="00BF281D" w:rsidRDefault="00AE57AB" w:rsidP="00E86F3F">
            <w:pPr>
              <w:ind w:left="0" w:right="0"/>
              <w:rPr>
                <w:sz w:val="18"/>
              </w:rPr>
            </w:pPr>
            <w:r w:rsidRPr="00BF281D">
              <w:rPr>
                <w:sz w:val="18"/>
              </w:rPr>
              <w:t>Once the risks have been understood, the operator must define appropriate performance standards for safe operation in relation to its MAEs</w:t>
            </w:r>
          </w:p>
          <w:p w14:paraId="2F78CD77" w14:textId="77777777" w:rsidR="00AE57AB" w:rsidRPr="00BF281D" w:rsidRDefault="00AE57AB" w:rsidP="00E86F3F">
            <w:pPr>
              <w:ind w:left="0" w:right="0"/>
              <w:rPr>
                <w:sz w:val="18"/>
              </w:rPr>
            </w:pPr>
            <w:r w:rsidRPr="00BF281D">
              <w:rPr>
                <w:sz w:val="18"/>
              </w:rPr>
              <w:t>NOPSEMA assesses safety cases and 'accepts' the document if it is satisfied the arrangements demonstrate the risks will be reduced to ALARP</w:t>
            </w:r>
          </w:p>
          <w:p w14:paraId="486F2380" w14:textId="77777777" w:rsidR="00AE57AB" w:rsidRPr="00BF281D" w:rsidRDefault="00AE57AB" w:rsidP="00E86F3F">
            <w:pPr>
              <w:ind w:left="0" w:right="0"/>
              <w:rPr>
                <w:sz w:val="18"/>
              </w:rPr>
            </w:pPr>
            <w:r w:rsidRPr="00BF281D">
              <w:rPr>
                <w:sz w:val="18"/>
              </w:rPr>
              <w:t xml:space="preserve">Once 'accepted', NOPSEMA monitors compliance through inspections with the </w:t>
            </w:r>
            <w:proofErr w:type="spellStart"/>
            <w:r w:rsidRPr="00BF281D">
              <w:rPr>
                <w:sz w:val="18"/>
              </w:rPr>
              <w:t>permissioning</w:t>
            </w:r>
            <w:proofErr w:type="spellEnd"/>
            <w:r w:rsidRPr="00BF281D">
              <w:rPr>
                <w:sz w:val="18"/>
              </w:rPr>
              <w:t xml:space="preserve"> documents and listed NOPSEMA laws.</w:t>
            </w:r>
          </w:p>
        </w:tc>
      </w:tr>
      <w:tr w:rsidR="00AE57AB" w:rsidRPr="00BF281D" w14:paraId="4915DC77" w14:textId="77777777" w:rsidTr="001528D0">
        <w:tc>
          <w:tcPr>
            <w:tcW w:w="1691" w:type="dxa"/>
          </w:tcPr>
          <w:p w14:paraId="3E5711AD" w14:textId="77777777" w:rsidR="00AE57AB" w:rsidRPr="00BF281D" w:rsidRDefault="00AE57AB" w:rsidP="00E86F3F">
            <w:pPr>
              <w:ind w:left="0" w:right="0"/>
              <w:rPr>
                <w:sz w:val="18"/>
              </w:rPr>
            </w:pPr>
            <w:r w:rsidRPr="00BF281D">
              <w:rPr>
                <w:b/>
                <w:sz w:val="18"/>
              </w:rPr>
              <w:lastRenderedPageBreak/>
              <w:t>Well Operations Management Plan (WOMP)</w:t>
            </w:r>
          </w:p>
        </w:tc>
        <w:tc>
          <w:tcPr>
            <w:tcW w:w="8090" w:type="dxa"/>
          </w:tcPr>
          <w:p w14:paraId="2D4DF796" w14:textId="62EB0CAD" w:rsidR="00AE57AB" w:rsidRPr="00BF281D" w:rsidRDefault="00AE57AB" w:rsidP="00E86F3F">
            <w:pPr>
              <w:ind w:left="0" w:right="0"/>
              <w:rPr>
                <w:sz w:val="18"/>
              </w:rPr>
            </w:pPr>
            <w:r w:rsidRPr="00BF281D">
              <w:rPr>
                <w:sz w:val="18"/>
              </w:rPr>
              <w:t xml:space="preserve">The WOMP defines the titleholder’s commitment of compliance to Part 5 of the </w:t>
            </w:r>
            <w:r w:rsidRPr="00BF281D">
              <w:rPr>
                <w:i/>
                <w:sz w:val="18"/>
              </w:rPr>
              <w:t>Offshore Petroleum and Greenhouse Gas Storage (Resource Management and Administration) Regulations 2011</w:t>
            </w:r>
            <w:r w:rsidRPr="00BF281D">
              <w:rPr>
                <w:sz w:val="18"/>
              </w:rPr>
              <w:t xml:space="preserve"> (</w:t>
            </w:r>
            <w:r w:rsidR="004324E9" w:rsidRPr="00BF281D">
              <w:rPr>
                <w:iCs/>
                <w:sz w:val="18"/>
              </w:rPr>
              <w:t>Cth)</w:t>
            </w:r>
            <w:r w:rsidRPr="00BF281D">
              <w:rPr>
                <w:i/>
                <w:sz w:val="18"/>
              </w:rPr>
              <w:t xml:space="preserve"> </w:t>
            </w:r>
            <w:r w:rsidRPr="00BF281D">
              <w:rPr>
                <w:sz w:val="18"/>
              </w:rPr>
              <w:t xml:space="preserve">(the </w:t>
            </w:r>
            <w:r w:rsidRPr="00BF281D">
              <w:t>RMA Regulations</w:t>
            </w:r>
            <w:r w:rsidRPr="00BF281D">
              <w:rPr>
                <w:sz w:val="18"/>
              </w:rPr>
              <w:t>)</w:t>
            </w:r>
          </w:p>
          <w:p w14:paraId="231FF1E3" w14:textId="77777777" w:rsidR="00AE57AB" w:rsidRPr="00BF281D" w:rsidRDefault="00AE57AB" w:rsidP="00E86F3F">
            <w:pPr>
              <w:ind w:left="0" w:right="0"/>
              <w:rPr>
                <w:sz w:val="18"/>
              </w:rPr>
            </w:pPr>
            <w:r w:rsidRPr="00BF281D">
              <w:rPr>
                <w:sz w:val="18"/>
              </w:rPr>
              <w:t>The WOMP sets out to describe the technical and managerial aspects of managing the risks to integrity of the well, and can be applicable to all or any part of the lifecycle of a well</w:t>
            </w:r>
          </w:p>
          <w:p w14:paraId="1B8F5461" w14:textId="77777777" w:rsidR="00AE57AB" w:rsidRPr="00BF281D" w:rsidRDefault="00AE57AB" w:rsidP="00E86F3F">
            <w:pPr>
              <w:ind w:left="0" w:right="0"/>
              <w:rPr>
                <w:sz w:val="18"/>
              </w:rPr>
            </w:pPr>
            <w:r w:rsidRPr="00BF281D">
              <w:rPr>
                <w:sz w:val="18"/>
              </w:rPr>
              <w:t>At any stage of the well’s lifecycle a WOMP must be in force and active up until the accepted permanent abandonment of the well</w:t>
            </w:r>
          </w:p>
          <w:p w14:paraId="64A4C894" w14:textId="77777777" w:rsidR="00AE57AB" w:rsidRPr="00BF281D" w:rsidRDefault="00AE57AB" w:rsidP="00E86F3F">
            <w:pPr>
              <w:ind w:left="0" w:right="0"/>
              <w:rPr>
                <w:sz w:val="18"/>
              </w:rPr>
            </w:pPr>
            <w:r w:rsidRPr="00BF281D">
              <w:rPr>
                <w:sz w:val="18"/>
              </w:rPr>
              <w:t xml:space="preserve">The WOMP also describes barrier management throughout the lifecycle of the well, the application and adherence to the Well Operations Management Plan </w:t>
            </w:r>
            <w:proofErr w:type="gramStart"/>
            <w:r w:rsidRPr="00BF281D">
              <w:rPr>
                <w:sz w:val="18"/>
              </w:rPr>
              <w:t>defined</w:t>
            </w:r>
            <w:proofErr w:type="gramEnd"/>
            <w:r w:rsidRPr="00BF281D">
              <w:rPr>
                <w:sz w:val="18"/>
              </w:rPr>
              <w:t xml:space="preserve"> Standards, an overview of the well activities throughout the lifecycle including construction, testing, monitoring, suspending and abandoning and the relevant performance outcomes. It includes a well specific source control plan and blow out modelling and discussion around worst case discharge</w:t>
            </w:r>
          </w:p>
          <w:p w14:paraId="20AFD093" w14:textId="77777777" w:rsidR="00AE57AB" w:rsidRPr="00BF281D" w:rsidRDefault="00AE57AB" w:rsidP="00E86F3F">
            <w:pPr>
              <w:ind w:left="0" w:right="0"/>
              <w:rPr>
                <w:sz w:val="18"/>
              </w:rPr>
            </w:pPr>
            <w:r w:rsidRPr="00BF281D">
              <w:rPr>
                <w:sz w:val="18"/>
              </w:rPr>
              <w:t>NOPSEMA assesses WOMPs and 'accepts' the document if it is satisfied the arrangements demonstrate the risks will be reduced to ALARP</w:t>
            </w:r>
          </w:p>
          <w:p w14:paraId="13E16614" w14:textId="77777777" w:rsidR="00AE57AB" w:rsidRPr="00BF281D" w:rsidRDefault="00AE57AB" w:rsidP="00E86F3F">
            <w:pPr>
              <w:ind w:left="0" w:right="0"/>
              <w:rPr>
                <w:sz w:val="18"/>
              </w:rPr>
            </w:pPr>
            <w:r w:rsidRPr="00BF281D">
              <w:rPr>
                <w:sz w:val="18"/>
              </w:rPr>
              <w:t xml:space="preserve">Once 'accepted', NOPSEMA monitors compliance through inspections with the </w:t>
            </w:r>
            <w:proofErr w:type="spellStart"/>
            <w:r w:rsidRPr="00BF281D">
              <w:rPr>
                <w:sz w:val="18"/>
              </w:rPr>
              <w:t>permissioning</w:t>
            </w:r>
            <w:proofErr w:type="spellEnd"/>
            <w:r w:rsidRPr="00BF281D">
              <w:rPr>
                <w:sz w:val="18"/>
              </w:rPr>
              <w:t xml:space="preserve"> documents and listed NOPSEMA laws.</w:t>
            </w:r>
          </w:p>
        </w:tc>
      </w:tr>
      <w:tr w:rsidR="00AE57AB" w:rsidRPr="00BF281D" w14:paraId="0B6C411D" w14:textId="77777777" w:rsidTr="001528D0">
        <w:tc>
          <w:tcPr>
            <w:tcW w:w="1691" w:type="dxa"/>
          </w:tcPr>
          <w:p w14:paraId="66B79AD8" w14:textId="77777777" w:rsidR="00AE57AB" w:rsidRPr="00BF281D" w:rsidRDefault="00AE57AB" w:rsidP="00E86F3F">
            <w:pPr>
              <w:ind w:left="0" w:right="0"/>
              <w:rPr>
                <w:sz w:val="18"/>
              </w:rPr>
            </w:pPr>
            <w:r w:rsidRPr="00BF281D">
              <w:rPr>
                <w:b/>
                <w:sz w:val="18"/>
              </w:rPr>
              <w:t>Environment Plan (EP)</w:t>
            </w:r>
          </w:p>
        </w:tc>
        <w:tc>
          <w:tcPr>
            <w:tcW w:w="8090" w:type="dxa"/>
          </w:tcPr>
          <w:p w14:paraId="2CBC339A" w14:textId="77777777" w:rsidR="00AE57AB" w:rsidRPr="00BF281D" w:rsidRDefault="00AE57AB" w:rsidP="00E86F3F">
            <w:pPr>
              <w:ind w:left="0" w:right="0"/>
              <w:rPr>
                <w:sz w:val="18"/>
              </w:rPr>
            </w:pPr>
            <w:r w:rsidRPr="00BF281D">
              <w:rPr>
                <w:sz w:val="18"/>
              </w:rPr>
              <w:t xml:space="preserve">The scope of an EP is determined </w:t>
            </w:r>
            <w:proofErr w:type="gramStart"/>
            <w:r w:rsidRPr="00BF281D">
              <w:rPr>
                <w:sz w:val="18"/>
              </w:rPr>
              <w:t>with regard to</w:t>
            </w:r>
            <w:proofErr w:type="gramEnd"/>
            <w:r w:rsidRPr="00BF281D">
              <w:rPr>
                <w:sz w:val="18"/>
              </w:rPr>
              <w:t xml:space="preserve"> the nature and scale of the proposed activity and the identified impacts on and risks to the receiving environment. </w:t>
            </w:r>
          </w:p>
          <w:p w14:paraId="4B145A56" w14:textId="77777777" w:rsidR="00AE57AB" w:rsidRPr="00BF281D" w:rsidRDefault="00AE57AB" w:rsidP="00E86F3F">
            <w:pPr>
              <w:ind w:left="0" w:right="0"/>
              <w:rPr>
                <w:sz w:val="18"/>
              </w:rPr>
            </w:pPr>
            <w:r w:rsidRPr="00BF281D">
              <w:rPr>
                <w:sz w:val="18"/>
              </w:rPr>
              <w:t xml:space="preserve">The </w:t>
            </w:r>
            <w:r w:rsidRPr="00BF281D">
              <w:rPr>
                <w:i/>
                <w:sz w:val="18"/>
              </w:rPr>
              <w:t xml:space="preserve">Offshore Petroleum and Greenhouse Gas Storage (Environment) Regulations 2009 </w:t>
            </w:r>
            <w:r w:rsidRPr="00BF281D">
              <w:rPr>
                <w:sz w:val="18"/>
              </w:rPr>
              <w:t xml:space="preserve">(the </w:t>
            </w:r>
            <w:r w:rsidRPr="00BF281D">
              <w:rPr>
                <w:b/>
                <w:sz w:val="18"/>
              </w:rPr>
              <w:t>Environment Regulations</w:t>
            </w:r>
            <w:r w:rsidRPr="00BF281D">
              <w:rPr>
                <w:sz w:val="18"/>
              </w:rPr>
              <w:t>) also detail required content for an EP and includes (for example):</w:t>
            </w:r>
          </w:p>
          <w:p w14:paraId="66DA6257" w14:textId="77777777" w:rsidR="00AE57AB" w:rsidRPr="00BF281D" w:rsidRDefault="00AE57AB" w:rsidP="00E86F3F">
            <w:pPr>
              <w:ind w:left="0" w:right="0"/>
              <w:rPr>
                <w:sz w:val="18"/>
              </w:rPr>
            </w:pPr>
            <w:r w:rsidRPr="00BF281D">
              <w:rPr>
                <w:sz w:val="18"/>
              </w:rPr>
              <w:t>A description of the activity, including location and proposed timetable</w:t>
            </w:r>
          </w:p>
          <w:p w14:paraId="62FBA049" w14:textId="77777777" w:rsidR="00AE57AB" w:rsidRPr="00BF281D" w:rsidRDefault="00AE57AB" w:rsidP="00E86F3F">
            <w:pPr>
              <w:ind w:left="0" w:right="0"/>
              <w:rPr>
                <w:sz w:val="18"/>
              </w:rPr>
            </w:pPr>
            <w:r w:rsidRPr="00BF281D">
              <w:rPr>
                <w:sz w:val="18"/>
              </w:rPr>
              <w:t>A description of the environment that may be affected by the activity</w:t>
            </w:r>
          </w:p>
          <w:p w14:paraId="6A40F3F2" w14:textId="77777777" w:rsidR="00AE57AB" w:rsidRPr="00BF281D" w:rsidRDefault="00AE57AB" w:rsidP="00E86F3F">
            <w:pPr>
              <w:ind w:left="0" w:right="0"/>
              <w:rPr>
                <w:sz w:val="18"/>
              </w:rPr>
            </w:pPr>
            <w:r w:rsidRPr="00BF281D">
              <w:rPr>
                <w:sz w:val="18"/>
              </w:rPr>
              <w:t xml:space="preserve">Details and an evaluation of the environmental impacts and risks </w:t>
            </w:r>
          </w:p>
          <w:p w14:paraId="58DB8C8A" w14:textId="77777777" w:rsidR="00AE57AB" w:rsidRPr="00BF281D" w:rsidRDefault="00AE57AB" w:rsidP="00E86F3F">
            <w:pPr>
              <w:ind w:left="0" w:right="0"/>
              <w:rPr>
                <w:sz w:val="18"/>
              </w:rPr>
            </w:pPr>
            <w:r w:rsidRPr="00BF281D">
              <w:rPr>
                <w:sz w:val="18"/>
              </w:rPr>
              <w:t>Details of the control measures that will be in place to reduce the environmental impacts and risks of the activity to a level that is acceptable and ALARP</w:t>
            </w:r>
          </w:p>
          <w:p w14:paraId="79AB6D1C" w14:textId="77777777" w:rsidR="00AE57AB" w:rsidRPr="00BF281D" w:rsidRDefault="00AE57AB" w:rsidP="00E86F3F">
            <w:pPr>
              <w:ind w:left="0" w:right="0"/>
              <w:rPr>
                <w:sz w:val="18"/>
              </w:rPr>
            </w:pPr>
            <w:r w:rsidRPr="00BF281D">
              <w:rPr>
                <w:sz w:val="18"/>
              </w:rPr>
              <w:t xml:space="preserve">Environmental performance standards and outcomes (and associated measurement criteria) </w:t>
            </w:r>
          </w:p>
          <w:p w14:paraId="4085C95A" w14:textId="77777777" w:rsidR="00AE57AB" w:rsidRPr="00BF281D" w:rsidRDefault="00AE57AB" w:rsidP="00E86F3F">
            <w:pPr>
              <w:ind w:left="0" w:right="0"/>
              <w:rPr>
                <w:sz w:val="18"/>
              </w:rPr>
            </w:pPr>
            <w:r w:rsidRPr="00BF281D">
              <w:rPr>
                <w:sz w:val="18"/>
              </w:rPr>
              <w:t xml:space="preserve">An implementation strategy describing the titleholder’s environmental management system, </w:t>
            </w:r>
            <w:proofErr w:type="gramStart"/>
            <w:r w:rsidRPr="00BF281D">
              <w:rPr>
                <w:sz w:val="18"/>
              </w:rPr>
              <w:t>roles</w:t>
            </w:r>
            <w:proofErr w:type="gramEnd"/>
            <w:r w:rsidRPr="00BF281D">
              <w:rPr>
                <w:sz w:val="18"/>
              </w:rPr>
              <w:t xml:space="preserve"> and responsibilities for implementing the EP and the monitoring, recording and auditing that will be undertaken to review environmental performance.</w:t>
            </w:r>
          </w:p>
          <w:p w14:paraId="678A5709" w14:textId="77777777" w:rsidR="00AE57AB" w:rsidRPr="00BF281D" w:rsidRDefault="00AE57AB" w:rsidP="00E86F3F">
            <w:pPr>
              <w:ind w:left="0" w:right="0"/>
              <w:rPr>
                <w:sz w:val="18"/>
              </w:rPr>
            </w:pPr>
            <w:r w:rsidRPr="00BF281D">
              <w:rPr>
                <w:sz w:val="18"/>
              </w:rPr>
              <w:t>The titleholder is also required to provide an Oil Pollution Emergency Plan that provides adequate arrangements for responding to and monitoring oil pollution, including financial assurance of funds to respond to the emergency</w:t>
            </w:r>
          </w:p>
          <w:p w14:paraId="4139F034" w14:textId="77777777" w:rsidR="00AE57AB" w:rsidRPr="00BF281D" w:rsidRDefault="00AE57AB" w:rsidP="00E86F3F">
            <w:pPr>
              <w:ind w:left="0" w:right="0"/>
              <w:rPr>
                <w:sz w:val="18"/>
              </w:rPr>
            </w:pPr>
            <w:r w:rsidRPr="00BF281D">
              <w:rPr>
                <w:sz w:val="18"/>
              </w:rPr>
              <w:t>NOPSEMA assesses EPs and 'accepts' the document if it is satisfied with the contents of the EP (</w:t>
            </w:r>
            <w:proofErr w:type="gramStart"/>
            <w:r w:rsidRPr="00BF281D">
              <w:rPr>
                <w:sz w:val="18"/>
              </w:rPr>
              <w:t>e.g.</w:t>
            </w:r>
            <w:proofErr w:type="gramEnd"/>
            <w:r w:rsidRPr="00BF281D">
              <w:rPr>
                <w:sz w:val="18"/>
              </w:rPr>
              <w:t xml:space="preserve"> the arrangements demonstrate the risks will be reduced to ALARP and are acceptable)</w:t>
            </w:r>
          </w:p>
          <w:p w14:paraId="66C0BF00" w14:textId="77777777" w:rsidR="00AE57AB" w:rsidRPr="00BF281D" w:rsidRDefault="00AE57AB" w:rsidP="00E86F3F">
            <w:pPr>
              <w:ind w:left="0" w:right="0"/>
              <w:rPr>
                <w:sz w:val="18"/>
              </w:rPr>
            </w:pPr>
            <w:r w:rsidRPr="00BF281D">
              <w:rPr>
                <w:sz w:val="18"/>
              </w:rPr>
              <w:t xml:space="preserve">Once 'accepted', NOPSEMA monitors compliance through inspections with the </w:t>
            </w:r>
            <w:proofErr w:type="spellStart"/>
            <w:r w:rsidRPr="00BF281D">
              <w:rPr>
                <w:sz w:val="18"/>
              </w:rPr>
              <w:t>permissioning</w:t>
            </w:r>
            <w:proofErr w:type="spellEnd"/>
            <w:r w:rsidRPr="00BF281D">
              <w:rPr>
                <w:sz w:val="18"/>
              </w:rPr>
              <w:t xml:space="preserve"> documents and listed NOPSEMA laws.</w:t>
            </w:r>
          </w:p>
        </w:tc>
      </w:tr>
    </w:tbl>
    <w:p w14:paraId="285C6F42" w14:textId="5215BB91" w:rsidR="00AE57AB" w:rsidRPr="00BF281D" w:rsidRDefault="00AE57AB" w:rsidP="00AE57AB"/>
    <w:p w14:paraId="7D2511B6" w14:textId="77777777" w:rsidR="00AE57AB" w:rsidRPr="00BF281D" w:rsidRDefault="00AE57AB" w:rsidP="007D3541">
      <w:pPr>
        <w:pStyle w:val="Appendixhead2"/>
      </w:pPr>
      <w:r w:rsidRPr="00693CCA">
        <w:rPr>
          <w:color w:val="012169" w:themeColor="accent4"/>
        </w:rPr>
        <w:lastRenderedPageBreak/>
        <w:t xml:space="preserve">Conclusion and Best Practice </w:t>
      </w:r>
    </w:p>
    <w:p w14:paraId="1225720D" w14:textId="77777777" w:rsidR="00AE57AB" w:rsidRPr="00BF281D" w:rsidRDefault="00AE57AB" w:rsidP="00AE57AB">
      <w:r w:rsidRPr="00BF281D">
        <w:t xml:space="preserve">The diagram below outlines the three lines of defence (3LOD) model that is commonly used in risk management and assurance activities. The model articulates 3LOD that prevent a risk event occurring as well as providing an organisation’s decision-makers with information to enable robust and well-considered action. The figure shows, through the size of the ‘wedge’, where </w:t>
      </w:r>
      <w:proofErr w:type="gramStart"/>
      <w:r w:rsidRPr="00BF281D">
        <w:t>the majority of</w:t>
      </w:r>
      <w:proofErr w:type="gramEnd"/>
      <w:r w:rsidRPr="00BF281D">
        <w:t xml:space="preserve"> effort should be applied by an organisation – with the third line being the smallest.</w:t>
      </w:r>
    </w:p>
    <w:p w14:paraId="7A6BD7E5" w14:textId="07C29EDA" w:rsidR="005E25A9" w:rsidRPr="00BF281D" w:rsidRDefault="00AE57AB" w:rsidP="00AE57AB">
      <w:r w:rsidRPr="00BF281D">
        <w:t>Conceptually, in a 3LOD model, regulator involvement, whether it is audits, supports education, or conducts inspections or investigations sit in the third line and help inform the first two lines.</w:t>
      </w:r>
    </w:p>
    <w:p w14:paraId="0CE659DC" w14:textId="0071B338" w:rsidR="00AE57AB" w:rsidRPr="00BF281D" w:rsidRDefault="00AE57AB" w:rsidP="00AE57AB">
      <w:pPr>
        <w:rPr>
          <w:iCs/>
        </w:rPr>
      </w:pPr>
      <w:r w:rsidRPr="00BF281D">
        <w:rPr>
          <w:iCs/>
        </w:rPr>
        <w:t xml:space="preserve">Figure </w:t>
      </w:r>
      <w:r w:rsidRPr="00BF281D">
        <w:rPr>
          <w:iCs/>
        </w:rPr>
        <w:fldChar w:fldCharType="begin"/>
      </w:r>
      <w:r w:rsidRPr="00BF281D">
        <w:rPr>
          <w:iCs/>
        </w:rPr>
        <w:instrText xml:space="preserve"> SEQ Figure \* ARABIC </w:instrText>
      </w:r>
      <w:r w:rsidRPr="00BF281D">
        <w:rPr>
          <w:iCs/>
        </w:rPr>
        <w:fldChar w:fldCharType="separate"/>
      </w:r>
      <w:r w:rsidR="009B3538">
        <w:rPr>
          <w:iCs/>
          <w:noProof/>
        </w:rPr>
        <w:t>1</w:t>
      </w:r>
      <w:r w:rsidRPr="00BF281D">
        <w:fldChar w:fldCharType="end"/>
      </w:r>
      <w:r w:rsidRPr="00817682">
        <w:rPr>
          <w:iCs/>
        </w:rPr>
        <w:t xml:space="preserve"> - Three lines of defence model</w:t>
      </w:r>
    </w:p>
    <w:p w14:paraId="7C120C88" w14:textId="77777777" w:rsidR="00AE57AB" w:rsidRPr="00BF281D" w:rsidRDefault="00AE57AB" w:rsidP="00AE57AB"/>
    <w:p w14:paraId="5B77C5C6" w14:textId="77777777" w:rsidR="00AE57AB" w:rsidRPr="00BF281D" w:rsidRDefault="00AE57AB" w:rsidP="00AE57AB"/>
    <w:p w14:paraId="1CEB2D40" w14:textId="77777777" w:rsidR="00AE57AB" w:rsidRPr="00817682" w:rsidRDefault="00AE57AB" w:rsidP="00AE57AB">
      <w:r w:rsidRPr="00817682">
        <w:rPr>
          <w:noProof/>
        </w:rPr>
        <w:drawing>
          <wp:inline distT="0" distB="0" distL="0" distR="0" wp14:anchorId="7932C248" wp14:editId="6AC4F2F5">
            <wp:extent cx="5000625" cy="3468886"/>
            <wp:effectExtent l="0" t="0" r="0" b="0"/>
            <wp:docPr id="20" name="Picture 20" descr="Diagram - three lines of defenc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 three lines of defence mode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5501" cy="3472269"/>
                    </a:xfrm>
                    <a:prstGeom prst="rect">
                      <a:avLst/>
                    </a:prstGeom>
                    <a:noFill/>
                  </pic:spPr>
                </pic:pic>
              </a:graphicData>
            </a:graphic>
          </wp:inline>
        </w:drawing>
      </w:r>
    </w:p>
    <w:p w14:paraId="0533AE72" w14:textId="77777777" w:rsidR="00AE57AB" w:rsidRPr="00BF281D" w:rsidRDefault="00AE57AB" w:rsidP="00AE57AB">
      <w:pPr>
        <w:rPr>
          <w:b/>
          <w:bCs/>
          <w:i/>
        </w:rPr>
      </w:pPr>
      <w:r w:rsidRPr="00BF281D">
        <w:rPr>
          <w:bCs/>
          <w:i/>
        </w:rPr>
        <w:t>Source: Deloitte</w:t>
      </w:r>
    </w:p>
    <w:p w14:paraId="2AB7F5C0" w14:textId="77777777" w:rsidR="00AE57AB" w:rsidRPr="00BF281D" w:rsidRDefault="00AE57AB" w:rsidP="00AE57AB">
      <w:r w:rsidRPr="00BF281D">
        <w:t xml:space="preserve">It is primarily the responsibility of industry – and specifically those charged with the 1LOD of front-line operations responsibility to implement measures that reduce risk and the propensity for harm within its business. The 1LOD has a strategic control framework to promote safe systems of work and safe workplaces. NOPSEMA / Regulators can provide guidance, influence decision-makers, enforce specific actions to be undertaken or prosecute those that they have reasonable cause to believe have failed to live up to their legislative duty and community expectations, but it can only be a third line of defence. Primary responsibility remains with organisational management. </w:t>
      </w:r>
    </w:p>
    <w:p w14:paraId="03F6A3D1" w14:textId="228E75DC" w:rsidR="00E14C3C" w:rsidRPr="00BF281D" w:rsidRDefault="00E14C3C" w:rsidP="00E14C3C">
      <w:pPr>
        <w:pStyle w:val="Appendixhead2"/>
      </w:pPr>
      <w:r w:rsidRPr="00693CCA">
        <w:rPr>
          <w:color w:val="012169" w:themeColor="accent4"/>
        </w:rPr>
        <w:t>Conclusion</w:t>
      </w:r>
    </w:p>
    <w:p w14:paraId="7723F07D" w14:textId="011E800B" w:rsidR="00AE57AB" w:rsidRPr="00BF281D" w:rsidRDefault="005A4B83" w:rsidP="007D3541">
      <w:pPr>
        <w:rPr>
          <w:lang w:eastAsia="en-AU"/>
        </w:rPr>
      </w:pPr>
      <w:r w:rsidRPr="00BF281D">
        <w:rPr>
          <w:lang w:eastAsia="en-AU"/>
        </w:rPr>
        <w:t xml:space="preserve">There are a variety of approaches taken to petroleum regulation across Australia, ranging from prescriptive </w:t>
      </w:r>
      <w:r w:rsidR="008F60F9" w:rsidRPr="00BF281D">
        <w:rPr>
          <w:lang w:eastAsia="en-AU"/>
        </w:rPr>
        <w:t xml:space="preserve">to </w:t>
      </w:r>
      <w:r w:rsidR="00445FB6" w:rsidRPr="00BF281D">
        <w:rPr>
          <w:lang w:eastAsia="en-AU"/>
        </w:rPr>
        <w:t>objectives based</w:t>
      </w:r>
      <w:r w:rsidR="001B729C" w:rsidRPr="00BF281D">
        <w:rPr>
          <w:lang w:eastAsia="en-AU"/>
        </w:rPr>
        <w:t xml:space="preserve">. </w:t>
      </w:r>
      <w:r w:rsidR="00445FB6" w:rsidRPr="00BF281D">
        <w:rPr>
          <w:lang w:eastAsia="en-AU"/>
        </w:rPr>
        <w:t xml:space="preserve">In general, </w:t>
      </w:r>
      <w:r w:rsidR="00B02C7B" w:rsidRPr="00BF281D">
        <w:rPr>
          <w:lang w:eastAsia="en-AU"/>
        </w:rPr>
        <w:t xml:space="preserve">an </w:t>
      </w:r>
      <w:r w:rsidR="00224455" w:rsidRPr="00BF281D">
        <w:rPr>
          <w:lang w:eastAsia="en-AU"/>
        </w:rPr>
        <w:t>objectives-based</w:t>
      </w:r>
      <w:r w:rsidR="00B02C7B" w:rsidRPr="00BF281D">
        <w:rPr>
          <w:lang w:eastAsia="en-AU"/>
        </w:rPr>
        <w:t xml:space="preserve"> approach is considered to impose the lowest cost on industry, while </w:t>
      </w:r>
      <w:r w:rsidR="001A4999" w:rsidRPr="00BF281D">
        <w:rPr>
          <w:lang w:eastAsia="en-AU"/>
        </w:rPr>
        <w:t xml:space="preserve">more prescriptive requirements </w:t>
      </w:r>
      <w:r w:rsidR="009950B7" w:rsidRPr="00BF281D">
        <w:rPr>
          <w:lang w:eastAsia="en-AU"/>
        </w:rPr>
        <w:t xml:space="preserve">are more costly but provide more assurance. </w:t>
      </w:r>
      <w:r w:rsidR="00461C65" w:rsidRPr="00BF281D">
        <w:rPr>
          <w:lang w:eastAsia="en-AU"/>
        </w:rPr>
        <w:t xml:space="preserve">In addition, a risk-based approach to </w:t>
      </w:r>
      <w:r w:rsidR="00F76F41" w:rsidRPr="00BF281D">
        <w:rPr>
          <w:lang w:eastAsia="en-AU"/>
        </w:rPr>
        <w:t xml:space="preserve">the inspection regime </w:t>
      </w:r>
      <w:r w:rsidR="00C948BB" w:rsidRPr="00BF281D">
        <w:rPr>
          <w:lang w:eastAsia="en-AU"/>
        </w:rPr>
        <w:t xml:space="preserve">allows operators and regulators to focus time and resources </w:t>
      </w:r>
      <w:r w:rsidR="00AF475F" w:rsidRPr="00BF281D">
        <w:rPr>
          <w:lang w:eastAsia="en-AU"/>
        </w:rPr>
        <w:t xml:space="preserve">on the issues </w:t>
      </w:r>
      <w:r w:rsidR="008504C0" w:rsidRPr="00BF281D">
        <w:rPr>
          <w:lang w:eastAsia="en-AU"/>
        </w:rPr>
        <w:t>that are likely to present the most risk</w:t>
      </w:r>
      <w:r w:rsidR="00066915" w:rsidRPr="00BF281D">
        <w:rPr>
          <w:lang w:eastAsia="en-AU"/>
        </w:rPr>
        <w:t xml:space="preserve">, </w:t>
      </w:r>
      <w:r w:rsidR="00CE5CE2" w:rsidRPr="00BF281D">
        <w:rPr>
          <w:lang w:eastAsia="en-AU"/>
        </w:rPr>
        <w:t xml:space="preserve">and avoids unnecessary time spent on </w:t>
      </w:r>
      <w:r w:rsidR="000641A0" w:rsidRPr="00BF281D">
        <w:rPr>
          <w:lang w:eastAsia="en-AU"/>
        </w:rPr>
        <w:t>i</w:t>
      </w:r>
      <w:r w:rsidR="009F57B4" w:rsidRPr="00BF281D">
        <w:rPr>
          <w:lang w:eastAsia="en-AU"/>
        </w:rPr>
        <w:t>mmaterial</w:t>
      </w:r>
      <w:r w:rsidR="000641A0" w:rsidRPr="00BF281D">
        <w:rPr>
          <w:lang w:eastAsia="en-AU"/>
        </w:rPr>
        <w:t xml:space="preserve"> </w:t>
      </w:r>
      <w:r w:rsidR="00654196" w:rsidRPr="00BF281D">
        <w:rPr>
          <w:lang w:eastAsia="en-AU"/>
        </w:rPr>
        <w:t xml:space="preserve">risks. </w:t>
      </w:r>
      <w:r w:rsidR="003D7A60" w:rsidRPr="00BF281D">
        <w:rPr>
          <w:lang w:eastAsia="en-AU"/>
        </w:rPr>
        <w:t>Other jurisdictions have</w:t>
      </w:r>
      <w:r w:rsidR="00F43653" w:rsidRPr="00BF281D">
        <w:rPr>
          <w:lang w:eastAsia="en-AU"/>
        </w:rPr>
        <w:t xml:space="preserve"> also</w:t>
      </w:r>
      <w:r w:rsidR="003D7A60" w:rsidRPr="00BF281D">
        <w:rPr>
          <w:lang w:eastAsia="en-AU"/>
        </w:rPr>
        <w:t xml:space="preserve"> acknowledged that an </w:t>
      </w:r>
      <w:r w:rsidR="00224455" w:rsidRPr="00BF281D">
        <w:rPr>
          <w:lang w:eastAsia="en-AU"/>
        </w:rPr>
        <w:t>objectives-based</w:t>
      </w:r>
      <w:r w:rsidR="003D7A60" w:rsidRPr="00BF281D">
        <w:rPr>
          <w:lang w:eastAsia="en-AU"/>
        </w:rPr>
        <w:t xml:space="preserve"> approach</w:t>
      </w:r>
      <w:r w:rsidR="00757C54" w:rsidRPr="00BF281D">
        <w:rPr>
          <w:lang w:eastAsia="en-AU"/>
        </w:rPr>
        <w:t xml:space="preserve"> generally</w:t>
      </w:r>
      <w:r w:rsidR="003D7A60" w:rsidRPr="00BF281D">
        <w:rPr>
          <w:lang w:eastAsia="en-AU"/>
        </w:rPr>
        <w:t xml:space="preserve"> reduces the risk of constrained innovation. </w:t>
      </w:r>
    </w:p>
    <w:p w14:paraId="5E233546" w14:textId="15CB6006" w:rsidR="0059754A" w:rsidRPr="00BF281D" w:rsidRDefault="00114009" w:rsidP="00AE57AB">
      <w:pPr>
        <w:pStyle w:val="Appendixhead1"/>
      </w:pPr>
      <w:r w:rsidRPr="00BF281D">
        <w:lastRenderedPageBreak/>
        <w:t>Endnotes</w:t>
      </w:r>
    </w:p>
    <w:p w14:paraId="751DC518" w14:textId="3ACBE983" w:rsidR="007629C6" w:rsidRPr="00817682" w:rsidRDefault="00680CEC" w:rsidP="009B139F">
      <w:r w:rsidRPr="00817682">
        <w:rPr>
          <w:noProof/>
          <w:lang w:eastAsia="en-AU"/>
        </w:rPr>
        <mc:AlternateContent>
          <mc:Choice Requires="wps">
            <w:drawing>
              <wp:anchor distT="0" distB="0" distL="114300" distR="114300" simplePos="0" relativeHeight="251658240" behindDoc="1" locked="1" layoutInCell="1" allowOverlap="1" wp14:anchorId="1ACA805D" wp14:editId="68DC8498">
                <wp:simplePos x="0" y="0"/>
                <wp:positionH relativeFrom="page">
                  <wp:posOffset>0</wp:posOffset>
                </wp:positionH>
                <wp:positionV relativeFrom="page">
                  <wp:posOffset>0</wp:posOffset>
                </wp:positionV>
                <wp:extent cx="7563600" cy="10695600"/>
                <wp:effectExtent l="0" t="0" r="0" b="0"/>
                <wp:wrapNone/>
                <wp:docPr id="3" name="Backpag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BAEEB" id="Backpage background" o:spid="_x0000_s1026" alt="&quot;&quot;" style="position:absolute;margin-left:0;margin-top:0;width:595.55pt;height:842.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CzewIAAOcEAAAOAAAAZHJzL2Uyb0RvYy54bWysVMFu2zAMvQ/YPwi6r3ZaNEuNOkWWLsOA&#10;rC3QDjszsmwLlUVNUuJkXz9Kdrqs22lYDgJpUY/k42Oub/adZjvpvEJT8slZzpk0AitlmpJ/fVq9&#10;m3HmA5gKNBpZ8oP0/Gb+9s11bwt5ji3qSjpGIMYXvS15G4ItssyLVnbgz9BKQ5c1ug4Cua7JKgc9&#10;oXc6O8/zadajq6xDIb2nr7fDJZ8n/LqWItzXtZeB6ZJTbSGdLp2beGbzaygaB7ZVYiwD/qGKDpSh&#10;pC9QtxCAbZ36A6pTwqHHOpwJ7DKsayVk6oG6meSvunlswcrUC5Hj7QtN/v/Birvdg2OqKvkFZwY6&#10;GtEHEM8WGsk2ZDQOt6aKNPXWFxT9aB9cbNTbNYpnzwwuWzCNXHhLZJMEYmz2W3B0PD1jm/4LVpSB&#10;+D4ktva16yIY8cD2aSiHl6HIfWCCPr6/nF5Mc5qdoLtJPr26jF5MAsXxvXU+fJLYsWiU3FElCR92&#10;ax+G0GNIqh21qlZK6+S4ZrPUju2AJLJKvxHdn4Zpw3rKf5VfUimgG1K7CC5lMRixKA0UnQokZ626&#10;ks/y+ItQULQSqo+mSnYApQebGtBmJCvyM3C8wepAXDkctOqtWCnqag0+PIAjcVJ+WrhwT0etkYrC&#10;0eKsRffjb99jPGmGbjnrSewl99+34CRn+rMhNc1mV5HhcOq4U2dz6phtt0Qia0KrbUUy6bEL+mjW&#10;DrtvtJeLmDXSZQTlHggbnWUYlpA2W8jFIoXRRlgIa/NoRQSPxMWpPe2/gbPjaAPJ4g6PiwHFqwkP&#10;sfGlwcU2YK3S+KMCB15HummbkoDGzY/reuqnqF//T/OfAAAA//8DAFBLAwQUAAYACAAAACEAHMtj&#10;EOAAAAAHAQAADwAAAGRycy9kb3ducmV2LnhtbEyPzU7DMBCE70i8g7VIXBB1XKKohDhVhfjpoRdK&#10;L7058TaJaq+j2G0CT4/LBS6rWc1q5ttiOVnDzjj4zpEEMUuAIdVOd9RI2H2+3i+A+aBIK+MIJXyh&#10;h2V5fVWoXLuRPvC8DQ2LIeRzJaENoc8593WLVvmZ65Gid3CDVSGuQ8P1oMYYbg2fJ0nGreooNrSq&#10;x+cW6+P2ZCW8ZHdvh2NlNt9TKur1/n2cp+uVlLc30+oJWMAp/B3DBT+iQxmZKnci7ZmREB8Jv/Pi&#10;iUchgFVRZYv0AXhZ8P/85Q8AAAD//wMAUEsBAi0AFAAGAAgAAAAhALaDOJL+AAAA4QEAABMAAAAA&#10;AAAAAAAAAAAAAAAAAFtDb250ZW50X1R5cGVzXS54bWxQSwECLQAUAAYACAAAACEAOP0h/9YAAACU&#10;AQAACwAAAAAAAAAAAAAAAAAvAQAAX3JlbHMvLnJlbHNQSwECLQAUAAYACAAAACEAiOFgs3sCAADn&#10;BAAADgAAAAAAAAAAAAAAAAAuAgAAZHJzL2Uyb0RvYy54bWxQSwECLQAUAAYACAAAACEAHMtjEOAA&#10;AAAHAQAADwAAAAAAAAAAAAAAAADVBAAAZHJzL2Rvd25yZXYueG1sUEsFBgAAAAAEAAQA8wAAAOIF&#10;AAAAAA==&#10;" stroked="f" strokeweight="1.5pt">
                <o:lock v:ext="edit" aspectratio="t"/>
                <v:textbox inset="7pt,7pt,7pt,7pt"/>
                <w10:wrap anchorx="page" anchory="page"/>
                <w10:anchorlock/>
              </v:rect>
            </w:pict>
          </mc:Fallback>
        </mc:AlternateContent>
      </w:r>
    </w:p>
    <w:sectPr w:rsidR="007629C6" w:rsidRPr="00817682" w:rsidSect="00E21C22">
      <w:pgSz w:w="11906" w:h="16838" w:code="9"/>
      <w:pgMar w:top="1985" w:right="1559" w:bottom="1134" w:left="68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026EDB" w14:textId="77777777" w:rsidR="00FC517B" w:rsidRDefault="00FC517B" w:rsidP="00C702C7">
      <w:pPr>
        <w:spacing w:line="240" w:lineRule="auto"/>
      </w:pPr>
    </w:p>
  </w:endnote>
  <w:endnote w:type="continuationSeparator" w:id="0">
    <w:p w14:paraId="5AE8588F" w14:textId="77777777" w:rsidR="00FC517B" w:rsidRDefault="00FC517B" w:rsidP="00C702C7">
      <w:pPr>
        <w:spacing w:line="240" w:lineRule="auto"/>
      </w:pPr>
      <w:r>
        <w:continuationSeparator/>
      </w:r>
    </w:p>
  </w:endnote>
  <w:endnote w:type="continuationNotice" w:id="1">
    <w:p w14:paraId="1F209376" w14:textId="77777777" w:rsidR="00FC517B" w:rsidRDefault="00FC517B">
      <w:pPr>
        <w:spacing w:after="0" w:line="240" w:lineRule="auto"/>
      </w:pPr>
    </w:p>
  </w:endnote>
  <w:endnote w:id="2">
    <w:p w14:paraId="501BBE03" w14:textId="77777777" w:rsidR="00FC517B" w:rsidRPr="007C6973" w:rsidRDefault="00FC517B" w:rsidP="007A638D">
      <w:pPr>
        <w:pStyle w:val="EndnoteText"/>
      </w:pPr>
      <w:r>
        <w:rPr>
          <w:rStyle w:val="EndnoteReference"/>
        </w:rPr>
        <w:endnoteRef/>
      </w:r>
      <w:r>
        <w:t xml:space="preserve"> Parliament of Victoria, </w:t>
      </w:r>
      <w:r>
        <w:rPr>
          <w:i/>
          <w:iCs/>
        </w:rPr>
        <w:t>Inquiry into onshore unconventional gas in Victoria</w:t>
      </w:r>
      <w:r>
        <w:t xml:space="preserve"> (2015).</w:t>
      </w:r>
    </w:p>
  </w:endnote>
  <w:endnote w:id="3">
    <w:p w14:paraId="3F9056EB" w14:textId="77777777" w:rsidR="00FC517B" w:rsidRPr="00535B93" w:rsidRDefault="00FC517B" w:rsidP="00154E56">
      <w:pPr>
        <w:pStyle w:val="EndnoteText"/>
      </w:pPr>
      <w:r>
        <w:rPr>
          <w:rStyle w:val="EndnoteReference"/>
        </w:rPr>
        <w:endnoteRef/>
      </w:r>
      <w:r>
        <w:t xml:space="preserve"> </w:t>
      </w:r>
      <w:r>
        <w:rPr>
          <w:i/>
          <w:iCs/>
        </w:rPr>
        <w:t>Petroleum Act 1998</w:t>
      </w:r>
      <w:r>
        <w:t xml:space="preserve"> (Vic) s 13.</w:t>
      </w:r>
    </w:p>
  </w:endnote>
  <w:endnote w:id="4">
    <w:p w14:paraId="1F63598D" w14:textId="77777777" w:rsidR="00FC517B" w:rsidRDefault="00FC517B" w:rsidP="00154E56">
      <w:pPr>
        <w:pStyle w:val="EndnoteText"/>
      </w:pPr>
      <w:r>
        <w:rPr>
          <w:rStyle w:val="EndnoteReference"/>
        </w:rPr>
        <w:endnoteRef/>
      </w:r>
      <w:r>
        <w:t xml:space="preserve"> </w:t>
      </w:r>
      <w:r>
        <w:rPr>
          <w:i/>
          <w:iCs/>
        </w:rPr>
        <w:t>Petroleum Act 1998</w:t>
      </w:r>
      <w:r>
        <w:t xml:space="preserve"> (Vic) s 129.</w:t>
      </w:r>
    </w:p>
  </w:endnote>
  <w:endnote w:id="5">
    <w:p w14:paraId="3AB47222" w14:textId="29360154" w:rsidR="00FC517B" w:rsidRDefault="00FC517B">
      <w:pPr>
        <w:pStyle w:val="EndnoteText"/>
      </w:pPr>
      <w:r>
        <w:rPr>
          <w:rStyle w:val="EndnoteReference"/>
        </w:rPr>
        <w:endnoteRef/>
      </w:r>
      <w:r>
        <w:t xml:space="preserve"> Australian Energy Regulator, </w:t>
      </w:r>
      <w:r w:rsidRPr="004F0D65">
        <w:rPr>
          <w:i/>
          <w:iCs/>
        </w:rPr>
        <w:t>Victorian gas market average daily weighted prices by quarter</w:t>
      </w:r>
      <w:r>
        <w:t xml:space="preserve"> (September 2020).</w:t>
      </w:r>
    </w:p>
  </w:endnote>
  <w:endnote w:id="6">
    <w:p w14:paraId="1F05BC92" w14:textId="77777777" w:rsidR="00FC517B" w:rsidRDefault="00FC517B" w:rsidP="00C5353A">
      <w:pPr>
        <w:pStyle w:val="EndnoteText"/>
      </w:pPr>
      <w:r>
        <w:rPr>
          <w:rStyle w:val="EndnoteReference"/>
        </w:rPr>
        <w:endnoteRef/>
      </w:r>
      <w:r>
        <w:t xml:space="preserve"> Australian Energy Market Operator, </w:t>
      </w:r>
      <w:r w:rsidRPr="0053489D">
        <w:rPr>
          <w:i/>
        </w:rPr>
        <w:t>Victorian Gas Planning Report</w:t>
      </w:r>
      <w:r>
        <w:t xml:space="preserve"> (March 2021).</w:t>
      </w:r>
    </w:p>
  </w:endnote>
  <w:endnote w:id="7">
    <w:p w14:paraId="3A1FFE30" w14:textId="77777777" w:rsidR="00FC517B" w:rsidRDefault="00FC517B" w:rsidP="00C5353A">
      <w:pPr>
        <w:pStyle w:val="EndnoteText"/>
      </w:pPr>
      <w:r>
        <w:rPr>
          <w:rStyle w:val="EndnoteReference"/>
        </w:rPr>
        <w:endnoteRef/>
      </w:r>
      <w:r>
        <w:t xml:space="preserve"> Australian Energy Market Operator, </w:t>
      </w:r>
      <w:r w:rsidRPr="0053489D">
        <w:rPr>
          <w:i/>
        </w:rPr>
        <w:t>Victorian Gas Planning Report</w:t>
      </w:r>
      <w:r>
        <w:t xml:space="preserve"> (March 2020).</w:t>
      </w:r>
    </w:p>
  </w:endnote>
  <w:endnote w:id="8">
    <w:p w14:paraId="1E15DC30" w14:textId="77777777" w:rsidR="00FC517B" w:rsidRDefault="00FC517B" w:rsidP="004B5D56">
      <w:pPr>
        <w:pStyle w:val="EndnoteText"/>
      </w:pPr>
      <w:r>
        <w:rPr>
          <w:rStyle w:val="EndnoteReference"/>
        </w:rPr>
        <w:endnoteRef/>
      </w:r>
      <w:r>
        <w:t xml:space="preserve"> </w:t>
      </w:r>
      <w:r w:rsidRPr="00311F5D">
        <w:t xml:space="preserve">Department of Industry, Science, Energy and Resources, </w:t>
      </w:r>
      <w:r w:rsidRPr="0053489D">
        <w:rPr>
          <w:i/>
          <w:iCs/>
        </w:rPr>
        <w:t>Australian Energy Statistics</w:t>
      </w:r>
      <w:r w:rsidRPr="00311F5D">
        <w:t xml:space="preserve"> </w:t>
      </w:r>
      <w:r>
        <w:t>(</w:t>
      </w:r>
      <w:r w:rsidRPr="00311F5D">
        <w:t>October 2020</w:t>
      </w:r>
      <w:r>
        <w:t>).</w:t>
      </w:r>
    </w:p>
  </w:endnote>
  <w:endnote w:id="9">
    <w:p w14:paraId="47ACEE0F" w14:textId="77777777" w:rsidR="00FC517B" w:rsidRDefault="00FC517B" w:rsidP="004B5D56">
      <w:pPr>
        <w:pStyle w:val="EndnoteText"/>
      </w:pPr>
      <w:r>
        <w:rPr>
          <w:rStyle w:val="EndnoteReference"/>
        </w:rPr>
        <w:endnoteRef/>
      </w:r>
      <w:r>
        <w:t xml:space="preserve"> </w:t>
      </w:r>
      <w:r>
        <w:t xml:space="preserve">Grattan Institute, </w:t>
      </w:r>
      <w:r>
        <w:rPr>
          <w:i/>
          <w:iCs/>
        </w:rPr>
        <w:t>Flame out: the future of natural gas</w:t>
      </w:r>
      <w:r>
        <w:t xml:space="preserve"> (November 2020). </w:t>
      </w:r>
    </w:p>
  </w:endnote>
  <w:endnote w:id="10">
    <w:p w14:paraId="5035A05F" w14:textId="77777777" w:rsidR="00FC517B" w:rsidRDefault="00FC517B" w:rsidP="004B5D56">
      <w:pPr>
        <w:pStyle w:val="EndnoteText"/>
      </w:pPr>
      <w:r>
        <w:rPr>
          <w:rStyle w:val="EndnoteReference"/>
        </w:rPr>
        <w:endnoteRef/>
      </w:r>
      <w:r>
        <w:t xml:space="preserve"> Australian Energy Market Operator, </w:t>
      </w:r>
      <w:r>
        <w:rPr>
          <w:i/>
          <w:iCs/>
        </w:rPr>
        <w:t>Victorian Gas Planning Report</w:t>
      </w:r>
      <w:r>
        <w:t xml:space="preserve"> (March 2020). </w:t>
      </w:r>
    </w:p>
  </w:endnote>
  <w:endnote w:id="11">
    <w:p w14:paraId="34563E12" w14:textId="77777777" w:rsidR="00FC517B" w:rsidRDefault="00FC517B" w:rsidP="004B5D56">
      <w:pPr>
        <w:pStyle w:val="EndnoteText"/>
      </w:pPr>
      <w:r>
        <w:rPr>
          <w:rStyle w:val="EndnoteReference"/>
        </w:rPr>
        <w:endnoteRef/>
      </w:r>
      <w:r>
        <w:t xml:space="preserve"> </w:t>
      </w:r>
      <w:r w:rsidRPr="00311F5D">
        <w:t xml:space="preserve">Australian Energy Market Operator, </w:t>
      </w:r>
      <w:r w:rsidRPr="0053489D">
        <w:rPr>
          <w:i/>
          <w:iCs/>
        </w:rPr>
        <w:t>Victorian Gas Planning Report</w:t>
      </w:r>
      <w:r>
        <w:t xml:space="preserve"> (</w:t>
      </w:r>
      <w:r w:rsidRPr="00311F5D">
        <w:t>March 2020</w:t>
      </w:r>
      <w:r>
        <w:t>)</w:t>
      </w:r>
      <w:r w:rsidRPr="00311F5D">
        <w:t>.</w:t>
      </w:r>
    </w:p>
  </w:endnote>
  <w:endnote w:id="12">
    <w:p w14:paraId="41204647" w14:textId="77777777" w:rsidR="00FC517B" w:rsidRDefault="00FC517B" w:rsidP="004B5D56">
      <w:pPr>
        <w:pStyle w:val="EndnoteText"/>
      </w:pPr>
      <w:r>
        <w:rPr>
          <w:rStyle w:val="EndnoteReference"/>
        </w:rPr>
        <w:endnoteRef/>
      </w:r>
      <w:r>
        <w:t xml:space="preserve"> Bloomberg, </w:t>
      </w:r>
      <w:r w:rsidRPr="0053489D">
        <w:rPr>
          <w:i/>
          <w:iCs/>
        </w:rPr>
        <w:t>The Cleanest Fossil Fuel is Set for a Post-Pandemic Rebound</w:t>
      </w:r>
      <w:r>
        <w:t xml:space="preserve"> (2020) &lt;</w:t>
      </w:r>
      <w:r w:rsidRPr="00D04A91">
        <w:t>https://www.bloomberg.com/news/articles/2020-12-31/lng-is-back-on-path-to-global-dominance-after-pandemic-pause</w:t>
      </w:r>
      <w:r>
        <w:t xml:space="preserve">&gt;. </w:t>
      </w:r>
    </w:p>
  </w:endnote>
  <w:endnote w:id="13">
    <w:p w14:paraId="214CE55A" w14:textId="14CA9E50" w:rsidR="00FC517B" w:rsidRDefault="00FC517B">
      <w:pPr>
        <w:pStyle w:val="EndnoteText"/>
      </w:pPr>
      <w:r>
        <w:rPr>
          <w:rStyle w:val="EndnoteReference"/>
        </w:rPr>
        <w:endnoteRef/>
      </w:r>
      <w:r>
        <w:t xml:space="preserve"> </w:t>
      </w:r>
      <w:r>
        <w:rPr>
          <w:i/>
          <w:iCs/>
        </w:rPr>
        <w:t>Petroleum Act 1998</w:t>
      </w:r>
      <w:r>
        <w:t xml:space="preserve"> (Vic) s161(3).</w:t>
      </w:r>
    </w:p>
  </w:endnote>
  <w:endnote w:id="14">
    <w:p w14:paraId="0D0469E7" w14:textId="1D309C9F" w:rsidR="00FC517B" w:rsidRPr="00E62077" w:rsidRDefault="00FC517B">
      <w:pPr>
        <w:pStyle w:val="EndnoteText"/>
      </w:pPr>
      <w:r>
        <w:rPr>
          <w:rStyle w:val="EndnoteReference"/>
        </w:rPr>
        <w:endnoteRef/>
      </w:r>
      <w:r>
        <w:t xml:space="preserve"> Commissioner for Better Regulation, </w:t>
      </w:r>
      <w:r>
        <w:rPr>
          <w:i/>
          <w:iCs/>
        </w:rPr>
        <w:t>Getting the Groundwork Right</w:t>
      </w:r>
      <w:r>
        <w:t xml:space="preserve"> (2017).</w:t>
      </w:r>
    </w:p>
  </w:endnote>
  <w:endnote w:id="15">
    <w:p w14:paraId="51EA5267" w14:textId="77777777" w:rsidR="00FC517B" w:rsidRDefault="00FC517B" w:rsidP="00A31CFD">
      <w:pPr>
        <w:pStyle w:val="EndnoteText"/>
      </w:pPr>
      <w:r>
        <w:rPr>
          <w:rStyle w:val="EndnoteReference"/>
        </w:rPr>
        <w:endnoteRef/>
      </w:r>
      <w:r>
        <w:t xml:space="preserve"> Department of Finance, </w:t>
      </w:r>
      <w:r>
        <w:rPr>
          <w:i/>
          <w:iCs/>
        </w:rPr>
        <w:t>Australian Government Cost Recovery Guidelines</w:t>
      </w:r>
      <w:r>
        <w:t xml:space="preserve"> (2014).</w:t>
      </w:r>
    </w:p>
  </w:endnote>
  <w:endnote w:id="16">
    <w:p w14:paraId="256817C1" w14:textId="77777777" w:rsidR="00FC517B" w:rsidRPr="002034C1" w:rsidRDefault="00FC517B" w:rsidP="00A31CFD">
      <w:pPr>
        <w:pStyle w:val="EndnoteText"/>
      </w:pPr>
      <w:r>
        <w:rPr>
          <w:rStyle w:val="EndnoteReference"/>
        </w:rPr>
        <w:endnoteRef/>
      </w:r>
      <w:r>
        <w:t xml:space="preserve"> Department of Finance, </w:t>
      </w:r>
      <w:r>
        <w:rPr>
          <w:i/>
          <w:iCs/>
        </w:rPr>
        <w:t>Australian Government Cost Recovery Guidelines</w:t>
      </w:r>
      <w:r>
        <w:t xml:space="preserve"> (2014).</w:t>
      </w:r>
    </w:p>
  </w:endnote>
  <w:endnote w:id="17">
    <w:p w14:paraId="1FCBFF18" w14:textId="5710CE2E" w:rsidR="00FC517B" w:rsidRDefault="00FC517B">
      <w:pPr>
        <w:pStyle w:val="EndnoteText"/>
      </w:pPr>
      <w:r>
        <w:rPr>
          <w:rStyle w:val="EndnoteReference"/>
        </w:rPr>
        <w:endnoteRef/>
      </w:r>
      <w:r>
        <w:t xml:space="preserve"> </w:t>
      </w:r>
      <w:r>
        <w:rPr>
          <w:i/>
          <w:iCs/>
        </w:rPr>
        <w:t>Petroleum Act 1998</w:t>
      </w:r>
      <w:r>
        <w:t xml:space="preserve"> (Vic) s.179.</w:t>
      </w:r>
    </w:p>
    <w:p w14:paraId="1E4CC2DF" w14:textId="77777777" w:rsidR="00FC517B" w:rsidRDefault="00FC517B" w:rsidP="007B221C">
      <w:pPr>
        <w:pStyle w:val="EndnoteText"/>
      </w:pPr>
      <w:r>
        <w:rPr>
          <w:rStyle w:val="EndnoteReference"/>
        </w:rPr>
        <w:endnoteRef/>
      </w:r>
      <w:r>
        <w:t xml:space="preserve"> Queensland Government, </w:t>
      </w:r>
      <w:r w:rsidRPr="004F0D65">
        <w:rPr>
          <w:i/>
          <w:iCs/>
        </w:rPr>
        <w:t>2020 Queensland exploration program</w:t>
      </w:r>
      <w:r>
        <w:rPr>
          <w:i/>
          <w:iCs/>
        </w:rPr>
        <w:t xml:space="preserve"> </w:t>
      </w:r>
      <w:r>
        <w:t>(2020).</w:t>
      </w:r>
    </w:p>
    <w:p w14:paraId="01DCAD3F" w14:textId="77777777" w:rsidR="00FC517B" w:rsidRDefault="00FC517B" w:rsidP="007B221C">
      <w:pPr>
        <w:pStyle w:val="EndnoteText"/>
      </w:pPr>
      <w:r>
        <w:rPr>
          <w:rStyle w:val="EndnoteReference"/>
        </w:rPr>
        <w:endnoteRef/>
      </w:r>
      <w:r>
        <w:t xml:space="preserve"> D, Gagliardi, </w:t>
      </w:r>
      <w:r w:rsidRPr="004F0D65">
        <w:rPr>
          <w:i/>
          <w:iCs/>
        </w:rPr>
        <w:t>Mediation in the coal-seam gas industry: Improvements made for local stakeholders to grant a social licence</w:t>
      </w:r>
      <w:r>
        <w:t xml:space="preserve"> (2016) 27 </w:t>
      </w:r>
      <w:r>
        <w:rPr>
          <w:i/>
          <w:iCs/>
        </w:rPr>
        <w:t>Australian Dispute Resolution Journal</w:t>
      </w:r>
      <w:r>
        <w:t xml:space="preserve"> 94.</w:t>
      </w:r>
    </w:p>
    <w:p w14:paraId="09EF0143" w14:textId="77777777" w:rsidR="00FC517B" w:rsidRDefault="00FC517B" w:rsidP="007B221C">
      <w:pPr>
        <w:pStyle w:val="EndnoteText"/>
      </w:pPr>
      <w:r>
        <w:rPr>
          <w:rStyle w:val="EndnoteReference"/>
        </w:rPr>
        <w:endnoteRef/>
      </w:r>
      <w:r>
        <w:t xml:space="preserve"> University of Queensland Centre for Natural Gas, </w:t>
      </w:r>
      <w:r w:rsidRPr="004F0D65">
        <w:rPr>
          <w:i/>
          <w:iCs/>
        </w:rPr>
        <w:t>Natural gas social licence: how Queensland stacks up</w:t>
      </w:r>
      <w:r>
        <w:t xml:space="preserve"> (2020).</w:t>
      </w:r>
    </w:p>
    <w:p w14:paraId="311023BC" w14:textId="77777777" w:rsidR="00FC517B" w:rsidRDefault="00FC517B" w:rsidP="007B221C">
      <w:pPr>
        <w:pStyle w:val="EndnoteText"/>
      </w:pPr>
      <w:r>
        <w:rPr>
          <w:rStyle w:val="EndnoteReference"/>
        </w:rPr>
        <w:endnoteRef/>
      </w:r>
      <w:r>
        <w:t xml:space="preserve"> Australian Petroleum Production &amp; Exploration Association, </w:t>
      </w:r>
      <w:r w:rsidRPr="004F0D65">
        <w:rPr>
          <w:i/>
          <w:iCs/>
        </w:rPr>
        <w:t>Submission to the Review of Commonwealth Petroleum Resource Taxes</w:t>
      </w:r>
      <w:r>
        <w:t xml:space="preserve"> (2017).</w:t>
      </w:r>
    </w:p>
    <w:p w14:paraId="5337BD33" w14:textId="77777777" w:rsidR="00FC517B" w:rsidRDefault="00FC517B" w:rsidP="007B221C">
      <w:pPr>
        <w:pStyle w:val="EndnoteText"/>
      </w:pPr>
      <w:r>
        <w:rPr>
          <w:rStyle w:val="EndnoteReference"/>
        </w:rPr>
        <w:endnoteRef/>
      </w:r>
      <w:r>
        <w:t xml:space="preserve"> R, Williams and A, Walton, </w:t>
      </w:r>
      <w:r w:rsidRPr="004F0D65">
        <w:rPr>
          <w:i/>
          <w:iCs/>
        </w:rPr>
        <w:t>The Social Licence to Operate and Coal Seam Gas Development</w:t>
      </w:r>
      <w:r>
        <w:rPr>
          <w:i/>
          <w:iCs/>
        </w:rPr>
        <w:t xml:space="preserve"> </w:t>
      </w:r>
      <w:r>
        <w:t>(2013).</w:t>
      </w:r>
    </w:p>
    <w:p w14:paraId="1C623D49" w14:textId="70DEAA9E" w:rsidR="00FC517B" w:rsidRDefault="00FC517B" w:rsidP="007B221C">
      <w:pPr>
        <w:pStyle w:val="EndnoteText"/>
      </w:pPr>
      <w:r>
        <w:rPr>
          <w:rStyle w:val="EndnoteReference"/>
        </w:rPr>
        <w:endnoteRef/>
      </w:r>
      <w:r>
        <w:t xml:space="preserve"> Business Queensland, </w:t>
      </w:r>
      <w:r>
        <w:rPr>
          <w:i/>
          <w:iCs/>
        </w:rPr>
        <w:t>Legislative obligations and safety requirements for petroleum and gas</w:t>
      </w:r>
      <w:r>
        <w:t>, Queensland Government (2020) &lt;</w:t>
      </w:r>
      <w:hyperlink r:id="rId1" w:history="1">
        <w:r w:rsidRPr="001528D0">
          <w:rPr>
            <w:rStyle w:val="Hyperlink"/>
            <w:color w:val="012169" w:themeColor="accent4"/>
          </w:rPr>
          <w:t>https://www.business.qld.gov.au/industries/mining-energy-water/resources/safety-health/petroleum-gas/regulation/standards-codes</w:t>
        </w:r>
      </w:hyperlink>
      <w:r>
        <w:t>&gt;.</w:t>
      </w:r>
    </w:p>
    <w:p w14:paraId="17C549B2" w14:textId="1540A005" w:rsidR="00FC517B" w:rsidRDefault="00FC517B">
      <w:pPr>
        <w:pStyle w:val="EndnoteText"/>
      </w:pPr>
      <w:r>
        <w:rPr>
          <w:rStyle w:val="EndnoteReference"/>
        </w:rPr>
        <w:endnoteRef/>
      </w:r>
      <w:r>
        <w:t xml:space="preserve"> Resources Safety and Health - Department of Natural Resources, Mines and Energy, </w:t>
      </w:r>
      <w:r w:rsidRPr="004F0D65">
        <w:rPr>
          <w:i/>
          <w:iCs/>
        </w:rPr>
        <w:t>Performance Accountability Framework 2019-19 Self-Assessment Report</w:t>
      </w:r>
      <w:r>
        <w:t xml:space="preserve"> (2019).</w:t>
      </w:r>
    </w:p>
  </w:endnote>
  <w:endnote w:id="18">
    <w:p w14:paraId="475D463F" w14:textId="77777777" w:rsidR="00FC517B" w:rsidRPr="00EF5762" w:rsidRDefault="00FC517B">
      <w:pPr>
        <w:pStyle w:val="EndnoteText"/>
      </w:pPr>
      <w:r>
        <w:rPr>
          <w:rStyle w:val="EndnoteReference"/>
        </w:rPr>
        <w:endnoteRef/>
      </w:r>
      <w:r>
        <w:t xml:space="preserve"> Department of Finance, Services and Innovation NSW, </w:t>
      </w:r>
      <w:r>
        <w:rPr>
          <w:i/>
          <w:iCs/>
        </w:rPr>
        <w:t xml:space="preserve">Guidance for regulators to implement outcomes and risk-based regulation </w:t>
      </w:r>
      <w:r>
        <w:t>(2016).</w:t>
      </w:r>
    </w:p>
  </w:endnote>
  <w:endnote w:id="19">
    <w:p w14:paraId="5E6E10F3" w14:textId="77777777" w:rsidR="00FC517B" w:rsidRPr="00EF5762" w:rsidRDefault="00FC517B" w:rsidP="00E2440D">
      <w:pPr>
        <w:pStyle w:val="EndnoteText"/>
      </w:pPr>
      <w:r>
        <w:rPr>
          <w:rStyle w:val="EndnoteReference"/>
        </w:rPr>
        <w:endnoteRef/>
      </w:r>
      <w:r>
        <w:t xml:space="preserve"> Department of Finance, Services and Innovation NSW, </w:t>
      </w:r>
      <w:r>
        <w:rPr>
          <w:i/>
          <w:iCs/>
        </w:rPr>
        <w:t xml:space="preserve">Guidance for regulators to implement outcomes and risk-based regulation </w:t>
      </w:r>
      <w:r>
        <w:t>(2016).</w:t>
      </w:r>
    </w:p>
  </w:endnote>
  <w:endnote w:id="20">
    <w:p w14:paraId="6EF6EC53" w14:textId="77777777" w:rsidR="00FC517B" w:rsidRPr="005C7941" w:rsidRDefault="00FC517B" w:rsidP="00032EDD">
      <w:pPr>
        <w:pStyle w:val="EndnoteText"/>
      </w:pPr>
      <w:r>
        <w:rPr>
          <w:rStyle w:val="EndnoteReference"/>
        </w:rPr>
        <w:endnoteRef/>
      </w:r>
      <w:r>
        <w:t xml:space="preserve"> OECD, </w:t>
      </w:r>
      <w:r>
        <w:rPr>
          <w:i/>
          <w:iCs/>
        </w:rPr>
        <w:t xml:space="preserve">Reviews of Regulatory Reform: Regulatory Policies in OECD Countries </w:t>
      </w:r>
      <w:r>
        <w:t>(2002).</w:t>
      </w:r>
    </w:p>
  </w:endnote>
  <w:endnote w:id="21">
    <w:p w14:paraId="54401935" w14:textId="77777777" w:rsidR="00FC517B" w:rsidRDefault="00FC517B" w:rsidP="00AE57AB">
      <w:pPr>
        <w:pStyle w:val="EndnoteText"/>
      </w:pPr>
      <w:r>
        <w:rPr>
          <w:rStyle w:val="EndnoteReference"/>
        </w:rPr>
        <w:endnoteRef/>
      </w:r>
      <w:r>
        <w:t xml:space="preserve"> Queensland Government, </w:t>
      </w:r>
      <w:r w:rsidRPr="004F0D65">
        <w:rPr>
          <w:i/>
          <w:iCs/>
        </w:rPr>
        <w:t>2020 Queensland exploration program</w:t>
      </w:r>
      <w:r>
        <w:rPr>
          <w:i/>
          <w:iCs/>
        </w:rPr>
        <w:t xml:space="preserve"> </w:t>
      </w:r>
      <w:r>
        <w:t>(2020).</w:t>
      </w:r>
    </w:p>
  </w:endnote>
  <w:endnote w:id="22">
    <w:p w14:paraId="3A13F838" w14:textId="77777777" w:rsidR="00FC517B" w:rsidRDefault="00FC517B" w:rsidP="00AE57AB">
      <w:pPr>
        <w:pStyle w:val="EndnoteText"/>
      </w:pPr>
      <w:r>
        <w:rPr>
          <w:rStyle w:val="EndnoteReference"/>
        </w:rPr>
        <w:endnoteRef/>
      </w:r>
      <w:r>
        <w:t xml:space="preserve"> D, Gagliardi, </w:t>
      </w:r>
      <w:r w:rsidRPr="004F0D65">
        <w:rPr>
          <w:i/>
          <w:iCs/>
        </w:rPr>
        <w:t>Mediation in the coal-seam gas industry: Improvements made for local stakeholders to grant a social licence</w:t>
      </w:r>
      <w:r>
        <w:t xml:space="preserve"> (2016) 27 </w:t>
      </w:r>
      <w:r>
        <w:rPr>
          <w:i/>
          <w:iCs/>
        </w:rPr>
        <w:t>Australian Dispute Resolution Journal</w:t>
      </w:r>
      <w:r>
        <w:t xml:space="preserve"> 94.</w:t>
      </w:r>
    </w:p>
  </w:endnote>
  <w:endnote w:id="23">
    <w:p w14:paraId="2B2660C0" w14:textId="77777777" w:rsidR="00FC517B" w:rsidRDefault="00FC517B" w:rsidP="00AE57AB">
      <w:pPr>
        <w:pStyle w:val="EndnoteText"/>
      </w:pPr>
      <w:r>
        <w:rPr>
          <w:rStyle w:val="EndnoteReference"/>
        </w:rPr>
        <w:endnoteRef/>
      </w:r>
      <w:r>
        <w:t xml:space="preserve"> University of Queensland Centre for Natural Gas, </w:t>
      </w:r>
      <w:r w:rsidRPr="004F0D65">
        <w:rPr>
          <w:i/>
          <w:iCs/>
        </w:rPr>
        <w:t>Natural gas social licence: how Queensland stacks up</w:t>
      </w:r>
      <w:r>
        <w:t xml:space="preserve"> (2020).</w:t>
      </w:r>
    </w:p>
  </w:endnote>
  <w:endnote w:id="24">
    <w:p w14:paraId="7A5A6882" w14:textId="77777777" w:rsidR="00FC517B" w:rsidRDefault="00FC517B" w:rsidP="00AE57AB">
      <w:pPr>
        <w:pStyle w:val="EndnoteText"/>
      </w:pPr>
      <w:r>
        <w:rPr>
          <w:rStyle w:val="EndnoteReference"/>
        </w:rPr>
        <w:endnoteRef/>
      </w:r>
      <w:r>
        <w:t xml:space="preserve"> Australian Petroleum Production &amp; Exploration Association, </w:t>
      </w:r>
      <w:r w:rsidRPr="004F0D65">
        <w:rPr>
          <w:i/>
          <w:iCs/>
        </w:rPr>
        <w:t>Submission to the Review of Commonwealth Petroleum Resource Taxes</w:t>
      </w:r>
      <w:r>
        <w:t xml:space="preserve"> (2017).</w:t>
      </w:r>
    </w:p>
  </w:endnote>
  <w:endnote w:id="25">
    <w:p w14:paraId="79683D5B" w14:textId="77777777" w:rsidR="00FC517B" w:rsidRDefault="00FC517B" w:rsidP="00AE57AB">
      <w:pPr>
        <w:pStyle w:val="EndnoteText"/>
      </w:pPr>
      <w:r>
        <w:rPr>
          <w:rStyle w:val="EndnoteReference"/>
        </w:rPr>
        <w:endnoteRef/>
      </w:r>
      <w:r>
        <w:t xml:space="preserve"> R, Williams and A, Walton, </w:t>
      </w:r>
      <w:r w:rsidRPr="004F0D65">
        <w:rPr>
          <w:i/>
          <w:iCs/>
        </w:rPr>
        <w:t>The Social Licence to Operate and Coal Seam Gas Development</w:t>
      </w:r>
      <w:r>
        <w:rPr>
          <w:i/>
          <w:iCs/>
        </w:rPr>
        <w:t xml:space="preserve"> </w:t>
      </w:r>
      <w:r>
        <w:t>(2013).</w:t>
      </w:r>
    </w:p>
  </w:endnote>
  <w:endnote w:id="26">
    <w:p w14:paraId="2F06CF42" w14:textId="77777777" w:rsidR="00FC517B" w:rsidRDefault="00FC517B" w:rsidP="00AE57AB">
      <w:pPr>
        <w:pStyle w:val="EndnoteText"/>
      </w:pPr>
      <w:r>
        <w:rPr>
          <w:rStyle w:val="EndnoteReference"/>
        </w:rPr>
        <w:endnoteRef/>
      </w:r>
      <w:r>
        <w:t xml:space="preserve"> Business Queensland, </w:t>
      </w:r>
      <w:r>
        <w:rPr>
          <w:i/>
          <w:iCs/>
        </w:rPr>
        <w:t>Legislative obligations and safety requirements for petroleum and gas</w:t>
      </w:r>
      <w:r>
        <w:t>, Queensland Government (2020) &lt;</w:t>
      </w:r>
      <w:hyperlink r:id="rId2" w:history="1">
        <w:r w:rsidRPr="001528D0">
          <w:rPr>
            <w:rStyle w:val="Hyperlink"/>
            <w:color w:val="012169" w:themeColor="accent4"/>
          </w:rPr>
          <w:t>https://www.business.qld.gov.au/industries/mining-energy-water/resources/safety-health/petroleum-gas/regulation/standards-codes</w:t>
        </w:r>
      </w:hyperlink>
      <w:r>
        <w:t>&gt;.</w:t>
      </w:r>
    </w:p>
  </w:endnote>
  <w:endnote w:id="27">
    <w:p w14:paraId="13CD8EAA" w14:textId="7E0B1400" w:rsidR="00FC517B" w:rsidRDefault="00FC517B" w:rsidP="00AE57AB">
      <w:pPr>
        <w:pStyle w:val="EndnoteText"/>
      </w:pPr>
      <w:r>
        <w:rPr>
          <w:rStyle w:val="EndnoteReference"/>
        </w:rPr>
        <w:endnoteRef/>
      </w:r>
      <w:r>
        <w:t xml:space="preserve"> Resources Safety and Health - Department of Natural Resources, Mines and Energy, </w:t>
      </w:r>
      <w:r w:rsidRPr="004F0D65">
        <w:rPr>
          <w:i/>
          <w:iCs/>
        </w:rPr>
        <w:t>Performance Accountability Framework 2019-19 Self-Assessment Report</w:t>
      </w:r>
      <w:r>
        <w:t xml:space="preserve"> (2019).</w:t>
      </w:r>
    </w:p>
  </w:endnote>
  <w:endnote w:id="28">
    <w:p w14:paraId="4FE6CAE0" w14:textId="77777777" w:rsidR="00FC517B" w:rsidRDefault="00FC517B" w:rsidP="00AE57AB">
      <w:pPr>
        <w:pStyle w:val="EndnoteText"/>
      </w:pPr>
      <w:r>
        <w:rPr>
          <w:rStyle w:val="EndnoteReference"/>
        </w:rPr>
        <w:endnoteRef/>
      </w:r>
      <w:r>
        <w:t xml:space="preserve"> Department of Mines, Industry Regulation and Safety, </w:t>
      </w:r>
      <w:r>
        <w:rPr>
          <w:i/>
          <w:iCs/>
        </w:rPr>
        <w:t>Exploration Incentive Scheme (EIS)</w:t>
      </w:r>
      <w:r>
        <w:t xml:space="preserve"> (2021) &lt;</w:t>
      </w:r>
      <w:hyperlink r:id="rId3" w:history="1">
        <w:r w:rsidRPr="001528D0">
          <w:rPr>
            <w:rStyle w:val="Hyperlink"/>
            <w:color w:val="012169" w:themeColor="accent4"/>
          </w:rPr>
          <w:t>http://www.dmp.wa.gov.au/Geological-Survey/Exploration-Incentive-Scheme-1428.aspx</w:t>
        </w:r>
      </w:hyperlink>
      <w:r>
        <w:t>&gt;.</w:t>
      </w:r>
    </w:p>
  </w:endnote>
  <w:endnote w:id="29">
    <w:p w14:paraId="6401D947" w14:textId="77777777" w:rsidR="00FC517B" w:rsidRDefault="00FC517B" w:rsidP="00AE57AB">
      <w:pPr>
        <w:pStyle w:val="EndnoteText"/>
      </w:pPr>
      <w:r>
        <w:rPr>
          <w:rStyle w:val="EndnoteReference"/>
        </w:rPr>
        <w:endnoteRef/>
      </w:r>
      <w:r>
        <w:t xml:space="preserve"> Department of Jobs, Tourism, Science and Innovation, </w:t>
      </w:r>
      <w:r>
        <w:rPr>
          <w:i/>
          <w:iCs/>
        </w:rPr>
        <w:t>WA Domestic Gas Policy</w:t>
      </w:r>
      <w:r>
        <w:t xml:space="preserve"> (2020) &lt;</w:t>
      </w:r>
      <w:hyperlink r:id="rId4" w:history="1">
        <w:r w:rsidRPr="001528D0">
          <w:rPr>
            <w:rStyle w:val="Hyperlink"/>
            <w:color w:val="012169" w:themeColor="accent4"/>
          </w:rPr>
          <w:t>https://www.wa.gov.au/government/publications/wa-domestic-gas-policy</w:t>
        </w:r>
      </w:hyperlink>
      <w:r>
        <w:t>&gt;.</w:t>
      </w:r>
    </w:p>
  </w:endnote>
  <w:endnote w:id="30">
    <w:p w14:paraId="35F953D5" w14:textId="77777777" w:rsidR="00FC517B" w:rsidRDefault="00FC517B" w:rsidP="00AE57AB">
      <w:pPr>
        <w:pStyle w:val="EndnoteText"/>
      </w:pPr>
      <w:r>
        <w:rPr>
          <w:rStyle w:val="EndnoteReference"/>
        </w:rPr>
        <w:endnoteRef/>
      </w:r>
      <w:r>
        <w:t xml:space="preserve"> DMIRS, </w:t>
      </w:r>
      <w:r>
        <w:rPr>
          <w:i/>
          <w:iCs/>
        </w:rPr>
        <w:t>Petroleum Royalties</w:t>
      </w:r>
      <w:r>
        <w:t xml:space="preserve"> (Webpage, 2021) &lt;</w:t>
      </w:r>
      <w:hyperlink r:id="rId5" w:history="1">
        <w:r w:rsidRPr="001528D0">
          <w:rPr>
            <w:rStyle w:val="Hyperlink"/>
            <w:color w:val="012169" w:themeColor="accent4"/>
          </w:rPr>
          <w:t>https://www.dmp.wa.gov.au/Petroleum/Royalties-1578.aspx</w:t>
        </w:r>
      </w:hyperlink>
      <w:r>
        <w:t>&gt;.</w:t>
      </w:r>
    </w:p>
  </w:endnote>
  <w:endnote w:id="31">
    <w:p w14:paraId="3911E074" w14:textId="77777777" w:rsidR="00FC517B" w:rsidRDefault="00FC517B" w:rsidP="00AE57AB">
      <w:pPr>
        <w:pStyle w:val="EndnoteText"/>
      </w:pPr>
      <w:r>
        <w:rPr>
          <w:rStyle w:val="EndnoteReference"/>
        </w:rPr>
        <w:endnoteRef/>
      </w:r>
      <w:r>
        <w:t xml:space="preserve"> R, Bruce, </w:t>
      </w:r>
      <w:r w:rsidRPr="004F0D65">
        <w:rPr>
          <w:i/>
          <w:iCs/>
        </w:rPr>
        <w:t>Five year petroleum acreage release strategy</w:t>
      </w:r>
      <w:r>
        <w:rPr>
          <w:i/>
          <w:iCs/>
        </w:rPr>
        <w:t xml:space="preserve"> </w:t>
      </w:r>
      <w:r>
        <w:t>(2017).</w:t>
      </w:r>
    </w:p>
  </w:endnote>
  <w:endnote w:id="32">
    <w:p w14:paraId="7DDCA651" w14:textId="77777777" w:rsidR="00FC517B" w:rsidRPr="007921A7" w:rsidRDefault="00FC517B" w:rsidP="00AE57AB">
      <w:pPr>
        <w:pStyle w:val="EndnoteText"/>
      </w:pPr>
      <w:r>
        <w:rPr>
          <w:rStyle w:val="EndnoteReference"/>
        </w:rPr>
        <w:endnoteRef/>
      </w:r>
      <w:r>
        <w:t xml:space="preserve"> WA Government, </w:t>
      </w:r>
      <w:r w:rsidRPr="004F0D65">
        <w:rPr>
          <w:i/>
          <w:iCs/>
        </w:rPr>
        <w:t>WA Domestic Gas Policy</w:t>
      </w:r>
      <w:r>
        <w:t xml:space="preserve"> (2021) &lt;</w:t>
      </w:r>
      <w:r w:rsidRPr="007921A7">
        <w:t xml:space="preserve"> </w:t>
      </w:r>
      <w:hyperlink r:id="rId6" w:history="1">
        <w:r w:rsidRPr="001528D0">
          <w:rPr>
            <w:rStyle w:val="Hyperlink"/>
            <w:color w:val="012169" w:themeColor="accent4"/>
          </w:rPr>
          <w:t>https://www.wa.gov.au/government/publications/wa-domestic-gas-policy</w:t>
        </w:r>
      </w:hyperlink>
      <w:r>
        <w:t>&gt;.</w:t>
      </w:r>
    </w:p>
  </w:endnote>
  <w:endnote w:id="33">
    <w:p w14:paraId="14E56C03" w14:textId="77777777" w:rsidR="00FC517B" w:rsidRDefault="00FC517B" w:rsidP="00AE57AB">
      <w:pPr>
        <w:pStyle w:val="EndnoteText"/>
      </w:pPr>
      <w:r>
        <w:rPr>
          <w:rStyle w:val="EndnoteReference"/>
        </w:rPr>
        <w:endnoteRef/>
      </w:r>
      <w:r>
        <w:t xml:space="preserve"> Brueckner et al, </w:t>
      </w:r>
      <w:r w:rsidRPr="004F0D65">
        <w:rPr>
          <w:i/>
          <w:iCs/>
        </w:rPr>
        <w:t>The civic virtue of developmentalism: on the mining industry's political licence to develop Western Australia</w:t>
      </w:r>
      <w:r>
        <w:t xml:space="preserve"> (2014) 32(4) </w:t>
      </w:r>
      <w:r>
        <w:rPr>
          <w:i/>
          <w:iCs/>
        </w:rPr>
        <w:t>Impact Assessment and Project Appraisal</w:t>
      </w:r>
      <w:r>
        <w:t xml:space="preserve"> 315.</w:t>
      </w:r>
    </w:p>
  </w:endnote>
  <w:endnote w:id="34">
    <w:p w14:paraId="406D68DC" w14:textId="77777777" w:rsidR="00FC517B" w:rsidRDefault="00FC517B" w:rsidP="00AE57AB">
      <w:pPr>
        <w:pStyle w:val="EndnoteText"/>
      </w:pPr>
      <w:r>
        <w:rPr>
          <w:rStyle w:val="EndnoteReference"/>
        </w:rPr>
        <w:endnoteRef/>
      </w:r>
      <w:r>
        <w:t xml:space="preserve"> DMIRS, </w:t>
      </w:r>
      <w:r>
        <w:rPr>
          <w:i/>
          <w:iCs/>
        </w:rPr>
        <w:t>Strategic Plan Towards 2024</w:t>
      </w:r>
      <w:r>
        <w:t xml:space="preserve"> (2020) &lt;</w:t>
      </w:r>
      <w:hyperlink r:id="rId7" w:history="1">
        <w:r w:rsidRPr="001528D0">
          <w:rPr>
            <w:rStyle w:val="Hyperlink"/>
            <w:color w:val="012169" w:themeColor="accent4"/>
          </w:rPr>
          <w:t>https://www.commerce.wa.gov.au/sites/default/files/atoms/files/towards2024_0.pdf</w:t>
        </w:r>
      </w:hyperlink>
      <w:r>
        <w:t>&gt;.</w:t>
      </w:r>
    </w:p>
  </w:endnote>
  <w:endnote w:id="35">
    <w:p w14:paraId="405C9B7C" w14:textId="77777777" w:rsidR="00FC517B" w:rsidRDefault="00FC517B" w:rsidP="00AE57AB">
      <w:pPr>
        <w:pStyle w:val="EndnoteText"/>
      </w:pPr>
      <w:r>
        <w:rPr>
          <w:rStyle w:val="EndnoteReference"/>
        </w:rPr>
        <w:endnoteRef/>
      </w:r>
      <w:r>
        <w:t xml:space="preserve"> Australian Energy Council, </w:t>
      </w:r>
      <w:r w:rsidRPr="004F0D65">
        <w:rPr>
          <w:i/>
          <w:iCs/>
        </w:rPr>
        <w:t>Review of South Australia’s Energy Plans</w:t>
      </w:r>
      <w:r>
        <w:t xml:space="preserve"> (2018) &lt;</w:t>
      </w:r>
      <w:r w:rsidRPr="000C59A0">
        <w:t xml:space="preserve"> </w:t>
      </w:r>
      <w:hyperlink r:id="rId8" w:history="1">
        <w:r w:rsidRPr="001528D0">
          <w:rPr>
            <w:rStyle w:val="Hyperlink"/>
            <w:color w:val="012169" w:themeColor="accent4"/>
          </w:rPr>
          <w:t>https://www.energycouncil.com.au/media/11669/20180206-sa-energy-plan-review-final.pdf</w:t>
        </w:r>
      </w:hyperlink>
      <w:r>
        <w:t xml:space="preserve"> &gt;.</w:t>
      </w:r>
    </w:p>
  </w:endnote>
  <w:endnote w:id="36">
    <w:p w14:paraId="3BC5BC8A" w14:textId="77777777" w:rsidR="00FC517B" w:rsidRPr="00754241" w:rsidRDefault="00FC517B" w:rsidP="00AE57AB">
      <w:pPr>
        <w:pStyle w:val="EndnoteText"/>
      </w:pPr>
      <w:r>
        <w:rPr>
          <w:rStyle w:val="EndnoteReference"/>
        </w:rPr>
        <w:endnoteRef/>
      </w:r>
      <w:r>
        <w:t xml:space="preserve"> Economics Consulting Services, </w:t>
      </w:r>
      <w:r>
        <w:rPr>
          <w:i/>
          <w:iCs/>
        </w:rPr>
        <w:t>The Evaluation of the Plan for Accelerating Exploration (PACE)</w:t>
      </w:r>
      <w:r>
        <w:t xml:space="preserve"> (2014).</w:t>
      </w:r>
    </w:p>
  </w:endnote>
  <w:endnote w:id="37">
    <w:p w14:paraId="2BDEC177" w14:textId="77777777" w:rsidR="00FC517B" w:rsidRDefault="00FC517B" w:rsidP="00AE57AB">
      <w:pPr>
        <w:pStyle w:val="EndnoteText"/>
      </w:pPr>
      <w:r>
        <w:rPr>
          <w:rStyle w:val="EndnoteReference"/>
        </w:rPr>
        <w:endnoteRef/>
      </w:r>
      <w:r>
        <w:t xml:space="preserve"> Department of Energy and Mining, </w:t>
      </w:r>
      <w:r w:rsidRPr="004F0D65">
        <w:rPr>
          <w:i/>
          <w:iCs/>
        </w:rPr>
        <w:t>Applications now open for $24 million in gas extraction grants</w:t>
      </w:r>
      <w:r>
        <w:t xml:space="preserve"> (Webpage, 2021) &lt; </w:t>
      </w:r>
      <w:hyperlink r:id="rId9" w:history="1">
        <w:r w:rsidRPr="001528D0">
          <w:rPr>
            <w:rStyle w:val="Hyperlink"/>
            <w:color w:val="012169" w:themeColor="accent4"/>
          </w:rPr>
          <w:t>https://www.energymining.sa.gov.au/minerals/latest_updates/applications_now_open_for_$24_million_in_gas_extraction_grants</w:t>
        </w:r>
      </w:hyperlink>
      <w:r>
        <w:t xml:space="preserve"> &gt;</w:t>
      </w:r>
    </w:p>
  </w:endnote>
  <w:endnote w:id="38">
    <w:p w14:paraId="1BB0C913" w14:textId="77777777" w:rsidR="00FC517B" w:rsidRDefault="00FC517B" w:rsidP="00AE57AB">
      <w:pPr>
        <w:pStyle w:val="EndnoteText"/>
      </w:pPr>
      <w:r>
        <w:rPr>
          <w:rStyle w:val="EndnoteReference"/>
        </w:rPr>
        <w:endnoteRef/>
      </w:r>
      <w:r>
        <w:t xml:space="preserve"> Department of Industry, Science, Energy and Resources, </w:t>
      </w:r>
      <w:r w:rsidRPr="004F0D65">
        <w:rPr>
          <w:i/>
          <w:iCs/>
        </w:rPr>
        <w:t>Resources Sector Regulation Draft Report</w:t>
      </w:r>
      <w:r>
        <w:t xml:space="preserve"> (2020) &lt; </w:t>
      </w:r>
      <w:hyperlink r:id="rId10" w:history="1">
        <w:r w:rsidRPr="001528D0">
          <w:rPr>
            <w:rStyle w:val="Hyperlink"/>
            <w:color w:val="012169" w:themeColor="accent4"/>
          </w:rPr>
          <w:t>https://www.pc.gov.au/inquiries/completed/resources/draft/resources-draft-overview.pdf</w:t>
        </w:r>
      </w:hyperlink>
      <w:r>
        <w:t xml:space="preserve"> &gt;.</w:t>
      </w:r>
    </w:p>
  </w:endnote>
  <w:endnote w:id="39">
    <w:p w14:paraId="681EA562" w14:textId="77777777" w:rsidR="00FC517B" w:rsidRDefault="00FC517B" w:rsidP="00AE57AB">
      <w:pPr>
        <w:pStyle w:val="EndnoteText"/>
      </w:pPr>
      <w:r>
        <w:rPr>
          <w:rStyle w:val="EndnoteReference"/>
        </w:rPr>
        <w:endnoteRef/>
      </w:r>
      <w:r>
        <w:t xml:space="preserve"> Government of South Australia, </w:t>
      </w:r>
      <w:r w:rsidRPr="004F0D65">
        <w:rPr>
          <w:i/>
          <w:iCs/>
        </w:rPr>
        <w:t>South Australian Multiple Land Use Framework</w:t>
      </w:r>
      <w:r>
        <w:rPr>
          <w:i/>
          <w:iCs/>
        </w:rPr>
        <w:t xml:space="preserve"> </w:t>
      </w:r>
      <w:r>
        <w:t xml:space="preserve">(2017) &lt; </w:t>
      </w:r>
      <w:hyperlink r:id="rId11" w:history="1">
        <w:r w:rsidRPr="001528D0">
          <w:rPr>
            <w:rStyle w:val="Hyperlink"/>
            <w:color w:val="012169" w:themeColor="accent4"/>
          </w:rPr>
          <w:t>http://assets.yoursay.sa.gov.au.s3.amazonaws.com/production/2017/02/14/02/04/54/0b18f662-4c27-42fc-9b35-37500e09a5f7/South%20Australian%20Multiple%20Land%20Use%20Framework.pdf</w:t>
        </w:r>
      </w:hyperlink>
      <w:r>
        <w:t xml:space="preserve"> &gt;.</w:t>
      </w:r>
    </w:p>
  </w:endnote>
  <w:endnote w:id="40">
    <w:p w14:paraId="7ABB8560" w14:textId="77777777" w:rsidR="00FC517B" w:rsidRDefault="00FC517B" w:rsidP="00AE57AB">
      <w:pPr>
        <w:pStyle w:val="EndnoteText"/>
      </w:pPr>
      <w:r>
        <w:rPr>
          <w:rStyle w:val="EndnoteReference"/>
        </w:rPr>
        <w:endnoteRef/>
      </w:r>
      <w:r>
        <w:t xml:space="preserve"> CSIRO Gas Industry Social and Environmental Research Alliance, </w:t>
      </w:r>
      <w:r w:rsidRPr="004F0D65">
        <w:rPr>
          <w:i/>
          <w:iCs/>
        </w:rPr>
        <w:t>Community wellbeing and local  attitudes to conventional gas  development in the South</w:t>
      </w:r>
      <w:r w:rsidRPr="004F0D65">
        <w:rPr>
          <w:rFonts w:ascii="Cambria Math" w:hAnsi="Cambria Math" w:cs="Cambria Math"/>
          <w:i/>
          <w:iCs/>
        </w:rPr>
        <w:t>‐</w:t>
      </w:r>
      <w:r w:rsidRPr="004F0D65">
        <w:rPr>
          <w:i/>
          <w:iCs/>
        </w:rPr>
        <w:t>East</w:t>
      </w:r>
      <w:r w:rsidRPr="004F0D65">
        <w:rPr>
          <w:rFonts w:cs="Verdana"/>
          <w:i/>
          <w:iCs/>
        </w:rPr>
        <w:t> </w:t>
      </w:r>
      <w:r w:rsidRPr="004F0D65">
        <w:rPr>
          <w:i/>
          <w:iCs/>
        </w:rPr>
        <w:t xml:space="preserve"> of South Australia</w:t>
      </w:r>
      <w:r>
        <w:t xml:space="preserve"> (2020), &lt; </w:t>
      </w:r>
      <w:hyperlink r:id="rId12" w:history="1">
        <w:r w:rsidRPr="001528D0">
          <w:rPr>
            <w:rStyle w:val="Hyperlink"/>
            <w:color w:val="012169" w:themeColor="accent4"/>
          </w:rPr>
          <w:t>https://gisera.csiro.au/wp-content/uploads/2020/05/GISERA-Community-attitudes-south-east-SA_final-6.pdf</w:t>
        </w:r>
      </w:hyperlink>
      <w:r>
        <w:t xml:space="preserve"> &gt;.</w:t>
      </w:r>
    </w:p>
  </w:endnote>
  <w:endnote w:id="41">
    <w:p w14:paraId="06F8BFD8" w14:textId="77777777" w:rsidR="00FC517B" w:rsidRDefault="00FC517B" w:rsidP="00AE57AB">
      <w:pPr>
        <w:pStyle w:val="EndnoteText"/>
      </w:pPr>
      <w:r>
        <w:rPr>
          <w:rStyle w:val="EndnoteReference"/>
        </w:rPr>
        <w:endnoteRef/>
      </w:r>
      <w:r>
        <w:t xml:space="preserve"> Petroleum and Geothermal Energy Regulations 2013, s86A.</w:t>
      </w:r>
    </w:p>
  </w:endnote>
  <w:endnote w:id="42">
    <w:p w14:paraId="0FE480A3" w14:textId="77777777" w:rsidR="00FC517B" w:rsidRDefault="00FC517B" w:rsidP="00AE57AB">
      <w:pPr>
        <w:pStyle w:val="EndnoteText"/>
      </w:pPr>
      <w:r>
        <w:rPr>
          <w:rStyle w:val="EndnoteReference"/>
        </w:rPr>
        <w:endnoteRef/>
      </w:r>
      <w:r>
        <w:t xml:space="preserve"> Department for Energy and Mining, </w:t>
      </w:r>
      <w:r w:rsidRPr="004F0D65">
        <w:rPr>
          <w:i/>
          <w:iCs/>
        </w:rPr>
        <w:t>Criteria for classifying the level of environmental impact of regulated activities (</w:t>
      </w:r>
      <w:r>
        <w:t xml:space="preserve">2019) &lt; </w:t>
      </w:r>
      <w:hyperlink r:id="rId13" w:history="1">
        <w:r w:rsidRPr="001528D0">
          <w:rPr>
            <w:rStyle w:val="Hyperlink"/>
            <w:color w:val="012169" w:themeColor="accent4"/>
          </w:rPr>
          <w:t>https://sarigbasis.pir.sa.gov.au/WebtopEw/ws/samref/sarig1/image/DDD/PGRG004.pdf</w:t>
        </w:r>
      </w:hyperlink>
      <w:r>
        <w:t xml:space="preserve"> &gt;.</w:t>
      </w:r>
    </w:p>
  </w:endnote>
  <w:endnote w:id="43">
    <w:p w14:paraId="4C27A569" w14:textId="77777777" w:rsidR="00FC517B" w:rsidRDefault="00FC517B" w:rsidP="00AE57AB">
      <w:pPr>
        <w:pStyle w:val="EndnoteText"/>
      </w:pPr>
      <w:r>
        <w:rPr>
          <w:rStyle w:val="EndnoteReference"/>
        </w:rPr>
        <w:endnoteRef/>
      </w:r>
      <w:r>
        <w:t xml:space="preserve"> Department for Energy and Mining, </w:t>
      </w:r>
      <w:r w:rsidRPr="004F0D65">
        <w:rPr>
          <w:i/>
          <w:iCs/>
        </w:rPr>
        <w:t>Guidelines</w:t>
      </w:r>
      <w:r>
        <w:t xml:space="preserve"> (2020) &lt; </w:t>
      </w:r>
      <w:hyperlink r:id="rId14" w:history="1">
        <w:r w:rsidRPr="001528D0">
          <w:rPr>
            <w:rStyle w:val="Hyperlink"/>
            <w:color w:val="012169" w:themeColor="accent4"/>
          </w:rPr>
          <w:t>https://www.petroleum.sa.gov.au/regulation/policies-and-guidelines/guidelines</w:t>
        </w:r>
      </w:hyperlink>
      <w:r>
        <w:t xml:space="preserve"> &gt;.</w:t>
      </w:r>
    </w:p>
  </w:endnote>
  <w:endnote w:id="44">
    <w:p w14:paraId="28018FD4" w14:textId="77777777" w:rsidR="00FC517B" w:rsidRDefault="00FC517B" w:rsidP="00AE57AB">
      <w:pPr>
        <w:pStyle w:val="EndnoteText"/>
      </w:pPr>
      <w:r>
        <w:rPr>
          <w:rStyle w:val="EndnoteReference"/>
        </w:rPr>
        <w:endnoteRef/>
      </w:r>
      <w:r>
        <w:t xml:space="preserve"> Northern Territory Government, </w:t>
      </w:r>
      <w:r w:rsidRPr="004F0D65">
        <w:rPr>
          <w:i/>
          <w:iCs/>
        </w:rPr>
        <w:t>About Resourcing the Territory</w:t>
      </w:r>
      <w:r>
        <w:t xml:space="preserve"> (September 2020) &lt; </w:t>
      </w:r>
      <w:hyperlink r:id="rId15" w:history="1">
        <w:r w:rsidRPr="001528D0">
          <w:rPr>
            <w:rStyle w:val="Hyperlink"/>
            <w:color w:val="012169" w:themeColor="accent4"/>
          </w:rPr>
          <w:t>https://resourcingtheterritory.nt.gov.au/about</w:t>
        </w:r>
      </w:hyperlink>
      <w:r>
        <w:t xml:space="preserve"> &gt;.</w:t>
      </w:r>
    </w:p>
  </w:endnote>
  <w:endnote w:id="45">
    <w:p w14:paraId="5EF773F5" w14:textId="77777777" w:rsidR="00FC517B" w:rsidRDefault="00FC517B" w:rsidP="00AE57AB">
      <w:pPr>
        <w:pStyle w:val="EndnoteText"/>
      </w:pPr>
      <w:r>
        <w:rPr>
          <w:rStyle w:val="EndnoteReference"/>
        </w:rPr>
        <w:endnoteRef/>
      </w:r>
      <w:r>
        <w:t xml:space="preserve"> Northern Territory Government, </w:t>
      </w:r>
      <w:r w:rsidRPr="004F0D65">
        <w:rPr>
          <w:i/>
          <w:iCs/>
        </w:rPr>
        <w:t>Previous Initiatives</w:t>
      </w:r>
      <w:r>
        <w:rPr>
          <w:i/>
          <w:iCs/>
        </w:rPr>
        <w:t xml:space="preserve"> </w:t>
      </w:r>
      <w:r>
        <w:t xml:space="preserve">(2019) &lt; </w:t>
      </w:r>
      <w:hyperlink r:id="rId16" w:history="1">
        <w:r w:rsidRPr="001528D0">
          <w:rPr>
            <w:rStyle w:val="Hyperlink"/>
            <w:color w:val="012169" w:themeColor="accent4"/>
          </w:rPr>
          <w:t>https://resourcingtheterritory.nt.gov.au/about/previous-initiatives</w:t>
        </w:r>
      </w:hyperlink>
      <w:r>
        <w:t xml:space="preserve"> &gt;.</w:t>
      </w:r>
    </w:p>
  </w:endnote>
  <w:endnote w:id="46">
    <w:p w14:paraId="562863D5" w14:textId="77777777" w:rsidR="00FC517B" w:rsidRDefault="00FC517B" w:rsidP="00AE57AB">
      <w:pPr>
        <w:pStyle w:val="EndnoteText"/>
      </w:pPr>
      <w:r>
        <w:rPr>
          <w:rStyle w:val="EndnoteReference"/>
        </w:rPr>
        <w:endnoteRef/>
      </w:r>
      <w:r>
        <w:t xml:space="preserve"> Pepper et al.</w:t>
      </w:r>
      <w:r>
        <w:t xml:space="preserve">,  </w:t>
      </w:r>
      <w:r w:rsidRPr="004F0D65">
        <w:rPr>
          <w:i/>
          <w:iCs/>
        </w:rPr>
        <w:t>The Scientific Inquiry into Hydraulic Fracking in the Northern Territory</w:t>
      </w:r>
      <w:r>
        <w:rPr>
          <w:i/>
          <w:iCs/>
        </w:rPr>
        <w:t xml:space="preserve"> </w:t>
      </w:r>
      <w:r>
        <w:t xml:space="preserve">(2018) &lt; </w:t>
      </w:r>
      <w:hyperlink r:id="rId17" w:history="1">
        <w:r w:rsidRPr="001528D0">
          <w:rPr>
            <w:rStyle w:val="Hyperlink"/>
            <w:color w:val="012169" w:themeColor="accent4"/>
          </w:rPr>
          <w:t>https://frackinginquiry.nt.gov.au/inquiry-reports?a=494286</w:t>
        </w:r>
      </w:hyperlink>
      <w:r>
        <w:t xml:space="preserve"> &gt;.</w:t>
      </w:r>
    </w:p>
  </w:endnote>
  <w:endnote w:id="47">
    <w:p w14:paraId="668AB672" w14:textId="77777777" w:rsidR="00FC517B" w:rsidRDefault="00FC517B" w:rsidP="00AE57AB">
      <w:pPr>
        <w:pStyle w:val="EndnoteText"/>
      </w:pPr>
      <w:r>
        <w:rPr>
          <w:rStyle w:val="EndnoteReference"/>
        </w:rPr>
        <w:endnoteRef/>
      </w:r>
      <w:r>
        <w:t xml:space="preserve"> Department of Business, </w:t>
      </w:r>
      <w:r w:rsidRPr="004F0D65">
        <w:rPr>
          <w:i/>
          <w:iCs/>
        </w:rPr>
        <w:t>Building Northern Territory Industry Participation Policy</w:t>
      </w:r>
      <w:r>
        <w:t xml:space="preserve"> (2020) &lt; </w:t>
      </w:r>
      <w:hyperlink r:id="rId18" w:history="1">
        <w:r w:rsidRPr="001528D0">
          <w:rPr>
            <w:rStyle w:val="Hyperlink"/>
            <w:color w:val="012169" w:themeColor="accent4"/>
          </w:rPr>
          <w:t>https://industry.nt.gov.au/__data/assets/pdf_file/0007/663586/BNTIP_policy.pdf</w:t>
        </w:r>
      </w:hyperlink>
      <w:r>
        <w:t xml:space="preserve"> &gt;.</w:t>
      </w:r>
    </w:p>
  </w:endnote>
  <w:endnote w:id="48">
    <w:p w14:paraId="72862BF9" w14:textId="77777777" w:rsidR="00FC517B" w:rsidRDefault="00FC517B" w:rsidP="00AE57AB">
      <w:pPr>
        <w:pStyle w:val="EndnoteText"/>
      </w:pPr>
      <w:r>
        <w:rPr>
          <w:rStyle w:val="EndnoteReference"/>
        </w:rPr>
        <w:endnoteRef/>
      </w:r>
      <w:r>
        <w:t xml:space="preserve"> Department of Trade, Business and Innovation, </w:t>
      </w:r>
      <w:r w:rsidRPr="004F0D65">
        <w:rPr>
          <w:i/>
          <w:iCs/>
        </w:rPr>
        <w:t>Territory Benefit Policy</w:t>
      </w:r>
      <w:r>
        <w:rPr>
          <w:i/>
          <w:iCs/>
        </w:rPr>
        <w:t xml:space="preserve"> </w:t>
      </w:r>
      <w:r>
        <w:t xml:space="preserve">(2019) &lt; </w:t>
      </w:r>
      <w:hyperlink r:id="rId19" w:history="1">
        <w:r w:rsidRPr="001528D0">
          <w:rPr>
            <w:rStyle w:val="Hyperlink"/>
            <w:color w:val="012169" w:themeColor="accent4"/>
          </w:rPr>
          <w:t>https://industry.nt.gov.au/__data/assets/pdf_file/0008/664127/territory-benefit-policy.pdf</w:t>
        </w:r>
      </w:hyperlink>
      <w:r>
        <w:t xml:space="preserve"> &gt;.</w:t>
      </w:r>
    </w:p>
  </w:endnote>
  <w:endnote w:id="49">
    <w:p w14:paraId="2051D344" w14:textId="77777777" w:rsidR="00FC517B" w:rsidRDefault="00FC517B" w:rsidP="00AE57AB">
      <w:pPr>
        <w:pStyle w:val="EndnoteText"/>
      </w:pPr>
      <w:r>
        <w:rPr>
          <w:rStyle w:val="EndnoteReference"/>
        </w:rPr>
        <w:endnoteRef/>
      </w:r>
      <w:r>
        <w:t xml:space="preserve"> University of Queensland Centre for Social Responsibility in Mining, </w:t>
      </w:r>
      <w:r w:rsidRPr="00BF4CCA">
        <w:rPr>
          <w:i/>
          <w:iCs/>
        </w:rPr>
        <w:t>A framework for Social Impact Assessment of shale gas development in the Northern Territory</w:t>
      </w:r>
      <w:r>
        <w:t xml:space="preserve"> (2018) &lt; </w:t>
      </w:r>
      <w:hyperlink r:id="rId20" w:history="1">
        <w:r w:rsidRPr="001528D0">
          <w:rPr>
            <w:rStyle w:val="Hyperlink"/>
            <w:color w:val="012169" w:themeColor="accent4"/>
          </w:rPr>
          <w:t>https://frackinginquiry.nt.gov.au/inquiry-reports?a=476740</w:t>
        </w:r>
      </w:hyperlink>
      <w:r>
        <w:t xml:space="preserve"> &gt;.</w:t>
      </w:r>
    </w:p>
  </w:endnote>
  <w:endnote w:id="50">
    <w:p w14:paraId="7E228914" w14:textId="77777777" w:rsidR="00FC517B" w:rsidRDefault="00FC517B" w:rsidP="00AE57AB">
      <w:pPr>
        <w:pStyle w:val="EndnoteText"/>
      </w:pPr>
      <w:r>
        <w:rPr>
          <w:rStyle w:val="EndnoteReference"/>
        </w:rPr>
        <w:endnoteRef/>
      </w:r>
      <w:r>
        <w:t xml:space="preserve"> Northern Territory Government, </w:t>
      </w:r>
      <w:r w:rsidRPr="00BF4CCA">
        <w:rPr>
          <w:i/>
          <w:iCs/>
        </w:rPr>
        <w:t>Code of Practice: Onshore Petroleum Activities in the Northern Territory</w:t>
      </w:r>
      <w:r>
        <w:t xml:space="preserve"> (2019) &lt; </w:t>
      </w:r>
      <w:hyperlink r:id="rId21" w:history="1">
        <w:r w:rsidRPr="001528D0">
          <w:rPr>
            <w:rStyle w:val="Hyperlink"/>
            <w:color w:val="012169" w:themeColor="accent4"/>
          </w:rPr>
          <w:t>https://depws.nt.gov.au/__data/assets/pdf_file/0011/705890/code-of-practice-onshore-petroleum-activity-nt.pdf</w:t>
        </w:r>
      </w:hyperlink>
      <w:r>
        <w:t xml:space="preserve"> &gt;.</w:t>
      </w:r>
    </w:p>
  </w:endnote>
  <w:endnote w:id="51">
    <w:p w14:paraId="0DF1B902" w14:textId="77777777" w:rsidR="00FC517B" w:rsidRDefault="00FC517B" w:rsidP="00AE57AB">
      <w:pPr>
        <w:pStyle w:val="EndnoteText"/>
      </w:pPr>
      <w:r>
        <w:rPr>
          <w:rStyle w:val="EndnoteReference"/>
        </w:rPr>
        <w:endnoteRef/>
      </w:r>
      <w:r>
        <w:t xml:space="preserve"> Northern Territory Government Department of Primary Industry and Resources, </w:t>
      </w:r>
      <w:r w:rsidRPr="00BF4CCA">
        <w:rPr>
          <w:i/>
          <w:iCs/>
        </w:rPr>
        <w:t>Schedule of Onshore Petroleum Exploration and Production Requirements</w:t>
      </w:r>
      <w:r>
        <w:t xml:space="preserve"> (2019) &lt; </w:t>
      </w:r>
      <w:hyperlink r:id="rId22" w:history="1">
        <w:r w:rsidRPr="001528D0">
          <w:rPr>
            <w:rStyle w:val="Hyperlink"/>
            <w:color w:val="012169" w:themeColor="accent4"/>
          </w:rPr>
          <w:t>https://nt.gov.au/__data/assets/pdf_file/0004/295906/schedule-of-petroleum-onshore-requirements.pdf</w:t>
        </w:r>
      </w:hyperlink>
      <w:r>
        <w:t xml:space="preserve"> &gt;.</w:t>
      </w:r>
    </w:p>
  </w:endnote>
  <w:endnote w:id="52">
    <w:p w14:paraId="0D533535" w14:textId="77777777" w:rsidR="00FC517B" w:rsidRDefault="00FC517B" w:rsidP="00AE57AB">
      <w:pPr>
        <w:pStyle w:val="EndnoteText"/>
      </w:pPr>
      <w:r>
        <w:rPr>
          <w:rStyle w:val="EndnoteReference"/>
        </w:rPr>
        <w:endnoteRef/>
      </w:r>
      <w:r>
        <w:t xml:space="preserve"> Fraser Institute, </w:t>
      </w:r>
      <w:r w:rsidRPr="00BF4CCA">
        <w:rPr>
          <w:i/>
          <w:iCs/>
        </w:rPr>
        <w:t>Annual Survey of Mining Companies 2019</w:t>
      </w:r>
      <w:r>
        <w:t xml:space="preserve"> (2020) &lt; </w:t>
      </w:r>
      <w:hyperlink r:id="rId23" w:history="1">
        <w:r w:rsidRPr="001528D0">
          <w:rPr>
            <w:rStyle w:val="Hyperlink"/>
            <w:color w:val="012169" w:themeColor="accent4"/>
          </w:rPr>
          <w:t>https://www.fraserinstitute.org/sites/default/files/annual-survey-of-mining-companies-2019.pdf</w:t>
        </w:r>
      </w:hyperlink>
      <w:r>
        <w:t xml:space="preserve"> &gt;.</w:t>
      </w:r>
    </w:p>
  </w:endnote>
  <w:endnote w:id="53">
    <w:p w14:paraId="4C2CDD90" w14:textId="77777777" w:rsidR="00FC517B" w:rsidRDefault="00FC517B" w:rsidP="00AE57AB">
      <w:pPr>
        <w:pStyle w:val="EndnoteText"/>
      </w:pPr>
      <w:r>
        <w:rPr>
          <w:rStyle w:val="EndnoteReference"/>
        </w:rPr>
        <w:endnoteRef/>
      </w:r>
      <w:r>
        <w:t xml:space="preserve"> New South Wales Government Mining, Exploration and Geoscience, </w:t>
      </w:r>
      <w:r w:rsidRPr="00BF4CCA">
        <w:rPr>
          <w:i/>
          <w:iCs/>
        </w:rPr>
        <w:t>New Frontiers Cooperative Drilling</w:t>
      </w:r>
      <w:r>
        <w:t xml:space="preserve"> (2020) </w:t>
      </w:r>
      <w:r w:rsidRPr="00B87F8E">
        <w:t xml:space="preserve"> </w:t>
      </w:r>
      <w:r>
        <w:t xml:space="preserve">&lt; </w:t>
      </w:r>
      <w:hyperlink r:id="rId24" w:history="1">
        <w:r w:rsidRPr="001528D0">
          <w:rPr>
            <w:rStyle w:val="Hyperlink"/>
            <w:color w:val="012169" w:themeColor="accent4"/>
          </w:rPr>
          <w:t>https://www.resourcesandgeoscience.nsw.gov.au/miners-and-explorers/programs-and-initiatives/new-frontiers-cooperative-drilling</w:t>
        </w:r>
      </w:hyperlink>
      <w:r>
        <w:t xml:space="preserve"> &gt;.</w:t>
      </w:r>
    </w:p>
  </w:endnote>
  <w:endnote w:id="54">
    <w:p w14:paraId="6E369E7C" w14:textId="518FAF37" w:rsidR="00FC517B" w:rsidRDefault="00FC517B">
      <w:pPr>
        <w:pStyle w:val="EndnoteText"/>
      </w:pPr>
      <w:r>
        <w:rPr>
          <w:rStyle w:val="EndnoteReference"/>
        </w:rPr>
        <w:endnoteRef/>
      </w:r>
      <w:r>
        <w:t xml:space="preserve"> Strategic regional land use policy, NSW Government, 2012, at &lt;</w:t>
      </w:r>
      <w:hyperlink r:id="rId25" w:history="1">
        <w:r w:rsidRPr="001528D0">
          <w:rPr>
            <w:rStyle w:val="Hyperlink"/>
            <w:color w:val="012169" w:themeColor="accent4"/>
          </w:rPr>
          <w:t>https://www.resourcesandgeoscience.nsw.gov.au/landholders-and-community/coal-seam-gas/codes-and-policies/strategic-regional-land-use-policy</w:t>
        </w:r>
      </w:hyperlink>
      <w:r>
        <w:t xml:space="preserve">&gt; </w:t>
      </w:r>
    </w:p>
  </w:endnote>
  <w:endnote w:id="55">
    <w:p w14:paraId="703CB6B3" w14:textId="77777777" w:rsidR="00FC517B" w:rsidRDefault="00FC517B" w:rsidP="00AE57AB">
      <w:pPr>
        <w:pStyle w:val="EndnoteText"/>
      </w:pPr>
      <w:r>
        <w:rPr>
          <w:rStyle w:val="EndnoteReference"/>
        </w:rPr>
        <w:endnoteRef/>
      </w:r>
      <w:r>
        <w:t xml:space="preserve"> New South Wales Government Department of Industry, Resources &amp; Energy, </w:t>
      </w:r>
      <w:r w:rsidRPr="00BF4CCA">
        <w:rPr>
          <w:i/>
          <w:iCs/>
        </w:rPr>
        <w:t xml:space="preserve">Exploration code of practice: Community consultation </w:t>
      </w:r>
      <w:r>
        <w:t xml:space="preserve">(2016) &lt; </w:t>
      </w:r>
      <w:hyperlink r:id="rId26" w:history="1">
        <w:r w:rsidRPr="001528D0">
          <w:rPr>
            <w:rStyle w:val="Hyperlink"/>
            <w:color w:val="012169" w:themeColor="accent4"/>
          </w:rPr>
          <w:t>https://www.resourcesandgeoscience.nsw.gov.au/miners-and-explorers/enforcement/community-consultation-guidelines</w:t>
        </w:r>
      </w:hyperlink>
      <w:r>
        <w:t xml:space="preserve"> &gt;.</w:t>
      </w:r>
    </w:p>
  </w:endnote>
  <w:endnote w:id="56">
    <w:p w14:paraId="6439E59D" w14:textId="77777777" w:rsidR="00FC517B" w:rsidRDefault="00FC517B" w:rsidP="00AE57AB">
      <w:pPr>
        <w:pStyle w:val="EndnoteText"/>
      </w:pPr>
      <w:r>
        <w:rPr>
          <w:rStyle w:val="EndnoteReference"/>
        </w:rPr>
        <w:endnoteRef/>
      </w:r>
      <w:r>
        <w:t xml:space="preserve"> Australian Government Productivity Commission, </w:t>
      </w:r>
      <w:r w:rsidRPr="00BF4CCA">
        <w:rPr>
          <w:i/>
          <w:iCs/>
        </w:rPr>
        <w:t>Resources Sector Regulation – Study Report</w:t>
      </w:r>
      <w:r>
        <w:t xml:space="preserve"> (2020) &lt; </w:t>
      </w:r>
      <w:hyperlink r:id="rId27" w:history="1">
        <w:r w:rsidRPr="001528D0">
          <w:rPr>
            <w:rStyle w:val="Hyperlink"/>
            <w:color w:val="012169" w:themeColor="accent4"/>
          </w:rPr>
          <w:t>https://www.pc.gov.au/inquiries/completed/resources/report/resources.pdf</w:t>
        </w:r>
      </w:hyperlink>
      <w:r>
        <w:t xml:space="preserve"> &gt;.</w:t>
      </w:r>
    </w:p>
  </w:endnote>
  <w:endnote w:id="57">
    <w:p w14:paraId="1C2AAA27" w14:textId="77777777" w:rsidR="00FC517B" w:rsidRDefault="00FC517B" w:rsidP="00AE57AB">
      <w:pPr>
        <w:pStyle w:val="EndnoteText"/>
      </w:pPr>
      <w:r>
        <w:rPr>
          <w:rStyle w:val="EndnoteReference"/>
        </w:rPr>
        <w:endnoteRef/>
      </w:r>
      <w:r>
        <w:t xml:space="preserve"> NSW Government, </w:t>
      </w:r>
      <w:r w:rsidRPr="00BF4CCA">
        <w:rPr>
          <w:i/>
          <w:iCs/>
        </w:rPr>
        <w:t>Final Implementation of the NSW Gas plan</w:t>
      </w:r>
      <w:r>
        <w:t xml:space="preserve"> (2016) &lt; </w:t>
      </w:r>
      <w:hyperlink r:id="rId28" w:history="1">
        <w:r w:rsidRPr="001528D0">
          <w:rPr>
            <w:rStyle w:val="Hyperlink"/>
            <w:color w:val="012169" w:themeColor="accent4"/>
          </w:rPr>
          <w:t>http://www.resourcesandenergy.nsw.gov.au/__data/assets/pdf_file/0020/581600/FINAL-Implementation-of-the-NSW-Gas-Plan.pdf</w:t>
        </w:r>
      </w:hyperlink>
      <w:r>
        <w:t xml:space="preserve"> &gt;.</w:t>
      </w:r>
    </w:p>
  </w:endnote>
  <w:endnote w:id="58">
    <w:p w14:paraId="5C340B89" w14:textId="063C9755" w:rsidR="00FC517B" w:rsidRDefault="00FC517B" w:rsidP="00AE57AB">
      <w:pPr>
        <w:pStyle w:val="EndnoteText"/>
        <w:rPr>
          <w:rStyle w:val="Hyperlink"/>
        </w:rPr>
      </w:pPr>
      <w:r>
        <w:rPr>
          <w:rStyle w:val="EndnoteReference"/>
        </w:rPr>
        <w:endnoteRef/>
      </w:r>
      <w:r>
        <w:t xml:space="preserve"> National Offshore Petroleum Titles Administrator, </w:t>
      </w:r>
      <w:r>
        <w:rPr>
          <w:i/>
          <w:iCs/>
        </w:rPr>
        <w:t xml:space="preserve">Offshore </w:t>
      </w:r>
      <w:r w:rsidRPr="00B125B7">
        <w:rPr>
          <w:i/>
          <w:iCs/>
        </w:rPr>
        <w:t xml:space="preserve">petroleum and greenhouse gas storage guidelines </w:t>
      </w:r>
      <w:r w:rsidRPr="00B125B7">
        <w:t xml:space="preserve">(2020) &lt; </w:t>
      </w:r>
      <w:hyperlink r:id="rId29" w:history="1">
        <w:r w:rsidRPr="001528D0">
          <w:rPr>
            <w:rStyle w:val="Hyperlink"/>
            <w:color w:val="012169" w:themeColor="accent4"/>
          </w:rPr>
          <w:t>https://www.nopta.gov.au/guidelines-and-factsheets/offshore-petroleum-guidelines.html</w:t>
        </w:r>
      </w:hyperlink>
      <w:r w:rsidRPr="001528D0">
        <w:rPr>
          <w:rStyle w:val="Hyperlink"/>
          <w:color w:val="012169" w:themeColor="accent4"/>
        </w:rPr>
        <w:t xml:space="preserve"> &gt;.</w:t>
      </w:r>
      <w:r>
        <w:rPr>
          <w:rStyle w:val="Hyperlink"/>
        </w:rPr>
        <w:t xml:space="preserve"> </w:t>
      </w:r>
    </w:p>
    <w:p w14:paraId="653F06C0" w14:textId="3DF2D7B4" w:rsidR="00FC517B" w:rsidRDefault="00FC517B" w:rsidP="00AE57AB">
      <w:pPr>
        <w:pStyle w:val="EndnoteText"/>
      </w:pPr>
    </w:p>
    <w:p w14:paraId="013C82ED" w14:textId="09777ACB" w:rsidR="00FC517B" w:rsidRDefault="00FC517B" w:rsidP="00AE57AB">
      <w:pPr>
        <w:pStyle w:val="EndnoteText"/>
      </w:pPr>
    </w:p>
    <w:p w14:paraId="47AE762B" w14:textId="0AF82C59" w:rsidR="00FC517B" w:rsidRDefault="00FC517B" w:rsidP="00AE57AB">
      <w:pPr>
        <w:pStyle w:val="EndnoteText"/>
      </w:pPr>
    </w:p>
    <w:p w14:paraId="6DCA1085" w14:textId="7BE8B560" w:rsidR="00FC517B" w:rsidRDefault="00FC517B" w:rsidP="00AE57AB">
      <w:pPr>
        <w:pStyle w:val="EndnoteText"/>
      </w:pPr>
    </w:p>
    <w:p w14:paraId="298315D8" w14:textId="77777777" w:rsidR="00FC517B" w:rsidRDefault="00FC517B" w:rsidP="00AE57A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00000001"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AF781" w14:textId="77777777" w:rsidR="00FC517B" w:rsidRDefault="00FC51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ayout w:type="fixed"/>
      <w:tblLook w:val="04A0" w:firstRow="1" w:lastRow="0" w:firstColumn="1" w:lastColumn="0" w:noHBand="0" w:noVBand="1"/>
    </w:tblPr>
    <w:tblGrid>
      <w:gridCol w:w="3544"/>
      <w:gridCol w:w="7002"/>
    </w:tblGrid>
    <w:tr w:rsidR="00FC517B" w14:paraId="18A15929"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0698ADC0" w14:textId="67FC1379" w:rsidR="00FC517B" w:rsidRDefault="00FC517B" w:rsidP="00536AB8">
          <w:pPr>
            <w:pStyle w:val="Footer"/>
          </w:pPr>
          <w:r>
            <w:rPr>
              <w:noProof/>
            </w:rPr>
            <mc:AlternateContent>
              <mc:Choice Requires="wps">
                <w:drawing>
                  <wp:inline distT="0" distB="0" distL="0" distR="0" wp14:anchorId="4C83E678" wp14:editId="53BF721C">
                    <wp:extent cx="7772400" cy="177165"/>
                    <wp:effectExtent l="0" t="0" r="0" b="13335"/>
                    <wp:docPr id="6" name="MSIPCMf8024166a73cbb0e8e1443ae"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771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807FB1" w14:textId="05C45F2C" w:rsidR="00FC517B" w:rsidRPr="005C5486" w:rsidRDefault="00FC517B" w:rsidP="005C5486">
                                <w:pPr>
                                  <w:spacing w:after="0"/>
                                  <w:rPr>
                                    <w:rFonts w:ascii="Calibri" w:hAnsi="Calibri" w:cs="Calibri"/>
                                    <w:color w:val="000000"/>
                                    <w:sz w:val="22"/>
                                  </w:rPr>
                                </w:pPr>
                                <w:r w:rsidRPr="005C5486">
                                  <w:rPr>
                                    <w:rFonts w:ascii="Calibri" w:hAnsi="Calibri" w:cs="Calibri"/>
                                    <w:color w:val="000000"/>
                                    <w:sz w:val="22"/>
                                  </w:rPr>
                                  <w:t>OFFICIAL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inline>
                </w:drawing>
              </mc:Choice>
              <mc:Fallback>
                <w:pict>
                  <v:shapetype w14:anchorId="4C83E678" id="_x0000_t202" coordsize="21600,21600" o:spt="202" path="m,l,21600r21600,l21600,xe">
                    <v:stroke joinstyle="miter"/>
                    <v:path gradientshapeok="t" o:connecttype="rect"/>
                  </v:shapetype>
                  <v:shape id="MSIPCMf8024166a73cbb0e8e1443ae" o:spid="_x0000_s1028" type="#_x0000_t202" alt="{&quot;HashCode&quot;:-1267603503,&quot;Height&quot;:9999999.0,&quot;Width&quot;:9999999.0,&quot;Placement&quot;:&quot;Footer&quot;,&quot;Index&quot;:&quot;Primary&quot;,&quot;Section&quot;:1,&quot;Top&quot;:0.0,&quot;Left&quot;:0.0}" style="width:612pt;height:1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VIrAIAAE4FAAAOAAAAZHJzL2Uyb0RvYy54bWysVN1v0zAQf0fif7D8wBM0Sds1IyydSqfC&#10;pG6r1KE9u47TREp8nu0uKYj/nbOTdDDgBZEH5758H7+788VlW1fkSWhTgkxpNAopEZJDVsp9Sr/c&#10;r96dU2IskxmrQIqUHoWhl/PXry4alYgxFFBlQhN0Ik3SqJQW1qokCAwvRM3MCJSQqMxB18wiq/dB&#10;plmD3usqGIfhLGhAZ0oDF8ag9KpT0rn3n+eC27s8N8KSKqWYm/Wn9ufOncH8giV7zVRR8j4N9g9Z&#10;1KyUGPTk6opZRg66/M1VXXINBnI74lAHkOclF74GrCYKX1SzLZgSvhYEx6gTTOb/ueW3TxtNyiyl&#10;M0okq7FFN9vrzfImPw/H02g2Y/GE73ahOBfRdDphgpJMGI4IfnvzeAD74TMzxRIy0XHJu2g8i2fh&#10;5CycvO0NRLkvbK9+332jsFc+lJkt/qLbVIyLWsjhbme2ArBCd3Tv5Fpmou2ddL+NLmumj79YbXEW&#10;cEh7u6i/ew+ql4SnpNYiH2Ki8LubkUaZBKHaKgTLth+hxVkf5AaFrvVtrmv3x6YS1OO0HU8TJlpL&#10;OArjOB5PQ1Rx1EVxHM3OnJvg+bbSxn4SUBNHpFRj1n6w2NPa2M50MHHBJKzKqvJTXEnSYBsRen/h&#10;pEHnlcQYroYuV0fZdtf2he0gO2JdGrrtMIqvSgy+ZsZumMZ1wHxxxe0dHnkFGAR6ipIC9Nc/yZ09&#10;TilqKWlwvVJqHg9M4/hU1xLnd3yGMLiF9BwSeiB2AyEP9RJwbSN8QRT3pLOz1UDmGuoHXP+FC4Uq&#10;JjkGTCm3emCWFnlU4QPCxWLhaVw8xexabhV3zh2KDtH79oFp1cNusWG3MOwfS16g39m6m0YtDhZ7&#10;4FvjcO3A7OHGpfXN7R8Y9yr8zHur52dw/gMAAP//AwBQSwMEFAAGAAgAAAAhAF7da2faAAAABQEA&#10;AA8AAABkcnMvZG93bnJldi54bWxMjk1Lw0AQhu+C/2EZwZvdGMSPmE0R8YtCD7a9eJtmx2wwOxuy&#10;myb+e6de9DLw8r4885TL2XfqQENsAxu4XGSgiOtgW24M7LbPF7egYkK22AUmA98UYVmdnpRY2DDx&#10;Ox02qVEC4VigAZdSX2gda0ce4yL0xNJ9hsFjkjg02g44Cdx3Os+ya+2xZfngsKdHR/XXZvQGst22&#10;6XN8XY3rqf5g/eRWby+zMedn88M9qERz+hvDUV/UoRKnfRjZRtUJQ3a/99jl+ZXkvYH85g50Ver/&#10;9tUPAAAA//8DAFBLAQItABQABgAIAAAAIQC2gziS/gAAAOEBAAATAAAAAAAAAAAAAAAAAAAAAABb&#10;Q29udGVudF9UeXBlc10ueG1sUEsBAi0AFAAGAAgAAAAhADj9If/WAAAAlAEAAAsAAAAAAAAAAAAA&#10;AAAALwEAAF9yZWxzLy5yZWxzUEsBAi0AFAAGAAgAAAAhAE5MlUisAgAATgUAAA4AAAAAAAAAAAAA&#10;AAAALgIAAGRycy9lMm9Eb2MueG1sUEsBAi0AFAAGAAgAAAAhAF7da2faAAAABQEAAA8AAAAAAAAA&#10;AAAAAAAABgUAAGRycy9kb3ducmV2LnhtbFBLBQYAAAAABAAEAPMAAAANBgAAAAA=&#10;" filled="f" stroked="f" strokeweight=".5pt">
                    <v:textbox style="mso-fit-shape-to-text:t" inset="20pt,0,0,0">
                      <w:txbxContent>
                        <w:p w14:paraId="15807FB1" w14:textId="05C45F2C" w:rsidR="00FC517B" w:rsidRPr="005C5486" w:rsidRDefault="00FC517B" w:rsidP="005C5486">
                          <w:pPr>
                            <w:spacing w:after="0"/>
                            <w:rPr>
                              <w:rFonts w:ascii="Calibri" w:hAnsi="Calibri" w:cs="Calibri"/>
                              <w:color w:val="000000"/>
                              <w:sz w:val="22"/>
                            </w:rPr>
                          </w:pPr>
                          <w:r w:rsidRPr="005C5486">
                            <w:rPr>
                              <w:rFonts w:ascii="Calibri" w:hAnsi="Calibri" w:cs="Calibri"/>
                              <w:color w:val="000000"/>
                              <w:sz w:val="22"/>
                            </w:rPr>
                            <w:t>OFFICIAL</w:t>
                          </w:r>
                        </w:p>
                      </w:txbxContent>
                    </v:textbox>
                    <w10:anchorlock/>
                  </v:shape>
                </w:pict>
              </mc:Fallback>
            </mc:AlternateContent>
          </w: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1</w:t>
          </w:r>
          <w:r w:rsidRPr="006C4F67">
            <w:rPr>
              <w:rStyle w:val="PageNumber"/>
            </w:rPr>
            <w:fldChar w:fldCharType="end"/>
          </w:r>
        </w:p>
      </w:tc>
      <w:tc>
        <w:tcPr>
          <w:tcW w:w="7002" w:type="dxa"/>
          <w:vAlign w:val="bottom"/>
        </w:tcPr>
        <w:p w14:paraId="2A4E4B09" w14:textId="77777777" w:rsidR="00FC517B" w:rsidRPr="00904097" w:rsidRDefault="00FC517B" w:rsidP="00536AB8">
          <w:pPr>
            <w:pStyle w:val="Footer"/>
            <w:spacing w:line="180" w:lineRule="atLeast"/>
            <w:rPr>
              <w:sz w:val="14"/>
              <w:szCs w:val="14"/>
            </w:rPr>
          </w:pPr>
        </w:p>
      </w:tc>
    </w:tr>
  </w:tbl>
  <w:p w14:paraId="00E638EA" w14:textId="77777777" w:rsidR="00FC517B" w:rsidRDefault="00FC517B" w:rsidP="00536AB8">
    <w:pPr>
      <w:pStyle w:val="Footer"/>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D81ED" w14:textId="77777777" w:rsidR="00FC517B" w:rsidRDefault="00FC51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C42B4" w14:textId="76EA867F" w:rsidR="00FC517B" w:rsidRPr="00FD7D79" w:rsidRDefault="00FC517B" w:rsidP="00FD7D79">
    <w:pPr>
      <w:pStyle w:val="Footer"/>
    </w:pPr>
    <w:r>
      <w:rPr>
        <w:noProof/>
        <w:lang w:eastAsia="en-AU"/>
      </w:rPr>
      <mc:AlternateContent>
        <mc:Choice Requires="wps">
          <w:drawing>
            <wp:anchor distT="0" distB="0" distL="114300" distR="114300" simplePos="0" relativeHeight="251658254" behindDoc="0" locked="0" layoutInCell="0" allowOverlap="1" wp14:anchorId="31D2CBED" wp14:editId="30216F1E">
              <wp:simplePos x="0" y="0"/>
              <wp:positionH relativeFrom="page">
                <wp:align>left</wp:align>
              </wp:positionH>
              <wp:positionV relativeFrom="page">
                <wp:align>bottom</wp:align>
              </wp:positionV>
              <wp:extent cx="7772400" cy="177165"/>
              <wp:effectExtent l="0" t="0" r="0" b="13335"/>
              <wp:wrapNone/>
              <wp:docPr id="8" name="MSIPCM50ed45e0b7ca54f03b464c8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1771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FC7457" w14:textId="71681A25" w:rsidR="00FC517B" w:rsidRPr="005C5486" w:rsidRDefault="00FC517B" w:rsidP="005C5486">
                          <w:pPr>
                            <w:spacing w:after="0"/>
                            <w:rPr>
                              <w:rFonts w:ascii="Calibri" w:hAnsi="Calibri" w:cs="Calibri"/>
                              <w:color w:val="000000"/>
                              <w:sz w:val="22"/>
                            </w:rPr>
                          </w:pPr>
                          <w:r w:rsidRPr="005C5486">
                            <w:rPr>
                              <w:rFonts w:ascii="Calibri" w:hAnsi="Calibri" w:cs="Calibri"/>
                              <w:color w:val="000000"/>
                              <w:sz w:val="22"/>
                            </w:rPr>
                            <w:t>OFFICIAL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anchor>
          </w:drawing>
        </mc:Choice>
        <mc:Fallback>
          <w:pict>
            <v:shapetype w14:anchorId="31D2CBED" id="_x0000_t202" coordsize="21600,21600" o:spt="202" path="m,l,21600r21600,l21600,xe">
              <v:stroke joinstyle="miter"/>
              <v:path gradientshapeok="t" o:connecttype="rect"/>
            </v:shapetype>
            <v:shape id="MSIPCM50ed45e0b7ca54f03b464c8e" o:spid="_x0000_s1030" type="#_x0000_t202" alt="&quot;&quot;" style="position:absolute;margin-left:0;margin-top:0;width:612pt;height:13.95pt;z-index:25165825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K4PwIAAGMEAAAOAAAAZHJzL2Uyb0RvYy54bWysVFtv2jAUfp+0/2D5fSRQQqqIUDEqpkq0&#10;RaJTnx3HJpF8m21Iul+/Y4fQqdvTtBfn2Of+fedkeddLgc7MularEk8nKUZMUV236lji7y/bL7cY&#10;OU9UTYRWrMRvzOG71edPy84UbKYbLWpmEQRRruhMiRvvTZEkjjZMEjfRhilQcm0l8XC1x6S2pIPo&#10;UiSzNF0knba1sZoy5+D1flDiVYzPOaP+mXPHPBIlhtp8PG08q3AmqyUpjpaYpqWXMsg/VCFJqyDp&#10;NdQ98QSdbPtHKNlSq53mfkK1TDTnLWWxB+hmmn7o5tAQw2IvAI4zV5jc/wtLn857i9q6xECUIhIo&#10;ejw87DePWcrqecbSKqckm/P0ppov5vSWBcQ64wpwPBhw9f1X3QPz47uDxwBEz60MX2gRgR6wf7vi&#10;zXqPKDzmeT6bp6CioJvm+XSRhTDJu7exzn9jWqIglNgCnxFmct45P5iOJiGZ0ttWiMipUKgr8eIm&#10;S6PDVQPBhYIcoYeh1iD5vuojCrOxj0rXb9Ce1cPIOEO3LdSwI87viYUZgbJh7v0zHFxoyKUvEkaN&#10;tj//9h7sgTrQYtTBzJXY/TgRyzASDwpInWWARpjSeAPBjkI1CuokNxpmeQprZWgUg50Xo8itlq+w&#10;E+uQClREUUhYYurteNn4YQFgqyhbr6MZTKMhfqcOhobgAcwA7Ev/Sqy5oO+Btyc9DiUpPpAw2AZP&#10;Z9YnD1REhgK8A5gX1GGSI8eXrQur8vs9Wr3/G1a/AAAA//8DAFBLAwQUAAYACAAAACEAXt1rZ9oA&#10;AAAFAQAADwAAAGRycy9kb3ducmV2LnhtbEyOTUvDQBCG74L/YRnBm90YxI+YTRHxi0IPtr14m2bH&#10;bDA7G7KbJv57p170MvDyvjzzlMvZd+pAQ2wDG7hcZKCI62Bbbgzsts8Xt6BiQrbYBSYD3xRhWZ2e&#10;lFjYMPE7HTapUQLhWKABl1JfaB1rRx7jIvTE0n2GwWOSODTaDjgJ3Hc6z7Jr7bFl+eCwp0dH9ddm&#10;9Aay3bbpc3xdjeup/mD95FZvL7Mx52fzwz2oRHP6G8NRX9ShEqd9GNlG1QlDdr/32OX5leS9gfzm&#10;DnRV6v/21Q8AAAD//wMAUEsBAi0AFAAGAAgAAAAhALaDOJL+AAAA4QEAABMAAAAAAAAAAAAAAAAA&#10;AAAAAFtDb250ZW50X1R5cGVzXS54bWxQSwECLQAUAAYACAAAACEAOP0h/9YAAACUAQAACwAAAAAA&#10;AAAAAAAAAAAvAQAAX3JlbHMvLnJlbHNQSwECLQAUAAYACAAAACEAyB7yuD8CAABjBAAADgAAAAAA&#10;AAAAAAAAAAAuAgAAZHJzL2Uyb0RvYy54bWxQSwECLQAUAAYACAAAACEAXt1rZ9oAAAAFAQAADwAA&#10;AAAAAAAAAAAAAACZBAAAZHJzL2Rvd25yZXYueG1sUEsFBgAAAAAEAAQA8wAAAKAFAAAAAA==&#10;" o:allowincell="f" filled="f" stroked="f" strokeweight=".5pt">
              <v:textbox style="mso-fit-shape-to-text:t" inset="20pt,0,0,0">
                <w:txbxContent>
                  <w:p w14:paraId="5CFC7457" w14:textId="71681A25" w:rsidR="00FC517B" w:rsidRPr="005C5486" w:rsidRDefault="00FC517B" w:rsidP="005C5486">
                    <w:pPr>
                      <w:spacing w:after="0"/>
                      <w:rPr>
                        <w:rFonts w:ascii="Calibri" w:hAnsi="Calibri" w:cs="Calibri"/>
                        <w:color w:val="000000"/>
                        <w:sz w:val="22"/>
                      </w:rPr>
                    </w:pPr>
                    <w:r w:rsidRPr="005C5486">
                      <w:rPr>
                        <w:rFonts w:ascii="Calibri" w:hAnsi="Calibri" w:cs="Calibri"/>
                        <w:color w:val="000000"/>
                        <w:sz w:val="22"/>
                      </w:rPr>
                      <w:t>OFFICIAL</w:t>
                    </w:r>
                  </w:p>
                </w:txbxContent>
              </v:textbox>
              <w10:wrap anchorx="page" anchory="page"/>
            </v:shape>
          </w:pict>
        </mc:Fallback>
      </mc:AlternateContent>
    </w:r>
    <w:r>
      <w:rPr>
        <w:noProof/>
        <w:lang w:eastAsia="en-AU"/>
      </w:rPr>
      <mc:AlternateContent>
        <mc:Choice Requires="wps">
          <w:drawing>
            <wp:inline distT="0" distB="0" distL="0" distR="0" wp14:anchorId="343BB206" wp14:editId="3F23B21B">
              <wp:extent cx="5943600" cy="1674000"/>
              <wp:effectExtent l="0" t="0" r="0" b="2540"/>
              <wp:docPr id="7" name="Disclaimer"/>
              <wp:cNvGraphicFramePr/>
              <a:graphic xmlns:a="http://schemas.openxmlformats.org/drawingml/2006/main">
                <a:graphicData uri="http://schemas.microsoft.com/office/word/2010/wordprocessingShape">
                  <wps:wsp>
                    <wps:cNvSpPr txBox="1"/>
                    <wps:spPr>
                      <a:xfrm>
                        <a:off x="0" y="0"/>
                        <a:ext cx="5943600" cy="167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D47F7" w14:textId="0116F82F" w:rsidR="00FC517B" w:rsidRPr="00E21C22" w:rsidRDefault="00FC517B" w:rsidP="0080001F">
                          <w:pPr>
                            <w:pStyle w:val="Disclaimer"/>
                            <w:rPr>
                              <w:u w:val="single"/>
                            </w:rPr>
                          </w:pPr>
                        </w:p>
                        <w:tbl>
                          <w:tblPr>
                            <w:tblStyle w:val="TableGrid"/>
                            <w:tblOverlap w:val="never"/>
                            <w:tblW w:w="0" w:type="auto"/>
                            <w:tblLayout w:type="fixed"/>
                            <w:tblLook w:val="04A0" w:firstRow="1" w:lastRow="0" w:firstColumn="1" w:lastColumn="0" w:noHBand="0" w:noVBand="1"/>
                          </w:tblPr>
                          <w:tblGrid>
                            <w:gridCol w:w="9356"/>
                          </w:tblGrid>
                          <w:tr w:rsidR="00FC517B" w:rsidRPr="00E21C22" w14:paraId="01D47C77" w14:textId="77777777" w:rsidTr="00267CD1">
                            <w:trPr>
                              <w:cnfStyle w:val="100000000000" w:firstRow="1" w:lastRow="0" w:firstColumn="0" w:lastColumn="0" w:oddVBand="0" w:evenVBand="0" w:oddHBand="0" w:evenHBand="0" w:firstRowFirstColumn="0" w:firstRowLastColumn="0" w:lastRowFirstColumn="0" w:lastRowLastColumn="0"/>
                              <w:trHeight w:val="6539"/>
                            </w:trPr>
                            <w:tc>
                              <w:tcPr>
                                <w:tcW w:w="9356" w:type="dxa"/>
                                <w:tcMar>
                                  <w:top w:w="142" w:type="dxa"/>
                                  <w:bottom w:w="142" w:type="dxa"/>
                                </w:tcMar>
                              </w:tcPr>
                              <w:p w14:paraId="3CF988F0" w14:textId="77777777" w:rsidR="00FC517B" w:rsidRPr="00E21C22" w:rsidRDefault="00FC517B" w:rsidP="001E62EA">
                                <w:pPr>
                                  <w:pStyle w:val="Disclaimer"/>
                                  <w:spacing w:after="120" w:line="240" w:lineRule="auto"/>
                                  <w:rPr>
                                    <w:szCs w:val="11"/>
                                    <w:u w:val="single"/>
                                  </w:rPr>
                                </w:pPr>
                                <w:r w:rsidRPr="00E21C22">
                                  <w:rPr>
                                    <w:szCs w:val="11"/>
                                    <w:u w:val="single"/>
                                  </w:rP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4C073189" w14:textId="77777777" w:rsidR="00FC517B" w:rsidRPr="00E21C22" w:rsidRDefault="00FC517B" w:rsidP="001E62EA">
                                <w:pPr>
                                  <w:pStyle w:val="Disclaimer"/>
                                  <w:spacing w:after="120" w:line="240" w:lineRule="auto"/>
                                  <w:rPr>
                                    <w:szCs w:val="11"/>
                                    <w:u w:val="single"/>
                                  </w:rPr>
                                </w:pPr>
                                <w:r w:rsidRPr="00E21C22">
                                  <w:rPr>
                                    <w:szCs w:val="11"/>
                                    <w:u w:val="single"/>
                                  </w:rPr>
                                  <w:t>Liability limited by a scheme approved under Professional Standards Legislation.</w:t>
                                </w:r>
                              </w:p>
                              <w:p w14:paraId="4B042026" w14:textId="77777777" w:rsidR="00FC517B" w:rsidRPr="00E21C22" w:rsidRDefault="00FC517B" w:rsidP="001E62EA">
                                <w:pPr>
                                  <w:pStyle w:val="Disclaimer"/>
                                  <w:spacing w:after="120" w:line="240" w:lineRule="auto"/>
                                  <w:rPr>
                                    <w:szCs w:val="11"/>
                                    <w:u w:val="single"/>
                                  </w:rPr>
                                </w:pPr>
                                <w:r w:rsidRPr="00E21C22">
                                  <w:rPr>
                                    <w:szCs w:val="11"/>
                                    <w:u w:val="single"/>
                                  </w:rPr>
                                  <w:t>Member of Deloitte Asia Pacific Limited and the Deloitte Network.</w:t>
                                </w:r>
                              </w:p>
                              <w:p w14:paraId="7852214D" w14:textId="5D58CBF8" w:rsidR="00FC517B" w:rsidRPr="00E21C22" w:rsidRDefault="00FC517B" w:rsidP="001E62EA">
                                <w:pPr>
                                  <w:pStyle w:val="Disclaimer"/>
                                  <w:spacing w:after="120" w:line="240" w:lineRule="auto"/>
                                  <w:rPr>
                                    <w:szCs w:val="11"/>
                                  </w:rPr>
                                </w:pPr>
                                <w:r w:rsidRPr="00E21C22">
                                  <w:rPr>
                                    <w:szCs w:val="11"/>
                                    <w:u w:val="single"/>
                                  </w:rPr>
                                  <w:t>©202</w:t>
                                </w:r>
                                <w:r>
                                  <w:rPr>
                                    <w:szCs w:val="11"/>
                                    <w:u w:val="single"/>
                                  </w:rPr>
                                  <w:t>1</w:t>
                                </w:r>
                                <w:r w:rsidRPr="00E21C22">
                                  <w:rPr>
                                    <w:szCs w:val="11"/>
                                    <w:u w:val="single"/>
                                  </w:rPr>
                                  <w:t xml:space="preserve"> Deloitte Access Economics. Deloitte Touche Tohmatsu</w:t>
                                </w:r>
                              </w:p>
                            </w:tc>
                          </w:tr>
                          <w:tr w:rsidR="00FC517B" w:rsidRPr="00E21C22" w14:paraId="4FBCC1D8" w14:textId="77777777" w:rsidTr="00267CD1">
                            <w:trPr>
                              <w:trHeight w:hRule="exact" w:val="227"/>
                            </w:trPr>
                            <w:tc>
                              <w:tcPr>
                                <w:tcW w:w="9356" w:type="dxa"/>
                              </w:tcPr>
                              <w:p w14:paraId="4FB78D83" w14:textId="77777777" w:rsidR="00FC517B" w:rsidRPr="00E21C22" w:rsidRDefault="00FC517B" w:rsidP="00267CD1">
                                <w:pPr>
                                  <w:pStyle w:val="Disclaimer"/>
                                  <w:spacing w:line="120" w:lineRule="atLeast"/>
                                  <w:rPr>
                                    <w:szCs w:val="11"/>
                                  </w:rPr>
                                </w:pPr>
                              </w:p>
                            </w:tc>
                          </w:tr>
                        </w:tbl>
                        <w:p w14:paraId="1765517D" w14:textId="77777777" w:rsidR="00FC517B" w:rsidRPr="00E21C22" w:rsidRDefault="00FC517B" w:rsidP="0080001F">
                          <w:pPr>
                            <w:spacing w:after="0" w:line="120" w:lineRule="atLeast"/>
                            <w:rPr>
                              <w:sz w:val="11"/>
                              <w:szCs w:val="11"/>
                            </w:rPr>
                          </w:pPr>
                        </w:p>
                        <w:p w14:paraId="24F3EFF8" w14:textId="77777777" w:rsidR="00FC517B" w:rsidRPr="00E21C22" w:rsidRDefault="00FC517B" w:rsidP="0080001F">
                          <w:pPr>
                            <w:spacing w:after="0" w:line="120" w:lineRule="atLeast"/>
                            <w:rPr>
                              <w:sz w:val="11"/>
                              <w:szCs w:val="1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w:pict>
            <v:shape w14:anchorId="343BB206" id="Disclaimer" o:spid="_x0000_s1031" type="#_x0000_t202" style="width:468pt;height:131.8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UIeQIAAFoFAAAOAAAAZHJzL2Uyb0RvYy54bWysVEtv2zAMvg/YfxB0X+30kW5BnSJr0WFA&#10;0RZrh54VWWqESaJGKbGzXz9KjtOi26XDLjItfqT4+Miz895ZtlEYDfiGTw5qzpSX0Br/1PDvD1cf&#10;PnIWk/CtsOBVw7cq8vP5+3dnXZipQ1iBbRUycuLjrAsNX6UUZlUV5Uo5EQ8gKE9KDehEol98qloU&#10;HXl3tjqs62nVAbYBQaoY6fZyUPJ58a+1kulW66gSsw2n2FI5sZzLfFbzMzF7QhFWRu7CEP8QhRPG&#10;06N7V5ciCbZG84crZyRCBJ0OJLgKtDZSlRwom0n9Kpv7lQiq5ELFiWFfpvj/3MqbzR0y0zb8lDMv&#10;HLXo0kRphXEKc3W6EGcEug8ES/1n6KnL432ky5x0r9HlL6XDSE913u5rq/rEJF2efDo+mtakkqSb&#10;TE+Pa/oh/9WzecCYvihwLAsNR2peqanYXMc0QEdIfs3DlbG2NNB61jV8enRSF4O9hpxbn7GqUGHn&#10;Jqc0hF6ktLUqY6z/pjSVomSQLwoJ1YVFthFEHyGl8qkkX/wSOqM0BfEWwx3+Oaq3GA95jC+DT3tj&#10;Zzxgyf5V2O2PMWQ94KnmL/LOYuqXfeHA0djZJbRbajjCMDAxyCtDTbkWMd0JpAmhRtLUp1s6tAUq&#10;PuwkzlaAv/52n/FEXNJy1tHENTz+XAtUnNmvniidx3MUcBSWo+DX7gKoCxPaJ0EWkQww2VHUCO6R&#10;lsEiv0Iq4SW91fDlKF6kYe5pmUi1WBQQDWEQ6drfB5ld56Zkij30jwLDjoeJKHwD4yyK2Ss6Dths&#10;6WGxTqBN4Wqu61DFXb1pgAvbd8smb4iX/wX1vBLnvwEAAP//AwBQSwMEFAAGAAgAAAAhANsL23Xc&#10;AAAABQEAAA8AAABkcnMvZG93bnJldi54bWxMj09Lw0AQxe+C32EZwZvdtMFgYzZFLCKCB1ut5012&#10;TEKzsyG7+VM/vWMvennweMN7v8k2s23FiL1vHClYLiIQSKUzDVUKPt6fbu5A+KDJ6NYRKjihh01+&#10;eZHp1LiJdjjuQyW4hHyqFdQhdKmUvqzRar9wHRJnX663OrDtK2l6PXG5beUqihJpdUO8UOsOH2ss&#10;j/vBKnj7Lg7J6+dwmrYv23GHx+fhdhkrdX01P9yDCDiHv2P4xWd0yJmpcAMZL1oF/Eg4K2frOGFb&#10;KFglcQIyz+R/+vwHAAD//wMAUEsBAi0AFAAGAAgAAAAhALaDOJL+AAAA4QEAABMAAAAAAAAAAAAA&#10;AAAAAAAAAFtDb250ZW50X1R5cGVzXS54bWxQSwECLQAUAAYACAAAACEAOP0h/9YAAACUAQAACwAA&#10;AAAAAAAAAAAAAAAvAQAAX3JlbHMvLnJlbHNQSwECLQAUAAYACAAAACEAC0Q1CHkCAABaBQAADgAA&#10;AAAAAAAAAAAAAAAuAgAAZHJzL2Uyb0RvYy54bWxQSwECLQAUAAYACAAAACEA2wvbddwAAAAFAQAA&#10;DwAAAAAAAAAAAAAAAADTBAAAZHJzL2Rvd25yZXYueG1sUEsFBgAAAAAEAAQA8wAAANwFAAAAAA==&#10;" filled="f" stroked="f" strokeweight=".5pt">
              <v:textbox inset="0,0,0,0">
                <w:txbxContent>
                  <w:p w14:paraId="1FDD47F7" w14:textId="0116F82F" w:rsidR="00FC517B" w:rsidRPr="00E21C22" w:rsidRDefault="00FC517B" w:rsidP="0080001F">
                    <w:pPr>
                      <w:pStyle w:val="Disclaimer"/>
                      <w:rPr>
                        <w:u w:val="single"/>
                      </w:rPr>
                    </w:pPr>
                  </w:p>
                  <w:tbl>
                    <w:tblPr>
                      <w:tblStyle w:val="TableGrid"/>
                      <w:tblOverlap w:val="never"/>
                      <w:tblW w:w="0" w:type="auto"/>
                      <w:tblLayout w:type="fixed"/>
                      <w:tblLook w:val="04A0" w:firstRow="1" w:lastRow="0" w:firstColumn="1" w:lastColumn="0" w:noHBand="0" w:noVBand="1"/>
                    </w:tblPr>
                    <w:tblGrid>
                      <w:gridCol w:w="9356"/>
                    </w:tblGrid>
                    <w:tr w:rsidR="00FC517B" w:rsidRPr="00E21C22" w14:paraId="01D47C77" w14:textId="77777777" w:rsidTr="00267CD1">
                      <w:trPr>
                        <w:cnfStyle w:val="100000000000" w:firstRow="1" w:lastRow="0" w:firstColumn="0" w:lastColumn="0" w:oddVBand="0" w:evenVBand="0" w:oddHBand="0" w:evenHBand="0" w:firstRowFirstColumn="0" w:firstRowLastColumn="0" w:lastRowFirstColumn="0" w:lastRowLastColumn="0"/>
                        <w:trHeight w:val="6539"/>
                      </w:trPr>
                      <w:tc>
                        <w:tcPr>
                          <w:tcW w:w="9356" w:type="dxa"/>
                          <w:tcMar>
                            <w:top w:w="142" w:type="dxa"/>
                            <w:bottom w:w="142" w:type="dxa"/>
                          </w:tcMar>
                        </w:tcPr>
                        <w:p w14:paraId="3CF988F0" w14:textId="77777777" w:rsidR="00FC517B" w:rsidRPr="00E21C22" w:rsidRDefault="00FC517B" w:rsidP="001E62EA">
                          <w:pPr>
                            <w:pStyle w:val="Disclaimer"/>
                            <w:spacing w:after="120" w:line="240" w:lineRule="auto"/>
                            <w:rPr>
                              <w:szCs w:val="11"/>
                              <w:u w:val="single"/>
                            </w:rPr>
                          </w:pPr>
                          <w:r w:rsidRPr="00E21C22">
                            <w:rPr>
                              <w:szCs w:val="11"/>
                              <w:u w:val="single"/>
                            </w:rP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4C073189" w14:textId="77777777" w:rsidR="00FC517B" w:rsidRPr="00E21C22" w:rsidRDefault="00FC517B" w:rsidP="001E62EA">
                          <w:pPr>
                            <w:pStyle w:val="Disclaimer"/>
                            <w:spacing w:after="120" w:line="240" w:lineRule="auto"/>
                            <w:rPr>
                              <w:szCs w:val="11"/>
                              <w:u w:val="single"/>
                            </w:rPr>
                          </w:pPr>
                          <w:r w:rsidRPr="00E21C22">
                            <w:rPr>
                              <w:szCs w:val="11"/>
                              <w:u w:val="single"/>
                            </w:rPr>
                            <w:t>Liability limited by a scheme approved under Professional Standards Legislation.</w:t>
                          </w:r>
                        </w:p>
                        <w:p w14:paraId="4B042026" w14:textId="77777777" w:rsidR="00FC517B" w:rsidRPr="00E21C22" w:rsidRDefault="00FC517B" w:rsidP="001E62EA">
                          <w:pPr>
                            <w:pStyle w:val="Disclaimer"/>
                            <w:spacing w:after="120" w:line="240" w:lineRule="auto"/>
                            <w:rPr>
                              <w:szCs w:val="11"/>
                              <w:u w:val="single"/>
                            </w:rPr>
                          </w:pPr>
                          <w:r w:rsidRPr="00E21C22">
                            <w:rPr>
                              <w:szCs w:val="11"/>
                              <w:u w:val="single"/>
                            </w:rPr>
                            <w:t>Member of Deloitte Asia Pacific Limited and the Deloitte Network.</w:t>
                          </w:r>
                        </w:p>
                        <w:p w14:paraId="7852214D" w14:textId="5D58CBF8" w:rsidR="00FC517B" w:rsidRPr="00E21C22" w:rsidRDefault="00FC517B" w:rsidP="001E62EA">
                          <w:pPr>
                            <w:pStyle w:val="Disclaimer"/>
                            <w:spacing w:after="120" w:line="240" w:lineRule="auto"/>
                            <w:rPr>
                              <w:szCs w:val="11"/>
                            </w:rPr>
                          </w:pPr>
                          <w:r w:rsidRPr="00E21C22">
                            <w:rPr>
                              <w:szCs w:val="11"/>
                              <w:u w:val="single"/>
                            </w:rPr>
                            <w:t>©202</w:t>
                          </w:r>
                          <w:r>
                            <w:rPr>
                              <w:szCs w:val="11"/>
                              <w:u w:val="single"/>
                            </w:rPr>
                            <w:t>1</w:t>
                          </w:r>
                          <w:r w:rsidRPr="00E21C22">
                            <w:rPr>
                              <w:szCs w:val="11"/>
                              <w:u w:val="single"/>
                            </w:rPr>
                            <w:t xml:space="preserve"> Deloitte Access Economics. Deloitte Touche Tohmatsu</w:t>
                          </w:r>
                        </w:p>
                      </w:tc>
                    </w:tr>
                    <w:tr w:rsidR="00FC517B" w:rsidRPr="00E21C22" w14:paraId="4FBCC1D8" w14:textId="77777777" w:rsidTr="00267CD1">
                      <w:trPr>
                        <w:trHeight w:hRule="exact" w:val="227"/>
                      </w:trPr>
                      <w:tc>
                        <w:tcPr>
                          <w:tcW w:w="9356" w:type="dxa"/>
                        </w:tcPr>
                        <w:p w14:paraId="4FB78D83" w14:textId="77777777" w:rsidR="00FC517B" w:rsidRPr="00E21C22" w:rsidRDefault="00FC517B" w:rsidP="00267CD1">
                          <w:pPr>
                            <w:pStyle w:val="Disclaimer"/>
                            <w:spacing w:line="120" w:lineRule="atLeast"/>
                            <w:rPr>
                              <w:szCs w:val="11"/>
                            </w:rPr>
                          </w:pPr>
                        </w:p>
                      </w:tc>
                    </w:tr>
                  </w:tbl>
                  <w:p w14:paraId="1765517D" w14:textId="77777777" w:rsidR="00FC517B" w:rsidRPr="00E21C22" w:rsidRDefault="00FC517B" w:rsidP="0080001F">
                    <w:pPr>
                      <w:spacing w:after="0" w:line="120" w:lineRule="atLeast"/>
                      <w:rPr>
                        <w:sz w:val="11"/>
                        <w:szCs w:val="11"/>
                      </w:rPr>
                    </w:pPr>
                  </w:p>
                  <w:p w14:paraId="24F3EFF8" w14:textId="77777777" w:rsidR="00FC517B" w:rsidRPr="00E21C22" w:rsidRDefault="00FC517B" w:rsidP="0080001F">
                    <w:pPr>
                      <w:spacing w:after="0" w:line="120" w:lineRule="atLeast"/>
                      <w:rPr>
                        <w:sz w:val="11"/>
                        <w:szCs w:val="11"/>
                      </w:rPr>
                    </w:pP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EE1D9" w14:textId="219A685C" w:rsidR="00FC517B" w:rsidRPr="00FD7D79" w:rsidRDefault="00FC517B" w:rsidP="00FD7D79">
    <w:pPr>
      <w:pStyle w:val="Footer"/>
    </w:pPr>
    <w:r>
      <w:rPr>
        <w:noProof/>
      </w:rPr>
      <mc:AlternateContent>
        <mc:Choice Requires="wps">
          <w:drawing>
            <wp:inline distT="0" distB="0" distL="0" distR="0" wp14:anchorId="25DC0399" wp14:editId="58C986FB">
              <wp:extent cx="7772400" cy="177165"/>
              <wp:effectExtent l="0" t="0" r="0" b="13335"/>
              <wp:docPr id="9" name="MSIPCM0d894662ae21a87541db465f"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1771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B0740B" w14:textId="48F1021A" w:rsidR="00FC517B" w:rsidRPr="005C5486" w:rsidRDefault="00FC517B" w:rsidP="005C5486">
                          <w:pPr>
                            <w:spacing w:after="0"/>
                            <w:rPr>
                              <w:rFonts w:ascii="Calibri" w:hAnsi="Calibri" w:cs="Calibri"/>
                              <w:color w:val="000000"/>
                              <w:sz w:val="22"/>
                            </w:rPr>
                          </w:pPr>
                          <w:r w:rsidRPr="005C5486">
                            <w:rPr>
                              <w:rFonts w:ascii="Calibri" w:hAnsi="Calibri" w:cs="Calibri"/>
                              <w:color w:val="000000"/>
                              <w:sz w:val="22"/>
                            </w:rPr>
                            <w:t>OFFICIAL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inline>
          </w:drawing>
        </mc:Choice>
        <mc:Fallback>
          <w:pict>
            <v:shapetype w14:anchorId="25DC0399" id="_x0000_t202" coordsize="21600,21600" o:spt="202" path="m,l,21600r21600,l21600,xe">
              <v:stroke joinstyle="miter"/>
              <v:path gradientshapeok="t" o:connecttype="rect"/>
            </v:shapetype>
            <v:shape id="MSIPCM0d894662ae21a87541db465f" o:spid="_x0000_s1032" type="#_x0000_t202" alt="{&quot;HashCode&quot;:-1267603503,&quot;Height&quot;:9999999.0,&quot;Width&quot;:9999999.0,&quot;Placement&quot;:&quot;Footer&quot;,&quot;Index&quot;:&quot;Primary&quot;,&quot;Section&quot;:3,&quot;Top&quot;:0.0,&quot;Left&quot;:0.0}" style="width:612pt;height:1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1sQIAAFUFAAAOAAAAZHJzL2Uyb0RvYy54bWysVN1v0zAQf0fif7D8wBNrkq5Nt7J0Kp0K&#10;lbqtUof27DpOEynxeba7pCD+d85O0sGAF0QenPPd+T5+93F13VQleRbaFCATGg1CSoTkkBZyn9Av&#10;D8uzC0qMZTJlJUiR0KMw9Hr29s1VraZiCDmUqdAEjUgzrVVCc2vVNAgMz0XFzACUkCjMQFfM4lXv&#10;g1SzGq1XZTAMwzioQadKAxfGIPemFdKZt59lgtv7LDPCkjKhGJv1p/bnzp3B7IpN95qpvOBdGOwf&#10;oqhYIdHpydQNs4wcdPGbqargGgxkdsChCiDLCi58DphNFL7KZpszJXwuCI5RJ5jM/zPL7543mhRp&#10;Qi8pkazCEt1uV5vFbZheXI7ieMjEMGIXk/EoSnejeJxRkgrDEcFv754OYD98ZiZfQCra2/QsGsaT&#10;ODwfh+fvOwVR7HPbiS/bbxB2wscitflfZJuScVEJ2b9t1ZYAVuiW7oysZCqazkj72+iiYvr4i9YW&#10;ewGbtNPro3sA1XHCU1BrkfU+kfnd9UitzBSh2ioEyzYfocFe7/kGma70TaYr98eiEpRjtx1PHSYa&#10;SzgyJ5PJcBSiiKMsmkyieOzMBC+vlTb2k4CKOCKhGqP2jcWe18a2qr2KcyZhWZSl7+JSkjqhMULv&#10;H5wkaLyU6MPl0MbqKNvsGl/3UZ/HDtIjpqehHRKj+LLAGNbM2A3TOBUYNk66vccjKwF9QUdRkoP+&#10;+ie+08dmRSklNU5ZQs3TgWlBSbmS2MbDMaLh5tLfkNA9sesJeagWgNMb4SJR3JNOz5Y9mWmoHnEL&#10;zJ0rFDHJ0WFCudX9ZWHxjiLcI1zM557G+VPMruVWcWfcgemAfWgemVYd+hbrdgf9GLLpqyK0uu6l&#10;UfODxVL4Cjl4WzA71HF2fY27PeOWw893r/WyDWc/AAAA//8DAFBLAwQUAAYACAAAACEAXt1rZ9oA&#10;AAAFAQAADwAAAGRycy9kb3ducmV2LnhtbEyOTUvDQBCG74L/YRnBm90YxI+YTRHxi0IPtr14m2bH&#10;bDA7G7KbJv57p170MvDyvjzzlMvZd+pAQ2wDG7hcZKCI62Bbbgzsts8Xt6BiQrbYBSYD3xRhWZ2e&#10;lFjYMPE7HTapUQLhWKABl1JfaB1rRx7jIvTE0n2GwWOSODTaDjgJ3Hc6z7Jr7bFl+eCwp0dH9ddm&#10;9Aay3bbpc3xdjeup/mD95FZvL7Mx52fzwz2oRHP6G8NRX9ShEqd9GNlG1QlDdr/32OX5leS9gfzm&#10;DnRV6v/21Q8AAAD//wMAUEsBAi0AFAAGAAgAAAAhALaDOJL+AAAA4QEAABMAAAAAAAAAAAAAAAAA&#10;AAAAAFtDb250ZW50X1R5cGVzXS54bWxQSwECLQAUAAYACAAAACEAOP0h/9YAAACUAQAACwAAAAAA&#10;AAAAAAAAAAAvAQAAX3JlbHMvLnJlbHNQSwECLQAUAAYACAAAACEAhv7jdbECAABVBQAADgAAAAAA&#10;AAAAAAAAAAAuAgAAZHJzL2Uyb0RvYy54bWxQSwECLQAUAAYACAAAACEAXt1rZ9oAAAAFAQAADwAA&#10;AAAAAAAAAAAAAAALBQAAZHJzL2Rvd25yZXYueG1sUEsFBgAAAAAEAAQA8wAAABIGAAAAAA==&#10;" filled="f" stroked="f" strokeweight=".5pt">
              <v:textbox style="mso-fit-shape-to-text:t" inset="20pt,0,0,0">
                <w:txbxContent>
                  <w:p w14:paraId="27B0740B" w14:textId="48F1021A" w:rsidR="00FC517B" w:rsidRPr="005C5486" w:rsidRDefault="00FC517B" w:rsidP="005C5486">
                    <w:pPr>
                      <w:spacing w:after="0"/>
                      <w:rPr>
                        <w:rFonts w:ascii="Calibri" w:hAnsi="Calibri" w:cs="Calibri"/>
                        <w:color w:val="000000"/>
                        <w:sz w:val="22"/>
                      </w:rPr>
                    </w:pPr>
                    <w:r w:rsidRPr="005C5486">
                      <w:rPr>
                        <w:rFonts w:ascii="Calibri" w:hAnsi="Calibri" w:cs="Calibri"/>
                        <w:color w:val="000000"/>
                        <w:sz w:val="22"/>
                      </w:rPr>
                      <w:t>OFFICIAL</w:t>
                    </w:r>
                  </w:p>
                </w:txbxContent>
              </v:textbox>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96A20" w14:textId="4F856BCE" w:rsidR="00FC517B" w:rsidRPr="00672300" w:rsidRDefault="00FC517B" w:rsidP="00672300">
    <w:pPr>
      <w:pStyle w:val="Footer"/>
    </w:pPr>
    <w:r>
      <w:rPr>
        <w:noProof/>
      </w:rPr>
      <mc:AlternateContent>
        <mc:Choice Requires="wps">
          <w:drawing>
            <wp:inline distT="0" distB="0" distL="0" distR="0" wp14:anchorId="2839DB6C" wp14:editId="742F1216">
              <wp:extent cx="7772400" cy="177165"/>
              <wp:effectExtent l="0" t="0" r="0" b="13335"/>
              <wp:docPr id="10" name="MSIPCM27df449db24a889b7475952e"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1771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B1E6B6" w14:textId="049CA4F8" w:rsidR="00FC517B" w:rsidRPr="005C5486" w:rsidRDefault="00FC517B" w:rsidP="005C5486">
                          <w:pPr>
                            <w:spacing w:after="0"/>
                            <w:rPr>
                              <w:rFonts w:ascii="Calibri" w:hAnsi="Calibri" w:cs="Calibri"/>
                              <w:color w:val="000000"/>
                              <w:sz w:val="22"/>
                            </w:rPr>
                          </w:pPr>
                          <w:r w:rsidRPr="005C5486">
                            <w:rPr>
                              <w:rFonts w:ascii="Calibri" w:hAnsi="Calibri" w:cs="Calibri"/>
                              <w:color w:val="000000"/>
                              <w:sz w:val="22"/>
                            </w:rPr>
                            <w:t>OFFICIAL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inline>
          </w:drawing>
        </mc:Choice>
        <mc:Fallback>
          <w:pict>
            <v:shapetype w14:anchorId="2839DB6C" id="_x0000_t202" coordsize="21600,21600" o:spt="202" path="m,l,21600r21600,l21600,xe">
              <v:stroke joinstyle="miter"/>
              <v:path gradientshapeok="t" o:connecttype="rect"/>
            </v:shapetype>
            <v:shape id="MSIPCM27df449db24a889b7475952e" o:spid="_x0000_s1033" type="#_x0000_t202" alt="{&quot;HashCode&quot;:-1267603503,&quot;Height&quot;:9999999.0,&quot;Width&quot;:9999999.0,&quot;Placement&quot;:&quot;Footer&quot;,&quot;Index&quot;:&quot;Primary&quot;,&quot;Section&quot;:4,&quot;Top&quot;:0.0,&quot;Left&quot;:0.0}" style="width:612pt;height:1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Jq6sAIAAFYFAAAOAAAAZHJzL2Uyb0RvYy54bWysVN1v0zAQf0fif4j8wBNr0qxt1rJ0Kp0K&#10;k7qtUof27DpOEyn2eba7pCD+d85O0sGAF0QenPvy3fl3H5dXjaiCZ65NCTIlw0FEAi4ZZKXcp+TL&#10;w+rsggTGUpnRCiRPyZEbcjV/++ayVjMeQwFVxnWATqSZ1SolhbVqFoaGFVxQMwDFJSpz0IJaZPU+&#10;zDSt0buowjiKJmENOlMaGDcGpdetksy9/zznzN7nueE2qFKCuVl/an/u3BnOL+lsr6kqStalQf8h&#10;C0FLiUFPrq6ppcFBl7+5EiXTYCC3AwYihDwvGfdvwNcMo1ev2RZUcf8WBMeoE0zm/7lld88bHZQZ&#10;1g7hkVRgjW63N5vlbZxk+Wg0zXbxiF5cTHfJKBlPxzEnQcYNQwi/vXs6gP3wmZpiCRlvudnZMJ4k&#10;k+h8HJ2/7wx4uS9sp5623yDqlI9lZou/6DYVZVxw2d9tzVYAluuW7pzcyIw3nZP2t9GloPr4i9UW&#10;mwG7tLMbdXcfQHWS6JTUmud9TBR+d01SKzNDrLYK0bLNR2gQsF5uUOhq3+RauD9WNUA94nk8tRhv&#10;bMBQmCRJPIpQxVA3TJLhZOzchC+3lTb2EwcROCIlGrP2nUWf18a2pr2JCyZhVVaVb+NKBnVKJgi9&#10;v3DSoPNKYgz3hjZXR9lm1/jC+wScZAfZEZ+noZ0So9iqxBzW1NgN1TgWmDaOur3HI68AY0FHkaAA&#10;/fVPcmeP3YpaEtQ4ZikxTweqsYuqG4l9HI8RDfRrPYeE7oldT8iDWAKO7xA3iWKedHa26slcg3jE&#10;NbBwoVBFJcOAKWFW98zSIo8qXCSMLxaexgFU1K7lVjHn3IHpgH1oHqlWHfoW63YH/RzS2asitLbu&#10;plGLg8VS+Aq9gNmhjsPra9wtGrcdfua91cs6nP8AAAD//wMAUEsDBBQABgAIAAAAIQBe3Wtn2gAA&#10;AAUBAAAPAAAAZHJzL2Rvd25yZXYueG1sTI5NS8NAEIbvgv9hGcGb3RjEj5hNEfGLQg+2vXibZsds&#10;MDsbspsm/nunXvQy8PK+PPOUy9l36kBDbAMbuFxkoIjrYFtuDOy2zxe3oGJCttgFJgPfFGFZnZ6U&#10;WNgw8TsdNqlRAuFYoAGXUl9oHWtHHuMi9MTSfYbBY5I4NNoOOAncdzrPsmvtsWX54LCnR0f112b0&#10;BrLdtulzfF2N66n+YP3kVm8vszHnZ/PDPahEc/obw1Ff1KESp30Y2UbVCUN2v/fY5fmV5L2B/OYO&#10;dFXq//bVDwAAAP//AwBQSwECLQAUAAYACAAAACEAtoM4kv4AAADhAQAAEwAAAAAAAAAAAAAAAAAA&#10;AAAAW0NvbnRlbnRfVHlwZXNdLnhtbFBLAQItABQABgAIAAAAIQA4/SH/1gAAAJQBAAALAAAAAAAA&#10;AAAAAAAAAC8BAABfcmVscy8ucmVsc1BLAQItABQABgAIAAAAIQAq0Jq6sAIAAFYFAAAOAAAAAAAA&#10;AAAAAAAAAC4CAABkcnMvZTJvRG9jLnhtbFBLAQItABQABgAIAAAAIQBe3Wtn2gAAAAUBAAAPAAAA&#10;AAAAAAAAAAAAAAoFAABkcnMvZG93bnJldi54bWxQSwUGAAAAAAQABADzAAAAEQYAAAAA&#10;" filled="f" stroked="f" strokeweight=".5pt">
              <v:textbox style="mso-fit-shape-to-text:t" inset="20pt,0,0,0">
                <w:txbxContent>
                  <w:p w14:paraId="74B1E6B6" w14:textId="049CA4F8" w:rsidR="00FC517B" w:rsidRPr="005C5486" w:rsidRDefault="00FC517B" w:rsidP="005C5486">
                    <w:pPr>
                      <w:spacing w:after="0"/>
                      <w:rPr>
                        <w:rFonts w:ascii="Calibri" w:hAnsi="Calibri" w:cs="Calibri"/>
                        <w:color w:val="000000"/>
                        <w:sz w:val="22"/>
                      </w:rPr>
                    </w:pPr>
                    <w:r w:rsidRPr="005C5486">
                      <w:rPr>
                        <w:rFonts w:ascii="Calibri" w:hAnsi="Calibri" w:cs="Calibri"/>
                        <w:color w:val="000000"/>
                        <w:sz w:val="22"/>
                      </w:rPr>
                      <w:t>OFFICIAL</w:t>
                    </w:r>
                  </w:p>
                </w:txbxContent>
              </v:textbox>
              <w10:anchorlock/>
            </v:shape>
          </w:pict>
        </mc:Fallback>
      </mc:AlternateContent>
    </w:r>
    <w:r>
      <w:rPr>
        <w:noProof/>
      </w:rPr>
      <mc:AlternateContent>
        <mc:Choice Requires="wps">
          <w:drawing>
            <wp:inline distT="0" distB="0" distL="0" distR="0" wp14:anchorId="0B813562" wp14:editId="42FFC87B">
              <wp:extent cx="7772400" cy="177165"/>
              <wp:effectExtent l="0" t="0" r="0" b="13335"/>
              <wp:docPr id="61" name="MSIPCM7b6c41d69fb899eb228b04e9" descr="{&quot;HashCode&quot;:-1267603503,&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1771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768E60" w14:textId="485FB717" w:rsidR="00FC517B" w:rsidRPr="00385797" w:rsidRDefault="00FC517B" w:rsidP="00385797">
                          <w:pPr>
                            <w:spacing w:after="0"/>
                            <w:rPr>
                              <w:rFonts w:ascii="Calibri" w:hAnsi="Calibri" w:cs="Calibri"/>
                              <w:color w:val="000000"/>
                              <w:sz w:val="22"/>
                            </w:rPr>
                          </w:pPr>
                          <w:r w:rsidRPr="00385797">
                            <w:rPr>
                              <w:rFonts w:ascii="Calibri" w:hAnsi="Calibri" w:cs="Calibri"/>
                              <w:color w:val="000000"/>
                              <w:sz w:val="22"/>
                            </w:rPr>
                            <w:t>OFFICIAL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inline>
          </w:drawing>
        </mc:Choice>
        <mc:Fallback>
          <w:pict>
            <v:shape w14:anchorId="0B813562" id="MSIPCM7b6c41d69fb899eb228b04e9" o:spid="_x0000_s1034" type="#_x0000_t202" alt="{&quot;HashCode&quot;:-1267603503,&quot;Height&quot;:9999999.0,&quot;Width&quot;:9999999.0,&quot;Placement&quot;:&quot;Footer&quot;,&quot;Index&quot;:&quot;Primary&quot;,&quot;Section&quot;:5,&quot;Top&quot;:0.0,&quot;Left&quot;:0.0}" style="width:612pt;height:1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jfsQIAAFYFAAAOAAAAZHJzL2Uyb0RvYy54bWysVN1v0zAQf0fif7D8wBNr0m5t1rJ0Kp0K&#10;lbqtUof27DhOEynxeba7pCD+d85O0sGAF0QenPvyffzuzlfXTVWSZ6FNATKmw0FIiZAc0kLuY/rl&#10;YXV2SYmxTKasBCliehSGXs/fvrmq1UyMIIcyFZqgE2lmtYppbq2aBYHhuaiYGYASEpUZ6IpZZPU+&#10;SDWr0XtVBqMwnAQ16FRp4MIYlN60Sjr3/rNMcHufZUZYUsYUc7P+1P5M3BnMr9hsr5nKC96lwf4h&#10;i4oVEoOeXN0wy8hBF7+5qgquwUBmBxyqALKs4MLXgNUMw1fV7HKmhK8FwTHqBJP5f2753fNWkyKN&#10;6WRIiWQV9uh2t94ub6Nkwi+G6WSaJZfTqUhGo8skvBBTSlJhOEL47d3TAeyHz8zkS0hFy83OhqNJ&#10;NAnPx+H5+85AFPvcdupp+w3CTvlYpDb/i25bMi4qIfu7rdkKwArd0p2TtUxF0zlpf1tdVEwff7Ha&#10;4TDglHZ24+7uA6hOEp6S2oisj4nC725IamVmiNVOIVq2+QgNDnsvNyh0vW8yXbk/dpWgHsfteBox&#10;0VjCURhF0egiRBVH3TCKhpOxcxO83Fba2E8CKuKImGrM2k8We94Y25r2Ji6YhFVRln6MS0lq7CNC&#10;7y+cNOi8lBjD1dDm6ijbJE3b+L6OBNIjlqeh3RKj+KrAHDbM2C3TuBaYNq66vccjKwFjQUdRkoP+&#10;+ie5s8dpRS0lNa5ZTM3TgWlBSbmWOMejMaLhFtNzSOieSHpCHqol4PrifGJKnnR2tuzJTEP1iM/A&#10;woVCFZMcA8aUW90zS4s8qvAh4WKx8DQuoGJ2I3eKO+cOTAfsQ/PItOrQt9i3O+j3kM1eNaG1dTeN&#10;WhwstsJ3yMHbgtmhjsvre9w9NO51+Jn3Vi/P4fwHAAAA//8DAFBLAwQUAAYACAAAACEAXt1rZ9oA&#10;AAAFAQAADwAAAGRycy9kb3ducmV2LnhtbEyOTUvDQBCG74L/YRnBm90YxI+YTRHxi0IPtr14m2bH&#10;bDA7G7KbJv57p170MvDyvjzzlMvZd+pAQ2wDG7hcZKCI62Bbbgzsts8Xt6BiQrbYBSYD3xRhWZ2e&#10;lFjYMPE7HTapUQLhWKABl1JfaB1rRx7jIvTE0n2GwWOSODTaDjgJ3Hc6z7Jr7bFl+eCwp0dH9ddm&#10;9Aay3bbpc3xdjeup/mD95FZvL7Mx52fzwz2oRHP6G8NRX9ShEqd9GNlG1QlDdr/32OX5leS9gfzm&#10;DnRV6v/21Q8AAAD//wMAUEsBAi0AFAAGAAgAAAAhALaDOJL+AAAA4QEAABMAAAAAAAAAAAAAAAAA&#10;AAAAAFtDb250ZW50X1R5cGVzXS54bWxQSwECLQAUAAYACAAAACEAOP0h/9YAAACUAQAACwAAAAAA&#10;AAAAAAAAAAAvAQAAX3JlbHMvLnJlbHNQSwECLQAUAAYACAAAACEATWXY37ECAABWBQAADgAAAAAA&#10;AAAAAAAAAAAuAgAAZHJzL2Uyb0RvYy54bWxQSwECLQAUAAYACAAAACEAXt1rZ9oAAAAFAQAADwAA&#10;AAAAAAAAAAAAAAALBQAAZHJzL2Rvd25yZXYueG1sUEsFBgAAAAAEAAQA8wAAABIGAAAAAA==&#10;" filled="f" stroked="f" strokeweight=".5pt">
              <v:textbox style="mso-fit-shape-to-text:t" inset="20pt,0,0,0">
                <w:txbxContent>
                  <w:p w14:paraId="7B768E60" w14:textId="485FB717" w:rsidR="00FC517B" w:rsidRPr="00385797" w:rsidRDefault="00FC517B" w:rsidP="00385797">
                    <w:pPr>
                      <w:spacing w:after="0"/>
                      <w:rPr>
                        <w:rFonts w:ascii="Calibri" w:hAnsi="Calibri" w:cs="Calibri"/>
                        <w:color w:val="000000"/>
                        <w:sz w:val="22"/>
                      </w:rPr>
                    </w:pPr>
                    <w:r w:rsidRPr="00385797">
                      <w:rPr>
                        <w:rFonts w:ascii="Calibri" w:hAnsi="Calibri" w:cs="Calibri"/>
                        <w:color w:val="000000"/>
                        <w:sz w:val="22"/>
                      </w:rPr>
                      <w:t>OFFICIAL</w:t>
                    </w:r>
                  </w:p>
                </w:txbxContent>
              </v:textbox>
              <w10:anchorlock/>
            </v:shape>
          </w:pict>
        </mc:Fallback>
      </mc:AlternateContent>
    </w: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i</w:t>
    </w:r>
    <w:r w:rsidRPr="006C4F6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75B0E" w14:textId="1C24EB0D" w:rsidR="00FC517B" w:rsidRPr="007E7D93" w:rsidRDefault="00FC517B"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ii</w:t>
    </w:r>
    <w:r w:rsidRPr="006C4F67">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3918E" w14:textId="6A07A661" w:rsidR="00FC517B" w:rsidRPr="007E7D93" w:rsidRDefault="00FC517B" w:rsidP="007E7D93">
    <w:pPr>
      <w:pStyle w:val="Footer"/>
    </w:pPr>
    <w:r>
      <w:rPr>
        <w:noProof/>
      </w:rPr>
      <mc:AlternateContent>
        <mc:Choice Requires="wps">
          <w:drawing>
            <wp:inline distT="0" distB="0" distL="0" distR="0" wp14:anchorId="4286C3A9" wp14:editId="41B30CFC">
              <wp:extent cx="7772400" cy="177165"/>
              <wp:effectExtent l="0" t="0" r="0" b="13335"/>
              <wp:docPr id="18" name="MSIPCM3bbd43b281d538a3c2ca158f" descr="{&quot;HashCode&quot;:-1267603503,&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1771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73EE76" w14:textId="4B6C16CA" w:rsidR="00FC517B" w:rsidRPr="001F52E5" w:rsidRDefault="00FC517B" w:rsidP="001F52E5">
                          <w:pPr>
                            <w:spacing w:after="0"/>
                            <w:rPr>
                              <w:rFonts w:ascii="Calibri" w:hAnsi="Calibri" w:cs="Calibri"/>
                              <w:color w:val="000000"/>
                              <w:sz w:val="22"/>
                            </w:rPr>
                          </w:pPr>
                          <w:r w:rsidRPr="001F52E5">
                            <w:rPr>
                              <w:rFonts w:ascii="Calibri" w:hAnsi="Calibri" w:cs="Calibri"/>
                              <w:color w:val="000000"/>
                              <w:sz w:val="22"/>
                            </w:rPr>
                            <w:t>OFFICIAL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inline>
          </w:drawing>
        </mc:Choice>
        <mc:Fallback>
          <w:pict>
            <v:shapetype w14:anchorId="4286C3A9" id="_x0000_t202" coordsize="21600,21600" o:spt="202" path="m,l,21600r21600,l21600,xe">
              <v:stroke joinstyle="miter"/>
              <v:path gradientshapeok="t" o:connecttype="rect"/>
            </v:shapetype>
            <v:shape id="MSIPCM3bbd43b281d538a3c2ca158f" o:spid="_x0000_s1035" type="#_x0000_t202" alt="{&quot;HashCode&quot;:-1267603503,&quot;Height&quot;:9999999.0,&quot;Width&quot;:9999999.0,&quot;Placement&quot;:&quot;Footer&quot;,&quot;Index&quot;:&quot;Primary&quot;,&quot;Section&quot;:6,&quot;Top&quot;:0.0,&quot;Left&quot;:0.0}" style="width:612pt;height:1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DqsQIAAFYFAAAOAAAAZHJzL2Uyb0RvYy54bWysVN1v0zAQf0fif7D8wBNrknZtSlk6lU5l&#10;k7qtUof27DhOEynxeba7piD+d85O0sGAF0QenPPd+T5+93Fx2dQVeRbalCATGg1CSoTkkJVyl9Av&#10;D6uzKSXGMpmxCqRI6FEYejl/++bioGZiCAVUmdAEjUgzO6iEFtaqWRAYXoiamQEoIVGYg66Zxave&#10;BZlmB7ReV8EwDCfBAXSmNHBhDHKvWiGde/t5Lri9z3MjLKkSirFZf2p/pu4M5hdsttNMFSXvwmD/&#10;EEXNSolOT6aumGVkr8vfTNUl12AgtwMOdQB5XnLhc8BsovBVNtuCKeFzQXCMOsFk/p9Zfve80aTM&#10;sHZYKclqrNHt9mazvB2laXY+SofTKBuPpmzEh5xF42lOSSYMRwi/vXvag/14zUyxhEy0t9lZNJzE&#10;k3A0DkfvOwVR7grbiT+03yDshI9lZou/yDYV46IWsn/bqq0ArNAt3Rm5kZloOiPtb6PLmunjL1pb&#10;bAbs0k5v0r19ANVxwlNQa5H3PpH53TXJQZkZYrVViJZtPkGDgPV8g0xX+ybXtftjVQnKsd2OpxYT&#10;jSUcmXEcD89DFHGURXEcTcbOTPDyWmljPwuoiSMSqjFq31nseW1sq9qrOGcSVmVV+TauJDkkdILQ&#10;+wcnCRqvJPpwObSxOso2aeMLH/d5pJAdMT0N7ZQYxVclxrBmxm6YxrHAsHHU7T0eeQXoCzqKkgL0&#10;1z/xnT52K0opOeCYJdQ87ZkWlFQ3Evt4OEY03GD6GxK6J9KekPt6CTi+EW4SxT3p9GzVk7mG+hHX&#10;wMK5QhGTHB0mlFvdX5YW7yjCRcLFYuFpHEDF7FpuFXfGHZgO2IfmkWnVoW+xbnfQzyGbvSpCq+te&#10;GrXYWyyFr5CDtwWzQx2H19e4WzRuO/x891ov63D+AwAA//8DAFBLAwQUAAYACAAAACEAXt1rZ9oA&#10;AAAFAQAADwAAAGRycy9kb3ducmV2LnhtbEyOTUvDQBCG74L/YRnBm90YxI+YTRHxi0IPtr14m2bH&#10;bDA7G7KbJv57p170MvDyvjzzlMvZd+pAQ2wDG7hcZKCI62Bbbgzsts8Xt6BiQrbYBSYD3xRhWZ2e&#10;lFjYMPE7HTapUQLhWKABl1JfaB1rRx7jIvTE0n2GwWOSODTaDjgJ3Hc6z7Jr7bFl+eCwp0dH9ddm&#10;9Aay3bbpc3xdjeup/mD95FZvL7Mx52fzwz2oRHP6G8NRX9ShEqd9GNlG1QlDdr/32OX5leS9gfzm&#10;DnRV6v/21Q8AAAD//wMAUEsBAi0AFAAGAAgAAAAhALaDOJL+AAAA4QEAABMAAAAAAAAAAAAAAAAA&#10;AAAAAFtDb250ZW50X1R5cGVzXS54bWxQSwECLQAUAAYACAAAACEAOP0h/9YAAACUAQAACwAAAAAA&#10;AAAAAAAAAAAvAQAAX3JlbHMvLnJlbHNQSwECLQAUAAYACAAAACEA9FJA6rECAABWBQAADgAAAAAA&#10;AAAAAAAAAAAuAgAAZHJzL2Uyb0RvYy54bWxQSwECLQAUAAYACAAAACEAXt1rZ9oAAAAFAQAADwAA&#10;AAAAAAAAAAAAAAALBQAAZHJzL2Rvd25yZXYueG1sUEsFBgAAAAAEAAQA8wAAABIGAAAAAA==&#10;" filled="f" stroked="f" strokeweight=".5pt">
              <v:textbox style="mso-fit-shape-to-text:t" inset="20pt,0,0,0">
                <w:txbxContent>
                  <w:p w14:paraId="5873EE76" w14:textId="4B6C16CA" w:rsidR="00FC517B" w:rsidRPr="001F52E5" w:rsidRDefault="00FC517B" w:rsidP="001F52E5">
                    <w:pPr>
                      <w:spacing w:after="0"/>
                      <w:rPr>
                        <w:rFonts w:ascii="Calibri" w:hAnsi="Calibri" w:cs="Calibri"/>
                        <w:color w:val="000000"/>
                        <w:sz w:val="22"/>
                      </w:rPr>
                    </w:pPr>
                    <w:r w:rsidRPr="001F52E5">
                      <w:rPr>
                        <w:rFonts w:ascii="Calibri" w:hAnsi="Calibri" w:cs="Calibri"/>
                        <w:color w:val="000000"/>
                        <w:sz w:val="22"/>
                      </w:rPr>
                      <w:t>OFFICIAL</w:t>
                    </w:r>
                  </w:p>
                </w:txbxContent>
              </v:textbox>
              <w10:anchorlock/>
            </v:shape>
          </w:pict>
        </mc:Fallback>
      </mc:AlternateContent>
    </w: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9</w:t>
    </w:r>
    <w:r w:rsidRPr="006C4F67">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203A6" w14:textId="0E7E4A60" w:rsidR="00FC517B" w:rsidRPr="007E7D93" w:rsidRDefault="00FC517B" w:rsidP="007E7D93">
    <w:pPr>
      <w:pStyle w:val="Footer"/>
    </w:pPr>
    <w:r>
      <w:rPr>
        <w:noProof/>
      </w:rPr>
      <mc:AlternateContent>
        <mc:Choice Requires="wps">
          <w:drawing>
            <wp:inline distT="0" distB="0" distL="0" distR="0" wp14:anchorId="457D4D1B" wp14:editId="0B3B4C70">
              <wp:extent cx="7772400" cy="177165"/>
              <wp:effectExtent l="0" t="0" r="0" b="13335"/>
              <wp:docPr id="37" name="MSIPCM76044358a8e14ea62184644f" descr="{&quot;HashCode&quot;:-1267603503,&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1771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0E14EE" w14:textId="77777777" w:rsidR="00FC517B" w:rsidRPr="007D3CDF" w:rsidRDefault="00FC517B" w:rsidP="007D3CDF">
                          <w:pPr>
                            <w:spacing w:after="0"/>
                            <w:rPr>
                              <w:rFonts w:ascii="Calibri" w:hAnsi="Calibri" w:cs="Calibri"/>
                              <w:color w:val="000000"/>
                              <w:sz w:val="22"/>
                            </w:rPr>
                          </w:pPr>
                          <w:r w:rsidRPr="007D3CDF">
                            <w:rPr>
                              <w:rFonts w:ascii="Calibri" w:hAnsi="Calibri" w:cs="Calibri"/>
                              <w:color w:val="000000"/>
                              <w:sz w:val="22"/>
                            </w:rPr>
                            <w:t>OFFICIAL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inline>
          </w:drawing>
        </mc:Choice>
        <mc:Fallback>
          <w:pict>
            <v:shapetype w14:anchorId="457D4D1B" id="_x0000_t202" coordsize="21600,21600" o:spt="202" path="m,l,21600r21600,l21600,xe">
              <v:stroke joinstyle="miter"/>
              <v:path gradientshapeok="t" o:connecttype="rect"/>
            </v:shapetype>
            <v:shape id="MSIPCM76044358a8e14ea62184644f" o:spid="_x0000_s1036" type="#_x0000_t202" alt="{&quot;HashCode&quot;:-1267603503,&quot;Height&quot;:9999999.0,&quot;Width&quot;:9999999.0,&quot;Placement&quot;:&quot;Footer&quot;,&quot;Index&quot;:&quot;Primary&quot;,&quot;Section&quot;:6,&quot;Top&quot;:0.0,&quot;Left&quot;:0.0}" style="width:612pt;height:1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0LsQIAAFYFAAAOAAAAZHJzL2Uyb0RvYy54bWysVN1v0zAQf0fif7D8wBM0ST+SUpZOpVNh&#10;UrdV6tCeXcdpIiU+z3bXFMT/ztlJOhjwgsiDc74738fvPi4um7oiT0KbEmRKo0FIiZAcslLuU/rl&#10;fvVuSomxTGasAilSehKGXs5fv7o4qpkYQgFVJjRBI9LMjiqlhbVqFgSGF6JmZgBKSBTmoGtm8ar3&#10;QabZEa3XVTAMwzg4gs6UBi6MQe5VK6Rzbz/PBbd3eW6EJVVKMTbrT+3PnTuD+QWb7TVTRcm7MNg/&#10;RFGzUqLTs6krZhk56PI3U3XJNRjI7YBDHUCel1z4HDCbKHyRzbZgSvhcEByjzjCZ/2eW3z5tNCmz&#10;lI4SSiSrsUY32+vN8iaJw/F4NJmyqYjGgsXDaDqOx+OckkwYjhB+e/N4APvhMzPFEjLR3mbvomGM&#10;T0eTcPS2UxDlvrCd+H37DcJO+FBmtviLbFMxLmoh+7et2grACt3SnZFrmYmmM9L+NrqsmT79orXF&#10;ZsAu7fTi7u09qI4TnoNai7z3iczvrkmOyswQq61CtGzzERps9p5vkOlq3+S6dn+sKkE5ttvp3GKi&#10;sYQjM0mS4ThEEUdZlCRRPHFmgufXShv7SUBNHJFSjVH7zmJPa2Nb1V7FOZOwKqvKt3ElyTGlMULv&#10;H5wlaLyS6MPl0MbqKNvsGl/4aZ/HDrITpqehnRKj+KrEGNbM2A3TOBYYNo66vcMjrwB9QUdRUoD+&#10;+ie+08duRSklRxyzlJrHA9OCkupaYh8PJ4iGG0x/Q0L3xK4n5KFeAo5vhJtEcU86PVv1ZK6hfsA1&#10;sHCuUMQkR4cp5Vb3l6XFO4pwkXCxWHgaB1Axu5ZbxZ1xB6YD9r55YFp16Fus2y30c8hmL4rQ6rqX&#10;Ri0OFkvhK+TgbcHsUMfh9TXuFo3bDj/fvdbzOpz/AAAA//8DAFBLAwQUAAYACAAAACEAXt1rZ9oA&#10;AAAFAQAADwAAAGRycy9kb3ducmV2LnhtbEyOTUvDQBCG74L/YRnBm90YxI+YTRHxi0IPtr14m2bH&#10;bDA7G7KbJv57p170MvDyvjzzlMvZd+pAQ2wDG7hcZKCI62Bbbgzsts8Xt6BiQrbYBSYD3xRhWZ2e&#10;lFjYMPE7HTapUQLhWKABl1JfaB1rRx7jIvTE0n2GwWOSODTaDjgJ3Hc6z7Jr7bFl+eCwp0dH9ddm&#10;9Aay3bbpc3xdjeup/mD95FZvL7Mx52fzwz2oRHP6G8NRX9ShEqd9GNlG1QlDdr/32OX5leS9gfzm&#10;DnRV6v/21Q8AAAD//wMAUEsBAi0AFAAGAAgAAAAhALaDOJL+AAAA4QEAABMAAAAAAAAAAAAAAAAA&#10;AAAAAFtDb250ZW50X1R5cGVzXS54bWxQSwECLQAUAAYACAAAACEAOP0h/9YAAACUAQAACwAAAAAA&#10;AAAAAAAAAAAvAQAAX3JlbHMvLnJlbHNQSwECLQAUAAYACAAAACEA7+AtC7ECAABWBQAADgAAAAAA&#10;AAAAAAAAAAAuAgAAZHJzL2Uyb0RvYy54bWxQSwECLQAUAAYACAAAACEAXt1rZ9oAAAAFAQAADwAA&#10;AAAAAAAAAAAAAAALBQAAZHJzL2Rvd25yZXYueG1sUEsFBgAAAAAEAAQA8wAAABIGAAAAAA==&#10;" filled="f" stroked="f" strokeweight=".5pt">
              <v:textbox style="mso-fit-shape-to-text:t" inset="20pt,0,0,0">
                <w:txbxContent>
                  <w:p w14:paraId="330E14EE" w14:textId="77777777" w:rsidR="00FC517B" w:rsidRPr="007D3CDF" w:rsidRDefault="00FC517B" w:rsidP="007D3CDF">
                    <w:pPr>
                      <w:spacing w:after="0"/>
                      <w:rPr>
                        <w:rFonts w:ascii="Calibri" w:hAnsi="Calibri" w:cs="Calibri"/>
                        <w:color w:val="000000"/>
                        <w:sz w:val="22"/>
                      </w:rPr>
                    </w:pPr>
                    <w:r w:rsidRPr="007D3CDF">
                      <w:rPr>
                        <w:rFonts w:ascii="Calibri" w:hAnsi="Calibri" w:cs="Calibri"/>
                        <w:color w:val="000000"/>
                        <w:sz w:val="22"/>
                      </w:rPr>
                      <w:t>OFFICIAL</w:t>
                    </w:r>
                  </w:p>
                </w:txbxContent>
              </v:textbox>
              <w10:anchorlock/>
            </v:shape>
          </w:pict>
        </mc:Fallback>
      </mc:AlternateContent>
    </w: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9</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C60466" w14:textId="77777777" w:rsidR="00FC517B" w:rsidRDefault="00FC517B" w:rsidP="00C702C7">
      <w:pPr>
        <w:spacing w:line="240" w:lineRule="auto"/>
      </w:pPr>
      <w:r>
        <w:separator/>
      </w:r>
    </w:p>
  </w:footnote>
  <w:footnote w:type="continuationSeparator" w:id="0">
    <w:p w14:paraId="4DD09235" w14:textId="77777777" w:rsidR="00FC517B" w:rsidRDefault="00FC517B" w:rsidP="00C702C7">
      <w:pPr>
        <w:spacing w:line="240" w:lineRule="auto"/>
      </w:pPr>
      <w:r>
        <w:continuationSeparator/>
      </w:r>
    </w:p>
  </w:footnote>
  <w:footnote w:type="continuationNotice" w:id="1">
    <w:p w14:paraId="0D800689" w14:textId="77777777" w:rsidR="00FC517B" w:rsidRDefault="00FC517B">
      <w:pPr>
        <w:spacing w:after="0" w:line="240" w:lineRule="auto"/>
      </w:pPr>
    </w:p>
  </w:footnote>
  <w:footnote w:id="2">
    <w:p w14:paraId="62230E86" w14:textId="77777777" w:rsidR="00FC517B" w:rsidRDefault="00FC517B" w:rsidP="00F535F2">
      <w:pPr>
        <w:pStyle w:val="FootnoteText"/>
      </w:pPr>
      <w:r>
        <w:rPr>
          <w:rStyle w:val="FootnoteReference"/>
        </w:rPr>
        <w:footnoteRef/>
      </w:r>
      <w:r>
        <w:t xml:space="preserve"> </w:t>
      </w:r>
      <w:r w:rsidRPr="00C33FA6">
        <w:rPr>
          <w:i/>
          <w:iCs/>
        </w:rPr>
        <w:t>Subordinate Legislation Act 1994</w:t>
      </w:r>
      <w:r>
        <w:t xml:space="preserve"> and the Victorian Guide to Regulation, Toolkit 1: Purposes and types of regulation, page 5. </w:t>
      </w:r>
    </w:p>
  </w:footnote>
  <w:footnote w:id="3">
    <w:p w14:paraId="04E8F4CA" w14:textId="34DA690A" w:rsidR="00FC517B" w:rsidRDefault="00FC517B">
      <w:pPr>
        <w:pStyle w:val="FootnoteText"/>
      </w:pPr>
      <w:r>
        <w:rPr>
          <w:rStyle w:val="FootnoteReference"/>
        </w:rPr>
        <w:footnoteRef/>
      </w:r>
      <w:r>
        <w:t xml:space="preserve"> Information provided by the Department</w:t>
      </w:r>
    </w:p>
  </w:footnote>
  <w:footnote w:id="4">
    <w:p w14:paraId="689327E8" w14:textId="5B634331" w:rsidR="00FC517B" w:rsidRDefault="00FC517B">
      <w:pPr>
        <w:pStyle w:val="FootnoteText"/>
      </w:pPr>
      <w:r>
        <w:rPr>
          <w:rStyle w:val="FootnoteReference"/>
        </w:rPr>
        <w:footnoteRef/>
      </w:r>
      <w:r>
        <w:t xml:space="preserve"> Estimated at $4.56/GJ</w:t>
      </w:r>
    </w:p>
  </w:footnote>
  <w:footnote w:id="5">
    <w:p w14:paraId="06DC0BA2" w14:textId="6AFA7606" w:rsidR="00FC517B" w:rsidRDefault="00FC517B">
      <w:pPr>
        <w:pStyle w:val="FootnoteText"/>
      </w:pPr>
      <w:r>
        <w:rPr>
          <w:rStyle w:val="FootnoteReference"/>
        </w:rPr>
        <w:footnoteRef/>
      </w:r>
      <w:r>
        <w:t xml:space="preserve"> This is based on the high scenario.</w:t>
      </w:r>
    </w:p>
  </w:footnote>
  <w:footnote w:id="6">
    <w:p w14:paraId="39C85939" w14:textId="77777777" w:rsidR="00FC517B" w:rsidRDefault="00FC517B" w:rsidP="007E76C6">
      <w:pPr>
        <w:pStyle w:val="FootnoteText"/>
      </w:pPr>
      <w:r>
        <w:rPr>
          <w:rStyle w:val="FootnoteReference"/>
        </w:rPr>
        <w:footnoteRef/>
      </w:r>
      <w:r>
        <w:t xml:space="preserve"> </w:t>
      </w:r>
      <w:proofErr w:type="spellStart"/>
      <w:r>
        <w:t>AlphaBeta’s</w:t>
      </w:r>
      <w:proofErr w:type="spellEnd"/>
      <w:r>
        <w:t xml:space="preserve"> report for National Energy Resources Australia, Preparing Australia’s future oil and gas workforce, 2019.</w:t>
      </w:r>
    </w:p>
  </w:footnote>
  <w:footnote w:id="7">
    <w:p w14:paraId="74DDCEAC" w14:textId="77777777" w:rsidR="00FC517B" w:rsidRDefault="00FC517B" w:rsidP="00D60E65">
      <w:pPr>
        <w:pStyle w:val="FootnoteText"/>
      </w:pPr>
      <w:r>
        <w:rPr>
          <w:rStyle w:val="FootnoteReference"/>
        </w:rPr>
        <w:footnoteRef/>
      </w:r>
      <w:r>
        <w:t xml:space="preserve"> Department of Environment Land Water and Planning (2019), Victoria's renewable energy targets https://www.energy.vic.gov.au/renewable-energy/victorias-renewable-energy-targets</w:t>
      </w:r>
    </w:p>
  </w:footnote>
  <w:footnote w:id="8">
    <w:p w14:paraId="44AFD3ED" w14:textId="418915C0" w:rsidR="00FC517B" w:rsidRDefault="00FC517B">
      <w:pPr>
        <w:pStyle w:val="FootnoteText"/>
      </w:pPr>
      <w:r>
        <w:rPr>
          <w:rStyle w:val="FootnoteReference"/>
        </w:rPr>
        <w:footnoteRef/>
      </w:r>
      <w:r>
        <w:t xml:space="preserve"> ACCC Gas Inquiry 2017 – 2025, January 2021 Interim report, page 7. </w:t>
      </w:r>
    </w:p>
  </w:footnote>
  <w:footnote w:id="9">
    <w:p w14:paraId="0C75EE19" w14:textId="3C72079D" w:rsidR="00FC517B" w:rsidRDefault="00FC517B">
      <w:pPr>
        <w:pStyle w:val="FootnoteText"/>
      </w:pPr>
      <w:r>
        <w:rPr>
          <w:rStyle w:val="FootnoteReference"/>
        </w:rPr>
        <w:footnoteRef/>
      </w:r>
      <w:r>
        <w:t xml:space="preserve"> Ibid. </w:t>
      </w:r>
    </w:p>
  </w:footnote>
  <w:footnote w:id="10">
    <w:p w14:paraId="67AE928E" w14:textId="491F6880" w:rsidR="00FC517B" w:rsidRDefault="00FC517B">
      <w:pPr>
        <w:pStyle w:val="FootnoteText"/>
      </w:pPr>
      <w:r>
        <w:rPr>
          <w:rStyle w:val="FootnoteReference"/>
        </w:rPr>
        <w:footnoteRef/>
      </w:r>
      <w:r>
        <w:t xml:space="preserve"> This may include for example the Beach Energy announcement in relation to the Otway Basin indicating a 6% increase to 2P reserves to 97 PJ (date 15 February 2021, as compared to 30 June 2020). </w:t>
      </w:r>
    </w:p>
  </w:footnote>
  <w:footnote w:id="11">
    <w:p w14:paraId="22F3AA95" w14:textId="5E74535F" w:rsidR="00FC517B" w:rsidRDefault="00FC517B">
      <w:pPr>
        <w:pStyle w:val="FootnoteText"/>
      </w:pPr>
      <w:r>
        <w:rPr>
          <w:rStyle w:val="FootnoteReference"/>
        </w:rPr>
        <w:footnoteRef/>
      </w:r>
      <w:r>
        <w:t xml:space="preserve"> One of the main purposes of the Amendment Act is to amend the </w:t>
      </w:r>
      <w:r w:rsidRPr="00782690">
        <w:t>Petroleum Act</w:t>
      </w:r>
      <w:r>
        <w:t xml:space="preserve"> to enable prescribed social, </w:t>
      </w:r>
      <w:proofErr w:type="gramStart"/>
      <w:r>
        <w:t>environmental</w:t>
      </w:r>
      <w:proofErr w:type="gramEnd"/>
      <w:r>
        <w:t xml:space="preserve"> and economic factors to be taken into account in the making of certain decisions under the Act</w:t>
      </w:r>
    </w:p>
  </w:footnote>
  <w:footnote w:id="12">
    <w:p w14:paraId="17C06600" w14:textId="39DF8340" w:rsidR="00FC517B" w:rsidRPr="00355451" w:rsidRDefault="00FC517B">
      <w:pPr>
        <w:pStyle w:val="FootnoteText"/>
      </w:pPr>
      <w:r>
        <w:rPr>
          <w:rStyle w:val="FootnoteReference"/>
        </w:rPr>
        <w:footnoteRef/>
      </w:r>
      <w:r>
        <w:t xml:space="preserve"> Better Regulation Victoria, </w:t>
      </w:r>
      <w:r>
        <w:rPr>
          <w:i/>
          <w:iCs/>
        </w:rPr>
        <w:t>Guidance Note – Multi-Criteria Analysis</w:t>
      </w:r>
      <w:r>
        <w:t xml:space="preserve"> (2014).</w:t>
      </w:r>
    </w:p>
  </w:footnote>
  <w:footnote w:id="13">
    <w:p w14:paraId="56AAD242" w14:textId="77777777" w:rsidR="00FC517B" w:rsidRDefault="00FC517B" w:rsidP="001D5BB0">
      <w:pPr>
        <w:pStyle w:val="FootnoteText"/>
      </w:pPr>
      <w:r>
        <w:rPr>
          <w:rStyle w:val="FootnoteReference"/>
        </w:rPr>
        <w:footnoteRef/>
      </w:r>
      <w:r>
        <w:t xml:space="preserve"> Note the Code of Practice is considered as a component of Option 2 but not Option 1. </w:t>
      </w:r>
    </w:p>
  </w:footnote>
  <w:footnote w:id="14">
    <w:p w14:paraId="411515AD" w14:textId="30A420B0" w:rsidR="00FC517B" w:rsidRPr="00060CC0" w:rsidRDefault="00FC517B">
      <w:pPr>
        <w:pStyle w:val="FootnoteText"/>
      </w:pPr>
      <w:r w:rsidRPr="00060CC0">
        <w:rPr>
          <w:rStyle w:val="FootnoteReference"/>
        </w:rPr>
        <w:footnoteRef/>
      </w:r>
      <w:r w:rsidRPr="00060CC0">
        <w:t xml:space="preserve"> Better Regulation Victoria, ‘Victorian Guide to Regulation’ (November 2016)  </w:t>
      </w:r>
    </w:p>
  </w:footnote>
  <w:footnote w:id="15">
    <w:p w14:paraId="4099CF66" w14:textId="12A7A4E5" w:rsidR="00FC517B" w:rsidRDefault="00FC517B">
      <w:pPr>
        <w:pStyle w:val="FootnoteText"/>
      </w:pPr>
      <w:r>
        <w:rPr>
          <w:rStyle w:val="FootnoteReference"/>
        </w:rPr>
        <w:footnoteRef/>
      </w:r>
      <w:r>
        <w:t xml:space="preserve"> See for example the ACCC Gas Price Inquiry 2017-2025</w:t>
      </w:r>
    </w:p>
  </w:footnote>
  <w:footnote w:id="16">
    <w:p w14:paraId="006C7DE2" w14:textId="3E660835" w:rsidR="00FC517B" w:rsidRDefault="00FC517B">
      <w:pPr>
        <w:pStyle w:val="FootnoteText"/>
      </w:pPr>
      <w:r>
        <w:rPr>
          <w:rStyle w:val="FootnoteReference"/>
        </w:rPr>
        <w:footnoteRef/>
      </w:r>
      <w:r>
        <w:t xml:space="preserve"> ACCC, Gas Inquiry 2017-2020, Interim Report July 2020, p. 6.</w:t>
      </w:r>
    </w:p>
  </w:footnote>
  <w:footnote w:id="17">
    <w:p w14:paraId="71899967" w14:textId="0ADB80E1" w:rsidR="00FC517B" w:rsidRDefault="00FC517B">
      <w:pPr>
        <w:pStyle w:val="FootnoteText"/>
      </w:pPr>
      <w:r>
        <w:rPr>
          <w:rStyle w:val="FootnoteReference"/>
        </w:rPr>
        <w:footnoteRef/>
      </w:r>
      <w:r>
        <w:t xml:space="preserve"> See </w:t>
      </w:r>
      <w:r w:rsidRPr="00764E7A">
        <w:t>https://www.accc.gov.au/media-release/bhp-and-esso-to-separately-market-gippsland-basin-gas</w:t>
      </w:r>
    </w:p>
  </w:footnote>
  <w:footnote w:id="18">
    <w:p w14:paraId="7B526D2F" w14:textId="7B27408A" w:rsidR="00FC517B" w:rsidRDefault="00FC517B">
      <w:pPr>
        <w:pStyle w:val="FootnoteText"/>
      </w:pPr>
      <w:r>
        <w:rPr>
          <w:rStyle w:val="FootnoteReference"/>
        </w:rPr>
        <w:footnoteRef/>
      </w:r>
      <w:r>
        <w:t xml:space="preserve"> See https://earthresources.vic.gov.au/projects/victorian-gas-program/offshore-gas</w:t>
      </w:r>
    </w:p>
  </w:footnote>
  <w:footnote w:id="19">
    <w:p w14:paraId="6B7A777F" w14:textId="5B43B23D" w:rsidR="00FC517B" w:rsidRPr="005C044C" w:rsidRDefault="00FC517B" w:rsidP="00B166C5">
      <w:pPr>
        <w:pStyle w:val="FootnoteText"/>
        <w:rPr>
          <w:szCs w:val="16"/>
        </w:rPr>
      </w:pPr>
      <w:r w:rsidRPr="005C044C">
        <w:rPr>
          <w:rStyle w:val="FootnoteReference"/>
          <w:szCs w:val="16"/>
        </w:rPr>
        <w:footnoteRef/>
      </w:r>
      <w:r w:rsidRPr="005C044C">
        <w:rPr>
          <w:szCs w:val="16"/>
        </w:rPr>
        <w:t xml:space="preserve"> ACCC, Gas </w:t>
      </w:r>
      <w:r>
        <w:rPr>
          <w:szCs w:val="16"/>
        </w:rPr>
        <w:t>I</w:t>
      </w:r>
      <w:r w:rsidRPr="005C044C">
        <w:rPr>
          <w:szCs w:val="16"/>
        </w:rPr>
        <w:t>nquiry 2017-2020, Interim Report J</w:t>
      </w:r>
      <w:r>
        <w:rPr>
          <w:szCs w:val="16"/>
        </w:rPr>
        <w:t>anuary</w:t>
      </w:r>
      <w:r w:rsidRPr="005C044C">
        <w:rPr>
          <w:szCs w:val="16"/>
        </w:rPr>
        <w:t xml:space="preserve"> 20</w:t>
      </w:r>
      <w:r>
        <w:rPr>
          <w:szCs w:val="16"/>
        </w:rPr>
        <w:t>20</w:t>
      </w:r>
      <w:r w:rsidRPr="005C044C">
        <w:rPr>
          <w:szCs w:val="16"/>
        </w:rPr>
        <w:t xml:space="preserve">, p. </w:t>
      </w:r>
      <w:r>
        <w:rPr>
          <w:szCs w:val="16"/>
        </w:rPr>
        <w:t>119</w:t>
      </w:r>
      <w:r w:rsidRPr="005C044C">
        <w:rPr>
          <w:szCs w:val="16"/>
        </w:rPr>
        <w:t>.</w:t>
      </w:r>
    </w:p>
  </w:footnote>
  <w:footnote w:id="20">
    <w:p w14:paraId="54473866" w14:textId="24052133" w:rsidR="00FC517B" w:rsidRPr="005C044C" w:rsidRDefault="00FC517B" w:rsidP="00B166C5">
      <w:pPr>
        <w:pStyle w:val="FootnoteText"/>
        <w:rPr>
          <w:szCs w:val="16"/>
        </w:rPr>
      </w:pPr>
      <w:r w:rsidRPr="005C044C">
        <w:rPr>
          <w:rStyle w:val="FootnoteReference"/>
          <w:szCs w:val="16"/>
        </w:rPr>
        <w:footnoteRef/>
      </w:r>
      <w:r w:rsidRPr="005C044C">
        <w:rPr>
          <w:szCs w:val="16"/>
        </w:rPr>
        <w:t xml:space="preserve"> ACCC, Gas </w:t>
      </w:r>
      <w:r>
        <w:rPr>
          <w:szCs w:val="16"/>
        </w:rPr>
        <w:t>I</w:t>
      </w:r>
      <w:r w:rsidRPr="005C044C">
        <w:rPr>
          <w:szCs w:val="16"/>
        </w:rPr>
        <w:t>nquiry 2017-2020, Interim Report July 2019, p. 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9E122" w14:textId="77777777" w:rsidR="00FC517B" w:rsidRDefault="00FC51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BB6A0" w14:textId="5DA44B77" w:rsidR="00FC517B" w:rsidRDefault="00C672BD" w:rsidP="00474643">
    <w:pPr>
      <w:pStyle w:val="Header"/>
    </w:pPr>
    <w:sdt>
      <w:sdtPr>
        <w:rPr>
          <w:lang w:val="en-US"/>
        </w:rPr>
        <w:alias w:val="Title"/>
        <w:id w:val="122897596"/>
        <w:placeholder>
          <w:docPart w:val="C1FA428DBF6E4976BEC5D7994A026DD8"/>
        </w:placeholder>
        <w:dataBinding w:prefixMappings="xmlns:ns0='http://purl.org/dc/elements/1.1/' xmlns:ns1='http://schemas.openxmlformats.org/package/2006/metadata/core-properties' " w:xpath="/ns1:coreProperties[1]/ns0:title[1]" w:storeItemID="{6C3C8BC8-F283-45AE-878A-BAB7291924A1}"/>
        <w:text/>
      </w:sdtPr>
      <w:sdtEndPr/>
      <w:sdtContent>
        <w:r w:rsidR="00FC517B">
          <w:rPr>
            <w:lang w:val="en-US"/>
          </w:rPr>
          <w:t>Proposed Petroleum Regulations - Regulatory Impact Statement</w:t>
        </w:r>
      </w:sdtContent>
    </w:sdt>
  </w:p>
  <w:p w14:paraId="16FA10EA" w14:textId="77777777" w:rsidR="00FC517B" w:rsidRPr="00474643" w:rsidRDefault="00FC517B" w:rsidP="00474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A752E" w14:textId="77777777" w:rsidR="00FC517B" w:rsidRDefault="00FC51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31076" w14:textId="48DDA219" w:rsidR="00FC517B" w:rsidRPr="000116B0" w:rsidRDefault="00C672BD" w:rsidP="00474643">
    <w:pPr>
      <w:pStyle w:val="Header"/>
    </w:pPr>
    <w:sdt>
      <w:sdtPr>
        <w:alias w:val="Title"/>
        <w:id w:val="-1475904658"/>
        <w:dataBinding w:prefixMappings="xmlns:ns0='http://purl.org/dc/elements/1.1/' xmlns:ns1='http://schemas.openxmlformats.org/package/2006/metadata/core-properties' " w:xpath="/ns1:coreProperties[1]/ns0:title[1]" w:storeItemID="{6C3C8BC8-F283-45AE-878A-BAB7291924A1}"/>
        <w:text/>
      </w:sdtPr>
      <w:sdtEndPr/>
      <w:sdtContent>
        <w:r w:rsidR="00FC517B">
          <w:t>Proposed Petroleum Regulations - Regulatory Impact Statement</w:t>
        </w:r>
      </w:sdtContent>
    </w:sdt>
  </w:p>
  <w:p w14:paraId="4D7B39AF" w14:textId="1DE98DE0" w:rsidR="00FC517B" w:rsidRDefault="00FC517B" w:rsidP="004F5755">
    <w:pPr>
      <w:pStyle w:val="Header"/>
    </w:pPr>
  </w:p>
  <w:p w14:paraId="0B60DEF8" w14:textId="77777777" w:rsidR="00FC517B" w:rsidRDefault="00FC517B" w:rsidP="00474643">
    <w:pPr>
      <w:pStyle w:val="Header"/>
    </w:pPr>
    <w:r>
      <w:rPr>
        <w:noProof/>
        <w:lang w:eastAsia="en-AU"/>
      </w:rPr>
      <mc:AlternateContent>
        <mc:Choice Requires="wps">
          <w:drawing>
            <wp:anchor distT="0" distB="0" distL="0" distR="0" simplePos="0" relativeHeight="251658240" behindDoc="1" locked="1" layoutInCell="1" allowOverlap="1" wp14:anchorId="0530CC5D" wp14:editId="56AE0512">
              <wp:simplePos x="0" y="0"/>
              <wp:positionH relativeFrom="page">
                <wp:posOffset>0</wp:posOffset>
              </wp:positionH>
              <wp:positionV relativeFrom="page">
                <wp:posOffset>0</wp:posOffset>
              </wp:positionV>
              <wp:extent cx="2880000" cy="770400"/>
              <wp:effectExtent l="0" t="0" r="0" b="10795"/>
              <wp:wrapNone/>
              <wp:docPr id="14" name="Commercial-in-confidence_Hid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0BF232" w14:textId="23A9B595" w:rsidR="00FC517B" w:rsidRDefault="00FC517B" w:rsidP="00E33B5F">
                          <w:pPr>
                            <w:pStyle w:val="Footer"/>
                          </w:pPr>
                        </w:p>
                      </w:txbxContent>
                    </wps:txbx>
                    <wps:bodyPr rot="0" spcFirstLastPara="0" vertOverflow="overflow" horzOverflow="overflow" vert="horz" wrap="square" lIns="432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0CC5D" id="_x0000_t202" coordsize="21600,21600" o:spt="202" path="m,l,21600r21600,l21600,xe">
              <v:stroke joinstyle="miter"/>
              <v:path gradientshapeok="t" o:connecttype="rect"/>
            </v:shapetype>
            <v:shape id="Commercial-in-confidence_Hide" o:spid="_x0000_s1029" type="#_x0000_t202" alt="&quot;&quot;" style="position:absolute;margin-left:0;margin-top:0;width:226.75pt;height:60.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prOQIAAGEEAAAOAAAAZHJzL2Uyb0RvYy54bWysVE1PGzEQvVfqf7B8h10+ClHEBqUg2koI&#10;kABxrByvTSytPa7tsEt/fZ+92VDRnqrm4B17xvPx3nPOzgfbsRcVoiHX8IP9mjPlJLXGPTf88eFq&#10;b8ZZTMK1oiOnGv6qIj9ffPxw1vu5OqQ1da0KDElcnPe+4euU/LyqolwrK+I+eeXg1BSsSNiG56oN&#10;okd221WHdX1S9RRaH0iqGHF6OTr5ouTXWsl0q3VUiXUNR2+prKGsq7xWizMxfw7Cr43ctiH+oQsr&#10;jEPRXapLkQTbBPNHKmtkoEg67UuyFWltpCozYJqD+t0092vhVZkF4ES/gyn+v7Ty5uUuMNOCu2PO&#10;nLDg6IKsVUEa0e0ZtyfJadOCVPX9K74Zsd7HOS7ee1xNw2cacHs6jzjMQAw62PzFiAx+YP+6w1sN&#10;iUkcHs5mNX6cSfhOT+tj2Ehfvd32IaYviizLRsMD+Cwwi5frmMbQKSQXc3Rluq5w2jnWN/zk6FNd&#10;Luw8SN451MgzjL1mKw2rYURhmmNF7SvGCzRKJnp5ZdDDtYjpTgRoBG1D9+kWi+4ItWhrcbam8PNv&#10;5zke1MHLWQ/NNTz+2IigOOu+OZB6fARJZ5WWHYwwGavJcBt7QdDyAZ6Vl8XMcambTB3IPuFNLHMp&#10;uISTKNjw1WRepFH+eFNSLZclCFr0Il27ey9z6gxlhvVheBLBb7FPYO2GJkmK+TsKxtiRhOUmkTaF&#10;nwzuCOUWc+i4MLx9c/mh/L4vUW//DItfAAAA//8DAFBLAwQUAAYACAAAACEAjPsSIt8AAAAFAQAA&#10;DwAAAGRycy9kb3ducmV2LnhtbEyPzU7DMBCE70i8g7VI3KjTlqI2xKkQUoW4IPojtdyceEkC9jrE&#10;bpvy9F24wGWk1Yxmvs3mvbPigF1oPCkYDhIQSKU3DVUKNuvFzRREiJqMtp5QwQkDzPPLi0ynxh9p&#10;iYdVrASXUEi1gjrGNpUylDU6HQa+RWLv3XdORz67SppOH7ncWTlKkjvpdEO8UOsWH2ssP1d7p6CY&#10;Pc920/W32b49fSy+lruTfXltlLq+6h/uQUTs418YfvAZHXJmKvyeTBBWAT8Sf5W928l4AqLg0Gg4&#10;Bpln8j99fgYAAP//AwBQSwECLQAUAAYACAAAACEAtoM4kv4AAADhAQAAEwAAAAAAAAAAAAAAAAAA&#10;AAAAW0NvbnRlbnRfVHlwZXNdLnhtbFBLAQItABQABgAIAAAAIQA4/SH/1gAAAJQBAAALAAAAAAAA&#10;AAAAAAAAAC8BAABfcmVscy8ucmVsc1BLAQItABQABgAIAAAAIQAIX3prOQIAAGEEAAAOAAAAAAAA&#10;AAAAAAAAAC4CAABkcnMvZTJvRG9jLnhtbFBLAQItABQABgAIAAAAIQCM+xIi3wAAAAUBAAAPAAAA&#10;AAAAAAAAAAAAAJMEAABkcnMvZG93bnJldi54bWxQSwUGAAAAAAQABADzAAAAnwUAAAAA&#10;" filled="f" stroked="f" strokeweight=".5pt">
              <v:textbox inset="12mm,0,0,0">
                <w:txbxContent>
                  <w:p w14:paraId="1D0BF232" w14:textId="23A9B595" w:rsidR="00FC517B" w:rsidRDefault="00FC517B" w:rsidP="00E33B5F">
                    <w:pPr>
                      <w:pStyle w:val="Footer"/>
                    </w:pPr>
                  </w:p>
                </w:txbxContent>
              </v:textbox>
              <w10:wrap anchorx="page" anchory="page"/>
              <w10:anchorlock/>
            </v:shape>
          </w:pict>
        </mc:Fallback>
      </mc:AlternateContent>
    </w:r>
  </w:p>
  <w:p w14:paraId="1E569541" w14:textId="77777777" w:rsidR="00FC517B" w:rsidRPr="000116B0" w:rsidRDefault="00FC517B" w:rsidP="0047464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3F629" w14:textId="186A1DB1" w:rsidR="00FC517B" w:rsidRPr="000116B0" w:rsidRDefault="00C672BD" w:rsidP="00E33B5F">
    <w:pPr>
      <w:pStyle w:val="Header"/>
    </w:pPr>
    <w:sdt>
      <w:sdtPr>
        <w:alias w:val="Title"/>
        <w:id w:val="-130020643"/>
        <w:dataBinding w:prefixMappings="xmlns:ns0='http://purl.org/dc/elements/1.1/' xmlns:ns1='http://schemas.openxmlformats.org/package/2006/metadata/core-properties' " w:xpath="/ns1:coreProperties[1]/ns0:title[1]" w:storeItemID="{6C3C8BC8-F283-45AE-878A-BAB7291924A1}"/>
        <w:text/>
      </w:sdtPr>
      <w:sdtEndPr/>
      <w:sdtContent>
        <w:r w:rsidR="00FC517B">
          <w:t>Proposed Petroleum Regulations - Regulatory Impact Statement</w:t>
        </w:r>
      </w:sdtContent>
    </w:sdt>
  </w:p>
  <w:p w14:paraId="6DB7479A" w14:textId="35207F52" w:rsidR="00FC517B" w:rsidRDefault="00FC517B" w:rsidP="00E33B5F">
    <w:pPr>
      <w:pStyle w:val="Header"/>
    </w:pPr>
  </w:p>
  <w:p w14:paraId="2B42CE71" w14:textId="63B0F399" w:rsidR="00FC517B" w:rsidRDefault="00FC517B" w:rsidP="004F5755">
    <w:pPr>
      <w:pStyle w:val="Header"/>
    </w:pPr>
  </w:p>
  <w:p w14:paraId="3CF68351" w14:textId="77777777" w:rsidR="00FC517B" w:rsidRPr="00E33B5F" w:rsidRDefault="00FC517B" w:rsidP="00E33B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42B0C" w14:textId="28A55E8D" w:rsidR="00FC517B" w:rsidRPr="00C73B72" w:rsidRDefault="00FC517B" w:rsidP="00E33B5F">
    <w:pPr>
      <w:pStyle w:val="Header"/>
      <w:rPr>
        <w:color w:val="BFBFBF" w:themeColor="background1" w:themeShade="BF"/>
      </w:rPr>
    </w:pPr>
    <w:r w:rsidRPr="001528D0">
      <w:t xml:space="preserve">Proposed Petroleum Regulations - </w:t>
    </w:r>
    <w:sdt>
      <w:sdtPr>
        <w:alias w:val="Title"/>
        <w:id w:val="-1085762893"/>
        <w:dataBinding w:prefixMappings="xmlns:ns0='http://purl.org/dc/elements/1.1/' xmlns:ns1='http://schemas.openxmlformats.org/package/2006/metadata/core-properties' " w:xpath="/ns1:coreProperties[1]/ns0:title[1]" w:storeItemID="{6C3C8BC8-F283-45AE-878A-BAB7291924A1}"/>
        <w:text/>
      </w:sdtPr>
      <w:sdtEndPr/>
      <w:sdtContent>
        <w:r w:rsidRPr="001528D0">
          <w:t>Proposed Petroleum Regulations - Regulatory Impact Statement</w:t>
        </w:r>
      </w:sdtContent>
    </w:sdt>
  </w:p>
  <w:p w14:paraId="3A545083" w14:textId="42E788C7" w:rsidR="00FC517B" w:rsidRPr="00C73B72" w:rsidRDefault="00FC517B" w:rsidP="004F5755">
    <w:pPr>
      <w:pStyle w:val="Header"/>
      <w:rPr>
        <w:color w:val="BFBFBF" w:themeColor="background1" w:themeShade="BF"/>
      </w:rPr>
    </w:pPr>
  </w:p>
  <w:p w14:paraId="4FA193AC" w14:textId="6EDD697A" w:rsidR="00FC517B" w:rsidRDefault="00FC517B" w:rsidP="00E33B5F">
    <w:pPr>
      <w:pStyle w:val="Header"/>
    </w:pPr>
  </w:p>
  <w:p w14:paraId="04AAFE69" w14:textId="77777777" w:rsidR="00FC517B" w:rsidRPr="00E33B5F" w:rsidRDefault="00FC517B" w:rsidP="00E33B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1F4767"/>
    <w:multiLevelType w:val="hybridMultilevel"/>
    <w:tmpl w:val="19B0F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4E43F6"/>
    <w:multiLevelType w:val="hybridMultilevel"/>
    <w:tmpl w:val="FA285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7" w15:restartNumberingAfterBreak="0">
    <w:nsid w:val="04491E89"/>
    <w:multiLevelType w:val="hybridMultilevel"/>
    <w:tmpl w:val="4F46975C"/>
    <w:lvl w:ilvl="0" w:tplc="0B6C7128">
      <w:start w:val="1"/>
      <w:numFmt w:val="bullet"/>
      <w:lvlText w:val=""/>
      <w:lvlJc w:val="left"/>
      <w:pPr>
        <w:ind w:left="720" w:hanging="360"/>
      </w:pPr>
      <w:rPr>
        <w:rFonts w:ascii="Symbol" w:hAnsi="Symbol" w:hint="default"/>
      </w:rPr>
    </w:lvl>
    <w:lvl w:ilvl="1" w:tplc="6D560A4A">
      <w:start w:val="1"/>
      <w:numFmt w:val="bullet"/>
      <w:lvlText w:val="o"/>
      <w:lvlJc w:val="left"/>
      <w:pPr>
        <w:ind w:left="1440" w:hanging="360"/>
      </w:pPr>
      <w:rPr>
        <w:rFonts w:ascii="Courier New" w:hAnsi="Courier New" w:hint="default"/>
      </w:rPr>
    </w:lvl>
    <w:lvl w:ilvl="2" w:tplc="0EF2DBEC">
      <w:start w:val="1"/>
      <w:numFmt w:val="bullet"/>
      <w:lvlText w:val=""/>
      <w:lvlJc w:val="left"/>
      <w:pPr>
        <w:ind w:left="2160" w:hanging="360"/>
      </w:pPr>
      <w:rPr>
        <w:rFonts w:ascii="Wingdings" w:hAnsi="Wingdings" w:hint="default"/>
      </w:rPr>
    </w:lvl>
    <w:lvl w:ilvl="3" w:tplc="9E386F0C">
      <w:start w:val="1"/>
      <w:numFmt w:val="bullet"/>
      <w:lvlText w:val=""/>
      <w:lvlJc w:val="left"/>
      <w:pPr>
        <w:ind w:left="2880" w:hanging="360"/>
      </w:pPr>
      <w:rPr>
        <w:rFonts w:ascii="Symbol" w:hAnsi="Symbol" w:hint="default"/>
      </w:rPr>
    </w:lvl>
    <w:lvl w:ilvl="4" w:tplc="A0B835FA">
      <w:start w:val="1"/>
      <w:numFmt w:val="bullet"/>
      <w:lvlText w:val="o"/>
      <w:lvlJc w:val="left"/>
      <w:pPr>
        <w:ind w:left="3600" w:hanging="360"/>
      </w:pPr>
      <w:rPr>
        <w:rFonts w:ascii="Courier New" w:hAnsi="Courier New" w:hint="default"/>
      </w:rPr>
    </w:lvl>
    <w:lvl w:ilvl="5" w:tplc="3A0894DA">
      <w:start w:val="1"/>
      <w:numFmt w:val="bullet"/>
      <w:lvlText w:val=""/>
      <w:lvlJc w:val="left"/>
      <w:pPr>
        <w:ind w:left="4320" w:hanging="360"/>
      </w:pPr>
      <w:rPr>
        <w:rFonts w:ascii="Wingdings" w:hAnsi="Wingdings" w:hint="default"/>
      </w:rPr>
    </w:lvl>
    <w:lvl w:ilvl="6" w:tplc="DF9AA9C4">
      <w:start w:val="1"/>
      <w:numFmt w:val="bullet"/>
      <w:lvlText w:val=""/>
      <w:lvlJc w:val="left"/>
      <w:pPr>
        <w:ind w:left="5040" w:hanging="360"/>
      </w:pPr>
      <w:rPr>
        <w:rFonts w:ascii="Symbol" w:hAnsi="Symbol" w:hint="default"/>
      </w:rPr>
    </w:lvl>
    <w:lvl w:ilvl="7" w:tplc="7122AE1E">
      <w:start w:val="1"/>
      <w:numFmt w:val="bullet"/>
      <w:lvlText w:val="o"/>
      <w:lvlJc w:val="left"/>
      <w:pPr>
        <w:ind w:left="5760" w:hanging="360"/>
      </w:pPr>
      <w:rPr>
        <w:rFonts w:ascii="Courier New" w:hAnsi="Courier New" w:hint="default"/>
      </w:rPr>
    </w:lvl>
    <w:lvl w:ilvl="8" w:tplc="4080BC3A">
      <w:start w:val="1"/>
      <w:numFmt w:val="bullet"/>
      <w:lvlText w:val=""/>
      <w:lvlJc w:val="left"/>
      <w:pPr>
        <w:ind w:left="6480" w:hanging="360"/>
      </w:pPr>
      <w:rPr>
        <w:rFonts w:ascii="Wingdings" w:hAnsi="Wingdings" w:hint="default"/>
      </w:rPr>
    </w:lvl>
  </w:abstractNum>
  <w:abstractNum w:abstractNumId="8" w15:restartNumberingAfterBreak="0">
    <w:nsid w:val="05DE46E2"/>
    <w:multiLevelType w:val="hybridMultilevel"/>
    <w:tmpl w:val="0A1C3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FA5FF2"/>
    <w:multiLevelType w:val="hybridMultilevel"/>
    <w:tmpl w:val="F70E8038"/>
    <w:lvl w:ilvl="0" w:tplc="CE7CF162">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2F29D2"/>
    <w:multiLevelType w:val="hybridMultilevel"/>
    <w:tmpl w:val="50E268A0"/>
    <w:lvl w:ilvl="0" w:tplc="21D43DEE">
      <w:start w:val="1"/>
      <w:numFmt w:val="bullet"/>
      <w:lvlText w:val="•"/>
      <w:lvlJc w:val="left"/>
      <w:pPr>
        <w:tabs>
          <w:tab w:val="num" w:pos="720"/>
        </w:tabs>
        <w:ind w:left="720" w:hanging="360"/>
      </w:pPr>
      <w:rPr>
        <w:rFonts w:ascii="Arial" w:hAnsi="Arial" w:hint="default"/>
      </w:rPr>
    </w:lvl>
    <w:lvl w:ilvl="1" w:tplc="1C265CD4" w:tentative="1">
      <w:start w:val="1"/>
      <w:numFmt w:val="bullet"/>
      <w:lvlText w:val="•"/>
      <w:lvlJc w:val="left"/>
      <w:pPr>
        <w:tabs>
          <w:tab w:val="num" w:pos="1440"/>
        </w:tabs>
        <w:ind w:left="1440" w:hanging="360"/>
      </w:pPr>
      <w:rPr>
        <w:rFonts w:ascii="Arial" w:hAnsi="Arial" w:hint="default"/>
      </w:rPr>
    </w:lvl>
    <w:lvl w:ilvl="2" w:tplc="9D2AD3C0" w:tentative="1">
      <w:start w:val="1"/>
      <w:numFmt w:val="bullet"/>
      <w:lvlText w:val="•"/>
      <w:lvlJc w:val="left"/>
      <w:pPr>
        <w:tabs>
          <w:tab w:val="num" w:pos="2160"/>
        </w:tabs>
        <w:ind w:left="2160" w:hanging="360"/>
      </w:pPr>
      <w:rPr>
        <w:rFonts w:ascii="Arial" w:hAnsi="Arial" w:hint="default"/>
      </w:rPr>
    </w:lvl>
    <w:lvl w:ilvl="3" w:tplc="FB2A19EE" w:tentative="1">
      <w:start w:val="1"/>
      <w:numFmt w:val="bullet"/>
      <w:lvlText w:val="•"/>
      <w:lvlJc w:val="left"/>
      <w:pPr>
        <w:tabs>
          <w:tab w:val="num" w:pos="2880"/>
        </w:tabs>
        <w:ind w:left="2880" w:hanging="360"/>
      </w:pPr>
      <w:rPr>
        <w:rFonts w:ascii="Arial" w:hAnsi="Arial" w:hint="default"/>
      </w:rPr>
    </w:lvl>
    <w:lvl w:ilvl="4" w:tplc="3F5AE886" w:tentative="1">
      <w:start w:val="1"/>
      <w:numFmt w:val="bullet"/>
      <w:lvlText w:val="•"/>
      <w:lvlJc w:val="left"/>
      <w:pPr>
        <w:tabs>
          <w:tab w:val="num" w:pos="3600"/>
        </w:tabs>
        <w:ind w:left="3600" w:hanging="360"/>
      </w:pPr>
      <w:rPr>
        <w:rFonts w:ascii="Arial" w:hAnsi="Arial" w:hint="default"/>
      </w:rPr>
    </w:lvl>
    <w:lvl w:ilvl="5" w:tplc="17324490" w:tentative="1">
      <w:start w:val="1"/>
      <w:numFmt w:val="bullet"/>
      <w:lvlText w:val="•"/>
      <w:lvlJc w:val="left"/>
      <w:pPr>
        <w:tabs>
          <w:tab w:val="num" w:pos="4320"/>
        </w:tabs>
        <w:ind w:left="4320" w:hanging="360"/>
      </w:pPr>
      <w:rPr>
        <w:rFonts w:ascii="Arial" w:hAnsi="Arial" w:hint="default"/>
      </w:rPr>
    </w:lvl>
    <w:lvl w:ilvl="6" w:tplc="93186844" w:tentative="1">
      <w:start w:val="1"/>
      <w:numFmt w:val="bullet"/>
      <w:lvlText w:val="•"/>
      <w:lvlJc w:val="left"/>
      <w:pPr>
        <w:tabs>
          <w:tab w:val="num" w:pos="5040"/>
        </w:tabs>
        <w:ind w:left="5040" w:hanging="360"/>
      </w:pPr>
      <w:rPr>
        <w:rFonts w:ascii="Arial" w:hAnsi="Arial" w:hint="default"/>
      </w:rPr>
    </w:lvl>
    <w:lvl w:ilvl="7" w:tplc="602A9AF2" w:tentative="1">
      <w:start w:val="1"/>
      <w:numFmt w:val="bullet"/>
      <w:lvlText w:val="•"/>
      <w:lvlJc w:val="left"/>
      <w:pPr>
        <w:tabs>
          <w:tab w:val="num" w:pos="5760"/>
        </w:tabs>
        <w:ind w:left="5760" w:hanging="360"/>
      </w:pPr>
      <w:rPr>
        <w:rFonts w:ascii="Arial" w:hAnsi="Arial" w:hint="default"/>
      </w:rPr>
    </w:lvl>
    <w:lvl w:ilvl="8" w:tplc="C0B4476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9B34558"/>
    <w:multiLevelType w:val="hybridMultilevel"/>
    <w:tmpl w:val="E960B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E805CD"/>
    <w:multiLevelType w:val="multilevel"/>
    <w:tmpl w:val="6A244FE2"/>
    <w:lvl w:ilvl="0">
      <w:start w:val="1"/>
      <w:numFmt w:val="upperLetter"/>
      <w:pStyle w:val="Appendixhead1"/>
      <w:lvlText w:val="Appendix %1"/>
      <w:lvlJc w:val="left"/>
      <w:pPr>
        <w:ind w:left="3856" w:hanging="385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792" w:hanging="792"/>
      </w:pPr>
      <w:rPr>
        <w:rFonts w:hint="default"/>
        <w:color w:val="012169" w:themeColor="accent4"/>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3" w15:restartNumberingAfterBreak="0">
    <w:nsid w:val="0CDF7A04"/>
    <w:multiLevelType w:val="hybridMultilevel"/>
    <w:tmpl w:val="9B34A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C13B1C"/>
    <w:multiLevelType w:val="hybridMultilevel"/>
    <w:tmpl w:val="B6903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910104"/>
    <w:multiLevelType w:val="hybridMultilevel"/>
    <w:tmpl w:val="3CA2A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205499"/>
    <w:multiLevelType w:val="hybridMultilevel"/>
    <w:tmpl w:val="9200A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79747A"/>
    <w:multiLevelType w:val="multilevel"/>
    <w:tmpl w:val="4C584C80"/>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8" w15:restartNumberingAfterBreak="0">
    <w:nsid w:val="18203D11"/>
    <w:multiLevelType w:val="hybridMultilevel"/>
    <w:tmpl w:val="0CE4FA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425ABF"/>
    <w:multiLevelType w:val="hybridMultilevel"/>
    <w:tmpl w:val="30CA2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21" w15:restartNumberingAfterBreak="0">
    <w:nsid w:val="1FF409EB"/>
    <w:multiLevelType w:val="hybridMultilevel"/>
    <w:tmpl w:val="5E5C7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C14FA3"/>
    <w:multiLevelType w:val="hybridMultilevel"/>
    <w:tmpl w:val="D7E28FE4"/>
    <w:lvl w:ilvl="0" w:tplc="9214861E">
      <w:start w:val="1"/>
      <w:numFmt w:val="bullet"/>
      <w:lvlText w:val=""/>
      <w:lvlJc w:val="left"/>
      <w:pPr>
        <w:ind w:left="720" w:hanging="360"/>
      </w:pPr>
      <w:rPr>
        <w:rFonts w:ascii="Symbol" w:hAnsi="Symbol" w:hint="default"/>
      </w:rPr>
    </w:lvl>
    <w:lvl w:ilvl="1" w:tplc="C13EEAA8">
      <w:start w:val="1"/>
      <w:numFmt w:val="bullet"/>
      <w:lvlText w:val="o"/>
      <w:lvlJc w:val="left"/>
      <w:pPr>
        <w:ind w:left="1440" w:hanging="360"/>
      </w:pPr>
      <w:rPr>
        <w:rFonts w:ascii="Courier New" w:hAnsi="Courier New" w:hint="default"/>
      </w:rPr>
    </w:lvl>
    <w:lvl w:ilvl="2" w:tplc="D43E0516">
      <w:start w:val="1"/>
      <w:numFmt w:val="bullet"/>
      <w:lvlText w:val=""/>
      <w:lvlJc w:val="left"/>
      <w:pPr>
        <w:ind w:left="2160" w:hanging="360"/>
      </w:pPr>
      <w:rPr>
        <w:rFonts w:ascii="Wingdings" w:hAnsi="Wingdings" w:hint="default"/>
      </w:rPr>
    </w:lvl>
    <w:lvl w:ilvl="3" w:tplc="827EC55E">
      <w:start w:val="1"/>
      <w:numFmt w:val="bullet"/>
      <w:lvlText w:val=""/>
      <w:lvlJc w:val="left"/>
      <w:pPr>
        <w:ind w:left="2880" w:hanging="360"/>
      </w:pPr>
      <w:rPr>
        <w:rFonts w:ascii="Symbol" w:hAnsi="Symbol" w:hint="default"/>
      </w:rPr>
    </w:lvl>
    <w:lvl w:ilvl="4" w:tplc="5254DDF8">
      <w:start w:val="1"/>
      <w:numFmt w:val="bullet"/>
      <w:lvlText w:val="o"/>
      <w:lvlJc w:val="left"/>
      <w:pPr>
        <w:ind w:left="3600" w:hanging="360"/>
      </w:pPr>
      <w:rPr>
        <w:rFonts w:ascii="Courier New" w:hAnsi="Courier New" w:hint="default"/>
      </w:rPr>
    </w:lvl>
    <w:lvl w:ilvl="5" w:tplc="2ED4C1B8">
      <w:start w:val="1"/>
      <w:numFmt w:val="bullet"/>
      <w:lvlText w:val=""/>
      <w:lvlJc w:val="left"/>
      <w:pPr>
        <w:ind w:left="4320" w:hanging="360"/>
      </w:pPr>
      <w:rPr>
        <w:rFonts w:ascii="Wingdings" w:hAnsi="Wingdings" w:hint="default"/>
      </w:rPr>
    </w:lvl>
    <w:lvl w:ilvl="6" w:tplc="4CBAC980">
      <w:start w:val="1"/>
      <w:numFmt w:val="bullet"/>
      <w:lvlText w:val=""/>
      <w:lvlJc w:val="left"/>
      <w:pPr>
        <w:ind w:left="5040" w:hanging="360"/>
      </w:pPr>
      <w:rPr>
        <w:rFonts w:ascii="Symbol" w:hAnsi="Symbol" w:hint="default"/>
      </w:rPr>
    </w:lvl>
    <w:lvl w:ilvl="7" w:tplc="CA0E3054">
      <w:start w:val="1"/>
      <w:numFmt w:val="bullet"/>
      <w:lvlText w:val="o"/>
      <w:lvlJc w:val="left"/>
      <w:pPr>
        <w:ind w:left="5760" w:hanging="360"/>
      </w:pPr>
      <w:rPr>
        <w:rFonts w:ascii="Courier New" w:hAnsi="Courier New" w:hint="default"/>
      </w:rPr>
    </w:lvl>
    <w:lvl w:ilvl="8" w:tplc="755A6C78">
      <w:start w:val="1"/>
      <w:numFmt w:val="bullet"/>
      <w:lvlText w:val=""/>
      <w:lvlJc w:val="left"/>
      <w:pPr>
        <w:ind w:left="6480" w:hanging="360"/>
      </w:pPr>
      <w:rPr>
        <w:rFonts w:ascii="Wingdings" w:hAnsi="Wingdings" w:hint="default"/>
      </w:rPr>
    </w:lvl>
  </w:abstractNum>
  <w:abstractNum w:abstractNumId="23" w15:restartNumberingAfterBreak="0">
    <w:nsid w:val="2302484A"/>
    <w:multiLevelType w:val="hybridMultilevel"/>
    <w:tmpl w:val="FD821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6682703"/>
    <w:multiLevelType w:val="hybridMultilevel"/>
    <w:tmpl w:val="BDC26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2443B5"/>
    <w:multiLevelType w:val="hybridMultilevel"/>
    <w:tmpl w:val="54BE8C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8B551E8"/>
    <w:multiLevelType w:val="hybridMultilevel"/>
    <w:tmpl w:val="F3E40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28" w15:restartNumberingAfterBreak="0">
    <w:nsid w:val="2CCC41BE"/>
    <w:multiLevelType w:val="hybridMultilevel"/>
    <w:tmpl w:val="BF1AE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EA4086B"/>
    <w:multiLevelType w:val="hybridMultilevel"/>
    <w:tmpl w:val="210E660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03C2E6E"/>
    <w:multiLevelType w:val="hybridMultilevel"/>
    <w:tmpl w:val="DBB8A1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45277E6"/>
    <w:multiLevelType w:val="hybridMultilevel"/>
    <w:tmpl w:val="17B247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DC0F20"/>
    <w:multiLevelType w:val="hybridMultilevel"/>
    <w:tmpl w:val="9C644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2C510C"/>
    <w:multiLevelType w:val="hybridMultilevel"/>
    <w:tmpl w:val="0FDCCC76"/>
    <w:lvl w:ilvl="0" w:tplc="0C09000F">
      <w:start w:val="1"/>
      <w:numFmt w:val="decimal"/>
      <w:lvlText w:val="%1."/>
      <w:lvlJc w:val="left"/>
      <w:pPr>
        <w:ind w:left="720" w:hanging="72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C176DDF"/>
    <w:multiLevelType w:val="hybridMultilevel"/>
    <w:tmpl w:val="A3127438"/>
    <w:lvl w:ilvl="0" w:tplc="0B24AE4C">
      <w:start w:val="1"/>
      <w:numFmt w:val="bullet"/>
      <w:lvlText w:val="​"/>
      <w:lvlJc w:val="left"/>
      <w:pPr>
        <w:tabs>
          <w:tab w:val="num" w:pos="720"/>
        </w:tabs>
        <w:ind w:left="720" w:hanging="360"/>
      </w:pPr>
      <w:rPr>
        <w:rFonts w:ascii="Arial" w:hAnsi="Arial" w:hint="default"/>
      </w:rPr>
    </w:lvl>
    <w:lvl w:ilvl="1" w:tplc="04965D02" w:tentative="1">
      <w:start w:val="1"/>
      <w:numFmt w:val="bullet"/>
      <w:lvlText w:val="​"/>
      <w:lvlJc w:val="left"/>
      <w:pPr>
        <w:tabs>
          <w:tab w:val="num" w:pos="1440"/>
        </w:tabs>
        <w:ind w:left="1440" w:hanging="360"/>
      </w:pPr>
      <w:rPr>
        <w:rFonts w:ascii="Arial" w:hAnsi="Arial" w:hint="default"/>
      </w:rPr>
    </w:lvl>
    <w:lvl w:ilvl="2" w:tplc="A68A64DE" w:tentative="1">
      <w:start w:val="1"/>
      <w:numFmt w:val="bullet"/>
      <w:lvlText w:val="​"/>
      <w:lvlJc w:val="left"/>
      <w:pPr>
        <w:tabs>
          <w:tab w:val="num" w:pos="2160"/>
        </w:tabs>
        <w:ind w:left="2160" w:hanging="360"/>
      </w:pPr>
      <w:rPr>
        <w:rFonts w:ascii="Arial" w:hAnsi="Arial" w:hint="default"/>
      </w:rPr>
    </w:lvl>
    <w:lvl w:ilvl="3" w:tplc="27844140" w:tentative="1">
      <w:start w:val="1"/>
      <w:numFmt w:val="bullet"/>
      <w:lvlText w:val="​"/>
      <w:lvlJc w:val="left"/>
      <w:pPr>
        <w:tabs>
          <w:tab w:val="num" w:pos="2880"/>
        </w:tabs>
        <w:ind w:left="2880" w:hanging="360"/>
      </w:pPr>
      <w:rPr>
        <w:rFonts w:ascii="Arial" w:hAnsi="Arial" w:hint="default"/>
      </w:rPr>
    </w:lvl>
    <w:lvl w:ilvl="4" w:tplc="821C05B0" w:tentative="1">
      <w:start w:val="1"/>
      <w:numFmt w:val="bullet"/>
      <w:lvlText w:val="​"/>
      <w:lvlJc w:val="left"/>
      <w:pPr>
        <w:tabs>
          <w:tab w:val="num" w:pos="3600"/>
        </w:tabs>
        <w:ind w:left="3600" w:hanging="360"/>
      </w:pPr>
      <w:rPr>
        <w:rFonts w:ascii="Arial" w:hAnsi="Arial" w:hint="default"/>
      </w:rPr>
    </w:lvl>
    <w:lvl w:ilvl="5" w:tplc="83C81660" w:tentative="1">
      <w:start w:val="1"/>
      <w:numFmt w:val="bullet"/>
      <w:lvlText w:val="​"/>
      <w:lvlJc w:val="left"/>
      <w:pPr>
        <w:tabs>
          <w:tab w:val="num" w:pos="4320"/>
        </w:tabs>
        <w:ind w:left="4320" w:hanging="360"/>
      </w:pPr>
      <w:rPr>
        <w:rFonts w:ascii="Arial" w:hAnsi="Arial" w:hint="default"/>
      </w:rPr>
    </w:lvl>
    <w:lvl w:ilvl="6" w:tplc="B2C857D6" w:tentative="1">
      <w:start w:val="1"/>
      <w:numFmt w:val="bullet"/>
      <w:lvlText w:val="​"/>
      <w:lvlJc w:val="left"/>
      <w:pPr>
        <w:tabs>
          <w:tab w:val="num" w:pos="5040"/>
        </w:tabs>
        <w:ind w:left="5040" w:hanging="360"/>
      </w:pPr>
      <w:rPr>
        <w:rFonts w:ascii="Arial" w:hAnsi="Arial" w:hint="default"/>
      </w:rPr>
    </w:lvl>
    <w:lvl w:ilvl="7" w:tplc="21200BEC" w:tentative="1">
      <w:start w:val="1"/>
      <w:numFmt w:val="bullet"/>
      <w:lvlText w:val="​"/>
      <w:lvlJc w:val="left"/>
      <w:pPr>
        <w:tabs>
          <w:tab w:val="num" w:pos="5760"/>
        </w:tabs>
        <w:ind w:left="5760" w:hanging="360"/>
      </w:pPr>
      <w:rPr>
        <w:rFonts w:ascii="Arial" w:hAnsi="Arial" w:hint="default"/>
      </w:rPr>
    </w:lvl>
    <w:lvl w:ilvl="8" w:tplc="AA540B8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D693751"/>
    <w:multiLevelType w:val="hybridMultilevel"/>
    <w:tmpl w:val="6C94F87E"/>
    <w:lvl w:ilvl="0" w:tplc="E418F6DE">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FAD01D2"/>
    <w:multiLevelType w:val="multilevel"/>
    <w:tmpl w:val="75D029F4"/>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b/>
        <w:bCs/>
        <w:color w:val="012169" w:themeColor="accent4"/>
      </w:rPr>
    </w:lvl>
    <w:lvl w:ilvl="2">
      <w:start w:val="1"/>
      <w:numFmt w:val="decimal"/>
      <w:pStyle w:val="Heading3"/>
      <w:lvlText w:val="%1.%2.%3"/>
      <w:lvlJc w:val="left"/>
      <w:pPr>
        <w:ind w:left="1021" w:hanging="102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134" w:hanging="1134"/>
      </w:pPr>
      <w:rPr>
        <w:rFonts w:hint="default"/>
        <w:color w:val="012169" w:themeColor="accent4"/>
        <w:sz w:val="20"/>
        <w:szCs w:val="20"/>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0" w:firstLine="0"/>
      </w:pPr>
      <w:rPr>
        <w:rFonts w:hint="default"/>
        <w:color w:val="auto"/>
      </w:rPr>
    </w:lvl>
    <w:lvl w:ilvl="8">
      <w:start w:val="1"/>
      <w:numFmt w:val="decimal"/>
      <w:lvlRestart w:val="1"/>
      <w:pStyle w:val="CaptionFigure"/>
      <w:suff w:val="nothing"/>
      <w:lvlText w:val="Figure %1.%9"/>
      <w:lvlJc w:val="left"/>
      <w:pPr>
        <w:ind w:left="851" w:firstLine="0"/>
      </w:pPr>
      <w:rPr>
        <w:rFonts w:hint="default"/>
      </w:rPr>
    </w:lvl>
  </w:abstractNum>
  <w:abstractNum w:abstractNumId="37"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8" w15:restartNumberingAfterBreak="0">
    <w:nsid w:val="41023A33"/>
    <w:multiLevelType w:val="hybridMultilevel"/>
    <w:tmpl w:val="D436B0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3DC2450"/>
    <w:multiLevelType w:val="hybridMultilevel"/>
    <w:tmpl w:val="757ED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3E85AF0"/>
    <w:multiLevelType w:val="hybridMultilevel"/>
    <w:tmpl w:val="FBEAD33A"/>
    <w:lvl w:ilvl="0" w:tplc="F4AE5A2A">
      <w:start w:val="1"/>
      <w:numFmt w:val="bullet"/>
      <w:lvlText w:val=""/>
      <w:lvlJc w:val="left"/>
      <w:pPr>
        <w:ind w:left="720" w:hanging="360"/>
      </w:pPr>
      <w:rPr>
        <w:rFonts w:ascii="Symbol" w:hAnsi="Symbol" w:hint="default"/>
      </w:rPr>
    </w:lvl>
    <w:lvl w:ilvl="1" w:tplc="8A042AC2">
      <w:start w:val="1"/>
      <w:numFmt w:val="bullet"/>
      <w:lvlText w:val="o"/>
      <w:lvlJc w:val="left"/>
      <w:pPr>
        <w:ind w:left="1440" w:hanging="360"/>
      </w:pPr>
      <w:rPr>
        <w:rFonts w:ascii="Courier New" w:hAnsi="Courier New" w:hint="default"/>
      </w:rPr>
    </w:lvl>
    <w:lvl w:ilvl="2" w:tplc="DDE2B396">
      <w:start w:val="1"/>
      <w:numFmt w:val="bullet"/>
      <w:lvlText w:val=""/>
      <w:lvlJc w:val="left"/>
      <w:pPr>
        <w:ind w:left="2160" w:hanging="360"/>
      </w:pPr>
      <w:rPr>
        <w:rFonts w:ascii="Wingdings" w:hAnsi="Wingdings" w:hint="default"/>
      </w:rPr>
    </w:lvl>
    <w:lvl w:ilvl="3" w:tplc="34C246D0">
      <w:start w:val="1"/>
      <w:numFmt w:val="bullet"/>
      <w:lvlText w:val=""/>
      <w:lvlJc w:val="left"/>
      <w:pPr>
        <w:ind w:left="2880" w:hanging="360"/>
      </w:pPr>
      <w:rPr>
        <w:rFonts w:ascii="Symbol" w:hAnsi="Symbol" w:hint="default"/>
      </w:rPr>
    </w:lvl>
    <w:lvl w:ilvl="4" w:tplc="1100A648">
      <w:start w:val="1"/>
      <w:numFmt w:val="bullet"/>
      <w:lvlText w:val="o"/>
      <w:lvlJc w:val="left"/>
      <w:pPr>
        <w:ind w:left="3600" w:hanging="360"/>
      </w:pPr>
      <w:rPr>
        <w:rFonts w:ascii="Courier New" w:hAnsi="Courier New" w:hint="default"/>
      </w:rPr>
    </w:lvl>
    <w:lvl w:ilvl="5" w:tplc="B608C5E2">
      <w:start w:val="1"/>
      <w:numFmt w:val="bullet"/>
      <w:lvlText w:val=""/>
      <w:lvlJc w:val="left"/>
      <w:pPr>
        <w:ind w:left="4320" w:hanging="360"/>
      </w:pPr>
      <w:rPr>
        <w:rFonts w:ascii="Wingdings" w:hAnsi="Wingdings" w:hint="default"/>
      </w:rPr>
    </w:lvl>
    <w:lvl w:ilvl="6" w:tplc="0922C794">
      <w:start w:val="1"/>
      <w:numFmt w:val="bullet"/>
      <w:lvlText w:val=""/>
      <w:lvlJc w:val="left"/>
      <w:pPr>
        <w:ind w:left="5040" w:hanging="360"/>
      </w:pPr>
      <w:rPr>
        <w:rFonts w:ascii="Symbol" w:hAnsi="Symbol" w:hint="default"/>
      </w:rPr>
    </w:lvl>
    <w:lvl w:ilvl="7" w:tplc="20B8BC40">
      <w:start w:val="1"/>
      <w:numFmt w:val="bullet"/>
      <w:lvlText w:val="o"/>
      <w:lvlJc w:val="left"/>
      <w:pPr>
        <w:ind w:left="5760" w:hanging="360"/>
      </w:pPr>
      <w:rPr>
        <w:rFonts w:ascii="Courier New" w:hAnsi="Courier New" w:hint="default"/>
      </w:rPr>
    </w:lvl>
    <w:lvl w:ilvl="8" w:tplc="576C2ACC">
      <w:start w:val="1"/>
      <w:numFmt w:val="bullet"/>
      <w:lvlText w:val=""/>
      <w:lvlJc w:val="left"/>
      <w:pPr>
        <w:ind w:left="6480" w:hanging="360"/>
      </w:pPr>
      <w:rPr>
        <w:rFonts w:ascii="Wingdings" w:hAnsi="Wingdings" w:hint="default"/>
      </w:rPr>
    </w:lvl>
  </w:abstractNum>
  <w:abstractNum w:abstractNumId="41"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42"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62820EE"/>
    <w:multiLevelType w:val="hybridMultilevel"/>
    <w:tmpl w:val="1890B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69336B7"/>
    <w:multiLevelType w:val="hybridMultilevel"/>
    <w:tmpl w:val="ADCE3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6A6002E"/>
    <w:multiLevelType w:val="hybridMultilevel"/>
    <w:tmpl w:val="0F582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A252408"/>
    <w:multiLevelType w:val="hybridMultilevel"/>
    <w:tmpl w:val="F9780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BA00550"/>
    <w:multiLevelType w:val="hybridMultilevel"/>
    <w:tmpl w:val="0D98F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BEB3540"/>
    <w:multiLevelType w:val="hybridMultilevel"/>
    <w:tmpl w:val="0B0E5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CF16C8F"/>
    <w:multiLevelType w:val="hybridMultilevel"/>
    <w:tmpl w:val="F1F01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4F2C7E06"/>
    <w:multiLevelType w:val="hybridMultilevel"/>
    <w:tmpl w:val="2456392A"/>
    <w:lvl w:ilvl="0" w:tplc="0C090001">
      <w:start w:val="1"/>
      <w:numFmt w:val="bullet"/>
      <w:lvlText w:val=""/>
      <w:lvlJc w:val="left"/>
      <w:pPr>
        <w:ind w:left="781" w:hanging="360"/>
      </w:pPr>
      <w:rPr>
        <w:rFonts w:ascii="Symbol" w:hAnsi="Symbol" w:hint="default"/>
      </w:rPr>
    </w:lvl>
    <w:lvl w:ilvl="1" w:tplc="0C090003">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53" w15:restartNumberingAfterBreak="0">
    <w:nsid w:val="4FAD78EC"/>
    <w:multiLevelType w:val="hybridMultilevel"/>
    <w:tmpl w:val="B4F49358"/>
    <w:lvl w:ilvl="0" w:tplc="05502A3E">
      <w:start w:val="1"/>
      <w:numFmt w:val="bullet"/>
      <w:lvlText w:val=""/>
      <w:lvlJc w:val="left"/>
      <w:pPr>
        <w:ind w:left="720" w:hanging="360"/>
      </w:pPr>
      <w:rPr>
        <w:rFonts w:ascii="Symbol" w:hAnsi="Symbol" w:hint="default"/>
      </w:rPr>
    </w:lvl>
    <w:lvl w:ilvl="1" w:tplc="E4729A52">
      <w:start w:val="1"/>
      <w:numFmt w:val="bullet"/>
      <w:lvlText w:val="o"/>
      <w:lvlJc w:val="left"/>
      <w:pPr>
        <w:ind w:left="1440" w:hanging="360"/>
      </w:pPr>
      <w:rPr>
        <w:rFonts w:ascii="Courier New" w:hAnsi="Courier New" w:hint="default"/>
      </w:rPr>
    </w:lvl>
    <w:lvl w:ilvl="2" w:tplc="BD2CF3B4">
      <w:start w:val="1"/>
      <w:numFmt w:val="bullet"/>
      <w:lvlText w:val=""/>
      <w:lvlJc w:val="left"/>
      <w:pPr>
        <w:ind w:left="2160" w:hanging="360"/>
      </w:pPr>
      <w:rPr>
        <w:rFonts w:ascii="Wingdings" w:hAnsi="Wingdings" w:hint="default"/>
      </w:rPr>
    </w:lvl>
    <w:lvl w:ilvl="3" w:tplc="F2A8C75E">
      <w:start w:val="1"/>
      <w:numFmt w:val="bullet"/>
      <w:lvlText w:val=""/>
      <w:lvlJc w:val="left"/>
      <w:pPr>
        <w:ind w:left="2880" w:hanging="360"/>
      </w:pPr>
      <w:rPr>
        <w:rFonts w:ascii="Symbol" w:hAnsi="Symbol" w:hint="default"/>
      </w:rPr>
    </w:lvl>
    <w:lvl w:ilvl="4" w:tplc="D9FAC9FA">
      <w:start w:val="1"/>
      <w:numFmt w:val="bullet"/>
      <w:lvlText w:val="o"/>
      <w:lvlJc w:val="left"/>
      <w:pPr>
        <w:ind w:left="3600" w:hanging="360"/>
      </w:pPr>
      <w:rPr>
        <w:rFonts w:ascii="Courier New" w:hAnsi="Courier New" w:hint="default"/>
      </w:rPr>
    </w:lvl>
    <w:lvl w:ilvl="5" w:tplc="263669BE">
      <w:start w:val="1"/>
      <w:numFmt w:val="bullet"/>
      <w:lvlText w:val=""/>
      <w:lvlJc w:val="left"/>
      <w:pPr>
        <w:ind w:left="4320" w:hanging="360"/>
      </w:pPr>
      <w:rPr>
        <w:rFonts w:ascii="Wingdings" w:hAnsi="Wingdings" w:hint="default"/>
      </w:rPr>
    </w:lvl>
    <w:lvl w:ilvl="6" w:tplc="F4248C12">
      <w:start w:val="1"/>
      <w:numFmt w:val="bullet"/>
      <w:lvlText w:val=""/>
      <w:lvlJc w:val="left"/>
      <w:pPr>
        <w:ind w:left="5040" w:hanging="360"/>
      </w:pPr>
      <w:rPr>
        <w:rFonts w:ascii="Symbol" w:hAnsi="Symbol" w:hint="default"/>
      </w:rPr>
    </w:lvl>
    <w:lvl w:ilvl="7" w:tplc="380A65A6">
      <w:start w:val="1"/>
      <w:numFmt w:val="bullet"/>
      <w:lvlText w:val="o"/>
      <w:lvlJc w:val="left"/>
      <w:pPr>
        <w:ind w:left="5760" w:hanging="360"/>
      </w:pPr>
      <w:rPr>
        <w:rFonts w:ascii="Courier New" w:hAnsi="Courier New" w:hint="default"/>
      </w:rPr>
    </w:lvl>
    <w:lvl w:ilvl="8" w:tplc="EA9031CE">
      <w:start w:val="1"/>
      <w:numFmt w:val="bullet"/>
      <w:lvlText w:val=""/>
      <w:lvlJc w:val="left"/>
      <w:pPr>
        <w:ind w:left="6480" w:hanging="360"/>
      </w:pPr>
      <w:rPr>
        <w:rFonts w:ascii="Wingdings" w:hAnsi="Wingdings" w:hint="default"/>
      </w:rPr>
    </w:lvl>
  </w:abstractNum>
  <w:abstractNum w:abstractNumId="54" w15:restartNumberingAfterBreak="0">
    <w:nsid w:val="502F6B26"/>
    <w:multiLevelType w:val="hybridMultilevel"/>
    <w:tmpl w:val="DD049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45D317B"/>
    <w:multiLevelType w:val="hybridMultilevel"/>
    <w:tmpl w:val="AE1033B0"/>
    <w:lvl w:ilvl="0" w:tplc="B11A9E20">
      <w:start w:val="1"/>
      <w:numFmt w:val="bullet"/>
      <w:lvlText w:val=""/>
      <w:lvlJc w:val="left"/>
      <w:pPr>
        <w:ind w:left="720" w:hanging="360"/>
      </w:pPr>
      <w:rPr>
        <w:rFonts w:ascii="Symbol" w:hAnsi="Symbol" w:hint="default"/>
      </w:rPr>
    </w:lvl>
    <w:lvl w:ilvl="1" w:tplc="DCDC9E80">
      <w:start w:val="1"/>
      <w:numFmt w:val="bullet"/>
      <w:lvlText w:val="o"/>
      <w:lvlJc w:val="left"/>
      <w:pPr>
        <w:ind w:left="1440" w:hanging="360"/>
      </w:pPr>
      <w:rPr>
        <w:rFonts w:ascii="Courier New" w:hAnsi="Courier New" w:hint="default"/>
      </w:rPr>
    </w:lvl>
    <w:lvl w:ilvl="2" w:tplc="405A239E">
      <w:start w:val="1"/>
      <w:numFmt w:val="bullet"/>
      <w:lvlText w:val=""/>
      <w:lvlJc w:val="left"/>
      <w:pPr>
        <w:ind w:left="2160" w:hanging="360"/>
      </w:pPr>
      <w:rPr>
        <w:rFonts w:ascii="Wingdings" w:hAnsi="Wingdings" w:hint="default"/>
      </w:rPr>
    </w:lvl>
    <w:lvl w:ilvl="3" w:tplc="D8E0B972">
      <w:start w:val="1"/>
      <w:numFmt w:val="bullet"/>
      <w:lvlText w:val=""/>
      <w:lvlJc w:val="left"/>
      <w:pPr>
        <w:ind w:left="2880" w:hanging="360"/>
      </w:pPr>
      <w:rPr>
        <w:rFonts w:ascii="Symbol" w:hAnsi="Symbol" w:hint="default"/>
      </w:rPr>
    </w:lvl>
    <w:lvl w:ilvl="4" w:tplc="BBC6174C">
      <w:start w:val="1"/>
      <w:numFmt w:val="bullet"/>
      <w:lvlText w:val="o"/>
      <w:lvlJc w:val="left"/>
      <w:pPr>
        <w:ind w:left="3600" w:hanging="360"/>
      </w:pPr>
      <w:rPr>
        <w:rFonts w:ascii="Courier New" w:hAnsi="Courier New" w:hint="default"/>
      </w:rPr>
    </w:lvl>
    <w:lvl w:ilvl="5" w:tplc="1026060E">
      <w:start w:val="1"/>
      <w:numFmt w:val="bullet"/>
      <w:lvlText w:val=""/>
      <w:lvlJc w:val="left"/>
      <w:pPr>
        <w:ind w:left="4320" w:hanging="360"/>
      </w:pPr>
      <w:rPr>
        <w:rFonts w:ascii="Wingdings" w:hAnsi="Wingdings" w:hint="default"/>
      </w:rPr>
    </w:lvl>
    <w:lvl w:ilvl="6" w:tplc="C2F00A12">
      <w:start w:val="1"/>
      <w:numFmt w:val="bullet"/>
      <w:lvlText w:val=""/>
      <w:lvlJc w:val="left"/>
      <w:pPr>
        <w:ind w:left="5040" w:hanging="360"/>
      </w:pPr>
      <w:rPr>
        <w:rFonts w:ascii="Symbol" w:hAnsi="Symbol" w:hint="default"/>
      </w:rPr>
    </w:lvl>
    <w:lvl w:ilvl="7" w:tplc="9A540A90">
      <w:start w:val="1"/>
      <w:numFmt w:val="bullet"/>
      <w:lvlText w:val="o"/>
      <w:lvlJc w:val="left"/>
      <w:pPr>
        <w:ind w:left="5760" w:hanging="360"/>
      </w:pPr>
      <w:rPr>
        <w:rFonts w:ascii="Courier New" w:hAnsi="Courier New" w:hint="default"/>
      </w:rPr>
    </w:lvl>
    <w:lvl w:ilvl="8" w:tplc="B7A60602">
      <w:start w:val="1"/>
      <w:numFmt w:val="bullet"/>
      <w:lvlText w:val=""/>
      <w:lvlJc w:val="left"/>
      <w:pPr>
        <w:ind w:left="6480" w:hanging="360"/>
      </w:pPr>
      <w:rPr>
        <w:rFonts w:ascii="Wingdings" w:hAnsi="Wingdings" w:hint="default"/>
      </w:rPr>
    </w:lvl>
  </w:abstractNum>
  <w:abstractNum w:abstractNumId="56" w15:restartNumberingAfterBreak="0">
    <w:nsid w:val="564F5D95"/>
    <w:multiLevelType w:val="hybridMultilevel"/>
    <w:tmpl w:val="E2C4F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65305C7"/>
    <w:multiLevelType w:val="hybridMultilevel"/>
    <w:tmpl w:val="B58A1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7F2214A"/>
    <w:multiLevelType w:val="hybridMultilevel"/>
    <w:tmpl w:val="90CE9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954248C"/>
    <w:multiLevelType w:val="hybridMultilevel"/>
    <w:tmpl w:val="8CA07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C1E37D9"/>
    <w:multiLevelType w:val="hybridMultilevel"/>
    <w:tmpl w:val="91B6A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C376D6A"/>
    <w:multiLevelType w:val="hybridMultilevel"/>
    <w:tmpl w:val="98B4D8E0"/>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62" w15:restartNumberingAfterBreak="0">
    <w:nsid w:val="605E4A21"/>
    <w:multiLevelType w:val="hybridMultilevel"/>
    <w:tmpl w:val="2C587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64" w15:restartNumberingAfterBreak="0">
    <w:nsid w:val="61426CAC"/>
    <w:multiLevelType w:val="hybridMultilevel"/>
    <w:tmpl w:val="B82E5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2D8550B"/>
    <w:multiLevelType w:val="hybridMultilevel"/>
    <w:tmpl w:val="95A8F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67" w15:restartNumberingAfterBreak="0">
    <w:nsid w:val="6326798B"/>
    <w:multiLevelType w:val="hybridMultilevel"/>
    <w:tmpl w:val="3F06235A"/>
    <w:lvl w:ilvl="0" w:tplc="9BD82238">
      <w:start w:val="1"/>
      <w:numFmt w:val="bullet"/>
      <w:lvlText w:val=""/>
      <w:lvlJc w:val="left"/>
      <w:pPr>
        <w:ind w:left="720" w:hanging="360"/>
      </w:pPr>
      <w:rPr>
        <w:rFonts w:ascii="Symbol" w:hAnsi="Symbol" w:hint="default"/>
      </w:rPr>
    </w:lvl>
    <w:lvl w:ilvl="1" w:tplc="0F7E9DE4">
      <w:start w:val="1"/>
      <w:numFmt w:val="bullet"/>
      <w:lvlText w:val="o"/>
      <w:lvlJc w:val="left"/>
      <w:pPr>
        <w:ind w:left="1440" w:hanging="360"/>
      </w:pPr>
      <w:rPr>
        <w:rFonts w:ascii="Courier New" w:hAnsi="Courier New" w:hint="default"/>
      </w:rPr>
    </w:lvl>
    <w:lvl w:ilvl="2" w:tplc="D66C6484">
      <w:start w:val="1"/>
      <w:numFmt w:val="bullet"/>
      <w:lvlText w:val=""/>
      <w:lvlJc w:val="left"/>
      <w:pPr>
        <w:ind w:left="2160" w:hanging="360"/>
      </w:pPr>
      <w:rPr>
        <w:rFonts w:ascii="Wingdings" w:hAnsi="Wingdings" w:hint="default"/>
      </w:rPr>
    </w:lvl>
    <w:lvl w:ilvl="3" w:tplc="81F88E3A">
      <w:start w:val="1"/>
      <w:numFmt w:val="bullet"/>
      <w:lvlText w:val=""/>
      <w:lvlJc w:val="left"/>
      <w:pPr>
        <w:ind w:left="2880" w:hanging="360"/>
      </w:pPr>
      <w:rPr>
        <w:rFonts w:ascii="Symbol" w:hAnsi="Symbol" w:hint="default"/>
      </w:rPr>
    </w:lvl>
    <w:lvl w:ilvl="4" w:tplc="DDE2ACE4">
      <w:start w:val="1"/>
      <w:numFmt w:val="bullet"/>
      <w:lvlText w:val="o"/>
      <w:lvlJc w:val="left"/>
      <w:pPr>
        <w:ind w:left="3600" w:hanging="360"/>
      </w:pPr>
      <w:rPr>
        <w:rFonts w:ascii="Courier New" w:hAnsi="Courier New" w:hint="default"/>
      </w:rPr>
    </w:lvl>
    <w:lvl w:ilvl="5" w:tplc="4E0488A4">
      <w:start w:val="1"/>
      <w:numFmt w:val="bullet"/>
      <w:lvlText w:val=""/>
      <w:lvlJc w:val="left"/>
      <w:pPr>
        <w:ind w:left="4320" w:hanging="360"/>
      </w:pPr>
      <w:rPr>
        <w:rFonts w:ascii="Wingdings" w:hAnsi="Wingdings" w:hint="default"/>
      </w:rPr>
    </w:lvl>
    <w:lvl w:ilvl="6" w:tplc="8630652E">
      <w:start w:val="1"/>
      <w:numFmt w:val="bullet"/>
      <w:lvlText w:val=""/>
      <w:lvlJc w:val="left"/>
      <w:pPr>
        <w:ind w:left="5040" w:hanging="360"/>
      </w:pPr>
      <w:rPr>
        <w:rFonts w:ascii="Symbol" w:hAnsi="Symbol" w:hint="default"/>
      </w:rPr>
    </w:lvl>
    <w:lvl w:ilvl="7" w:tplc="16FC4468">
      <w:start w:val="1"/>
      <w:numFmt w:val="bullet"/>
      <w:lvlText w:val="o"/>
      <w:lvlJc w:val="left"/>
      <w:pPr>
        <w:ind w:left="5760" w:hanging="360"/>
      </w:pPr>
      <w:rPr>
        <w:rFonts w:ascii="Courier New" w:hAnsi="Courier New" w:hint="default"/>
      </w:rPr>
    </w:lvl>
    <w:lvl w:ilvl="8" w:tplc="9B708490">
      <w:start w:val="1"/>
      <w:numFmt w:val="bullet"/>
      <w:lvlText w:val=""/>
      <w:lvlJc w:val="left"/>
      <w:pPr>
        <w:ind w:left="6480" w:hanging="360"/>
      </w:pPr>
      <w:rPr>
        <w:rFonts w:ascii="Wingdings" w:hAnsi="Wingdings" w:hint="default"/>
      </w:rPr>
    </w:lvl>
  </w:abstractNum>
  <w:abstractNum w:abstractNumId="68" w15:restartNumberingAfterBreak="0">
    <w:nsid w:val="63A75A1E"/>
    <w:multiLevelType w:val="hybridMultilevel"/>
    <w:tmpl w:val="B0CAA096"/>
    <w:lvl w:ilvl="0" w:tplc="DC8459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3B01E09"/>
    <w:multiLevelType w:val="hybridMultilevel"/>
    <w:tmpl w:val="C8C23A62"/>
    <w:lvl w:ilvl="0" w:tplc="325C5E80">
      <w:start w:val="1"/>
      <w:numFmt w:val="bullet"/>
      <w:lvlText w:val=""/>
      <w:lvlJc w:val="left"/>
      <w:pPr>
        <w:ind w:left="720" w:hanging="360"/>
      </w:pPr>
      <w:rPr>
        <w:rFonts w:ascii="Symbol" w:hAnsi="Symbol" w:hint="default"/>
      </w:rPr>
    </w:lvl>
    <w:lvl w:ilvl="1" w:tplc="BC547072">
      <w:start w:val="1"/>
      <w:numFmt w:val="bullet"/>
      <w:lvlText w:val="o"/>
      <w:lvlJc w:val="left"/>
      <w:pPr>
        <w:ind w:left="1440" w:hanging="360"/>
      </w:pPr>
      <w:rPr>
        <w:rFonts w:ascii="Courier New" w:hAnsi="Courier New" w:hint="default"/>
      </w:rPr>
    </w:lvl>
    <w:lvl w:ilvl="2" w:tplc="68FAB8E4">
      <w:start w:val="1"/>
      <w:numFmt w:val="bullet"/>
      <w:lvlText w:val=""/>
      <w:lvlJc w:val="left"/>
      <w:pPr>
        <w:ind w:left="2160" w:hanging="360"/>
      </w:pPr>
      <w:rPr>
        <w:rFonts w:ascii="Wingdings" w:hAnsi="Wingdings" w:hint="default"/>
      </w:rPr>
    </w:lvl>
    <w:lvl w:ilvl="3" w:tplc="B888F28A">
      <w:start w:val="1"/>
      <w:numFmt w:val="bullet"/>
      <w:lvlText w:val=""/>
      <w:lvlJc w:val="left"/>
      <w:pPr>
        <w:ind w:left="2880" w:hanging="360"/>
      </w:pPr>
      <w:rPr>
        <w:rFonts w:ascii="Symbol" w:hAnsi="Symbol" w:hint="default"/>
      </w:rPr>
    </w:lvl>
    <w:lvl w:ilvl="4" w:tplc="2CE00D8A">
      <w:start w:val="1"/>
      <w:numFmt w:val="bullet"/>
      <w:lvlText w:val="o"/>
      <w:lvlJc w:val="left"/>
      <w:pPr>
        <w:ind w:left="3600" w:hanging="360"/>
      </w:pPr>
      <w:rPr>
        <w:rFonts w:ascii="Courier New" w:hAnsi="Courier New" w:hint="default"/>
      </w:rPr>
    </w:lvl>
    <w:lvl w:ilvl="5" w:tplc="AFA02428">
      <w:start w:val="1"/>
      <w:numFmt w:val="bullet"/>
      <w:lvlText w:val=""/>
      <w:lvlJc w:val="left"/>
      <w:pPr>
        <w:ind w:left="4320" w:hanging="360"/>
      </w:pPr>
      <w:rPr>
        <w:rFonts w:ascii="Wingdings" w:hAnsi="Wingdings" w:hint="default"/>
      </w:rPr>
    </w:lvl>
    <w:lvl w:ilvl="6" w:tplc="73EECB3A">
      <w:start w:val="1"/>
      <w:numFmt w:val="bullet"/>
      <w:lvlText w:val=""/>
      <w:lvlJc w:val="left"/>
      <w:pPr>
        <w:ind w:left="5040" w:hanging="360"/>
      </w:pPr>
      <w:rPr>
        <w:rFonts w:ascii="Symbol" w:hAnsi="Symbol" w:hint="default"/>
      </w:rPr>
    </w:lvl>
    <w:lvl w:ilvl="7" w:tplc="03BA46BA">
      <w:start w:val="1"/>
      <w:numFmt w:val="bullet"/>
      <w:lvlText w:val="o"/>
      <w:lvlJc w:val="left"/>
      <w:pPr>
        <w:ind w:left="5760" w:hanging="360"/>
      </w:pPr>
      <w:rPr>
        <w:rFonts w:ascii="Courier New" w:hAnsi="Courier New" w:hint="default"/>
      </w:rPr>
    </w:lvl>
    <w:lvl w:ilvl="8" w:tplc="C5784436">
      <w:start w:val="1"/>
      <w:numFmt w:val="bullet"/>
      <w:lvlText w:val=""/>
      <w:lvlJc w:val="left"/>
      <w:pPr>
        <w:ind w:left="6480" w:hanging="360"/>
      </w:pPr>
      <w:rPr>
        <w:rFonts w:ascii="Wingdings" w:hAnsi="Wingdings" w:hint="default"/>
      </w:rPr>
    </w:lvl>
  </w:abstractNum>
  <w:abstractNum w:abstractNumId="70" w15:restartNumberingAfterBreak="0">
    <w:nsid w:val="64235F46"/>
    <w:multiLevelType w:val="hybridMultilevel"/>
    <w:tmpl w:val="A7808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4A13138"/>
    <w:multiLevelType w:val="hybridMultilevel"/>
    <w:tmpl w:val="7E5626BE"/>
    <w:lvl w:ilvl="0" w:tplc="CD0E49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5C91950"/>
    <w:multiLevelType w:val="hybridMultilevel"/>
    <w:tmpl w:val="B2B6A5EC"/>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73" w15:restartNumberingAfterBreak="0">
    <w:nsid w:val="6A190FA0"/>
    <w:multiLevelType w:val="hybridMultilevel"/>
    <w:tmpl w:val="413CF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B026FF9"/>
    <w:multiLevelType w:val="hybridMultilevel"/>
    <w:tmpl w:val="0818F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2295539"/>
    <w:multiLevelType w:val="hybridMultilevel"/>
    <w:tmpl w:val="90F2FE1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37815E2"/>
    <w:multiLevelType w:val="hybridMultilevel"/>
    <w:tmpl w:val="101A0228"/>
    <w:lvl w:ilvl="0" w:tplc="958CB298">
      <w:start w:val="1"/>
      <w:numFmt w:val="bullet"/>
      <w:lvlText w:val="-"/>
      <w:lvlJc w:val="left"/>
      <w:pPr>
        <w:ind w:left="417" w:hanging="360"/>
      </w:pPr>
      <w:rPr>
        <w:rFonts w:ascii="Calibri" w:eastAsia="Times New Roman" w:hAnsi="Calibri" w:cs="Calibri"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77" w15:restartNumberingAfterBreak="0">
    <w:nsid w:val="73C81256"/>
    <w:multiLevelType w:val="hybridMultilevel"/>
    <w:tmpl w:val="397A7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41E67E8"/>
    <w:multiLevelType w:val="hybridMultilevel"/>
    <w:tmpl w:val="DF3EDB76"/>
    <w:lvl w:ilvl="0" w:tplc="D696ED86">
      <w:start w:val="1"/>
      <w:numFmt w:val="bullet"/>
      <w:lvlText w:val=""/>
      <w:lvlJc w:val="left"/>
      <w:pPr>
        <w:ind w:left="720" w:hanging="360"/>
      </w:pPr>
      <w:rPr>
        <w:rFonts w:ascii="Symbol" w:hAnsi="Symbol" w:hint="default"/>
      </w:rPr>
    </w:lvl>
    <w:lvl w:ilvl="1" w:tplc="B1F0F5B8">
      <w:start w:val="1"/>
      <w:numFmt w:val="bullet"/>
      <w:lvlText w:val="o"/>
      <w:lvlJc w:val="left"/>
      <w:pPr>
        <w:ind w:left="1440" w:hanging="360"/>
      </w:pPr>
      <w:rPr>
        <w:rFonts w:ascii="Courier New" w:hAnsi="Courier New" w:hint="default"/>
      </w:rPr>
    </w:lvl>
    <w:lvl w:ilvl="2" w:tplc="3B6E7260">
      <w:start w:val="1"/>
      <w:numFmt w:val="bullet"/>
      <w:lvlText w:val=""/>
      <w:lvlJc w:val="left"/>
      <w:pPr>
        <w:ind w:left="2160" w:hanging="360"/>
      </w:pPr>
      <w:rPr>
        <w:rFonts w:ascii="Wingdings" w:hAnsi="Wingdings" w:hint="default"/>
      </w:rPr>
    </w:lvl>
    <w:lvl w:ilvl="3" w:tplc="311A2ED0">
      <w:start w:val="1"/>
      <w:numFmt w:val="bullet"/>
      <w:lvlText w:val=""/>
      <w:lvlJc w:val="left"/>
      <w:pPr>
        <w:ind w:left="2880" w:hanging="360"/>
      </w:pPr>
      <w:rPr>
        <w:rFonts w:ascii="Symbol" w:hAnsi="Symbol" w:hint="default"/>
      </w:rPr>
    </w:lvl>
    <w:lvl w:ilvl="4" w:tplc="5B3C7BBC">
      <w:start w:val="1"/>
      <w:numFmt w:val="bullet"/>
      <w:lvlText w:val="o"/>
      <w:lvlJc w:val="left"/>
      <w:pPr>
        <w:ind w:left="3600" w:hanging="360"/>
      </w:pPr>
      <w:rPr>
        <w:rFonts w:ascii="Courier New" w:hAnsi="Courier New" w:hint="default"/>
      </w:rPr>
    </w:lvl>
    <w:lvl w:ilvl="5" w:tplc="63ECE252">
      <w:start w:val="1"/>
      <w:numFmt w:val="bullet"/>
      <w:lvlText w:val=""/>
      <w:lvlJc w:val="left"/>
      <w:pPr>
        <w:ind w:left="4320" w:hanging="360"/>
      </w:pPr>
      <w:rPr>
        <w:rFonts w:ascii="Wingdings" w:hAnsi="Wingdings" w:hint="default"/>
      </w:rPr>
    </w:lvl>
    <w:lvl w:ilvl="6" w:tplc="1332E340">
      <w:start w:val="1"/>
      <w:numFmt w:val="bullet"/>
      <w:lvlText w:val=""/>
      <w:lvlJc w:val="left"/>
      <w:pPr>
        <w:ind w:left="5040" w:hanging="360"/>
      </w:pPr>
      <w:rPr>
        <w:rFonts w:ascii="Symbol" w:hAnsi="Symbol" w:hint="default"/>
      </w:rPr>
    </w:lvl>
    <w:lvl w:ilvl="7" w:tplc="D17067EC">
      <w:start w:val="1"/>
      <w:numFmt w:val="bullet"/>
      <w:lvlText w:val="o"/>
      <w:lvlJc w:val="left"/>
      <w:pPr>
        <w:ind w:left="5760" w:hanging="360"/>
      </w:pPr>
      <w:rPr>
        <w:rFonts w:ascii="Courier New" w:hAnsi="Courier New" w:hint="default"/>
      </w:rPr>
    </w:lvl>
    <w:lvl w:ilvl="8" w:tplc="5AA03EEE">
      <w:start w:val="1"/>
      <w:numFmt w:val="bullet"/>
      <w:lvlText w:val=""/>
      <w:lvlJc w:val="left"/>
      <w:pPr>
        <w:ind w:left="6480" w:hanging="360"/>
      </w:pPr>
      <w:rPr>
        <w:rFonts w:ascii="Wingdings" w:hAnsi="Wingdings" w:hint="default"/>
      </w:rPr>
    </w:lvl>
  </w:abstractNum>
  <w:abstractNum w:abstractNumId="79" w15:restartNumberingAfterBreak="0">
    <w:nsid w:val="74D31029"/>
    <w:multiLevelType w:val="multilevel"/>
    <w:tmpl w:val="B080CDA2"/>
    <w:lvl w:ilvl="0">
      <w:start w:val="1"/>
      <w:numFmt w:val="bullet"/>
      <w:pStyle w:val="Bullet1"/>
      <w:lvlText w:val=""/>
      <w:lvlJc w:val="left"/>
      <w:pPr>
        <w:ind w:left="720" w:hanging="360"/>
      </w:pPr>
      <w:rPr>
        <w:rFonts w:ascii="Symbol" w:hAnsi="Symbol" w:hint="default"/>
        <w:color w:val="002776"/>
        <w:sz w:val="22"/>
      </w:rPr>
    </w:lvl>
    <w:lvl w:ilvl="1">
      <w:start w:val="1"/>
      <w:numFmt w:val="bullet"/>
      <w:lvlRestart w:val="0"/>
      <w:lvlText w:val=""/>
      <w:lvlJc w:val="left"/>
      <w:pPr>
        <w:tabs>
          <w:tab w:val="num" w:pos="1494"/>
        </w:tabs>
        <w:ind w:left="1494" w:hanging="567"/>
      </w:pPr>
      <w:rPr>
        <w:rFonts w:ascii="Wingdings 3" w:hAnsi="Wingdings 3" w:hint="default"/>
        <w:b/>
        <w:i w:val="0"/>
        <w:color w:val="931638"/>
        <w:sz w:val="24"/>
      </w:rPr>
    </w:lvl>
    <w:lvl w:ilvl="2">
      <w:start w:val="1"/>
      <w:numFmt w:val="bullet"/>
      <w:lvlText w:val="-"/>
      <w:lvlJc w:val="left"/>
      <w:pPr>
        <w:tabs>
          <w:tab w:val="num" w:pos="2061"/>
        </w:tabs>
        <w:ind w:left="2061" w:hanging="567"/>
      </w:pPr>
      <w:rPr>
        <w:rFonts w:ascii="Arial" w:hAnsi="Arial" w:hint="default"/>
        <w:color w:val="931638"/>
      </w:rPr>
    </w:lvl>
    <w:lvl w:ilvl="3">
      <w:start w:val="1"/>
      <w:numFmt w:val="decimal"/>
      <w:lvlText w:val="(%4)"/>
      <w:lvlJc w:val="left"/>
      <w:pPr>
        <w:tabs>
          <w:tab w:val="num" w:pos="9368"/>
        </w:tabs>
        <w:ind w:left="9368"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0" w15:restartNumberingAfterBreak="0">
    <w:nsid w:val="76DD44DF"/>
    <w:multiLevelType w:val="hybridMultilevel"/>
    <w:tmpl w:val="C0D09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7071CF1"/>
    <w:multiLevelType w:val="hybridMultilevel"/>
    <w:tmpl w:val="E5ACA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8B747B2"/>
    <w:multiLevelType w:val="hybridMultilevel"/>
    <w:tmpl w:val="6ADE4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9255F63"/>
    <w:multiLevelType w:val="hybridMultilevel"/>
    <w:tmpl w:val="6A7472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9A32E34"/>
    <w:multiLevelType w:val="hybridMultilevel"/>
    <w:tmpl w:val="76844A20"/>
    <w:lvl w:ilvl="0" w:tplc="23942E50">
      <w:start w:val="1"/>
      <w:numFmt w:val="bullet"/>
      <w:lvlText w:val=""/>
      <w:lvlJc w:val="left"/>
      <w:pPr>
        <w:ind w:left="720" w:hanging="360"/>
      </w:pPr>
      <w:rPr>
        <w:rFonts w:ascii="Symbol" w:hAnsi="Symbol" w:hint="default"/>
      </w:rPr>
    </w:lvl>
    <w:lvl w:ilvl="1" w:tplc="053886A0">
      <w:start w:val="1"/>
      <w:numFmt w:val="bullet"/>
      <w:lvlText w:val="o"/>
      <w:lvlJc w:val="left"/>
      <w:pPr>
        <w:ind w:left="1440" w:hanging="360"/>
      </w:pPr>
      <w:rPr>
        <w:rFonts w:ascii="Courier New" w:hAnsi="Courier New" w:hint="default"/>
      </w:rPr>
    </w:lvl>
    <w:lvl w:ilvl="2" w:tplc="4DA29BD8">
      <w:start w:val="1"/>
      <w:numFmt w:val="bullet"/>
      <w:lvlText w:val=""/>
      <w:lvlJc w:val="left"/>
      <w:pPr>
        <w:ind w:left="2160" w:hanging="360"/>
      </w:pPr>
      <w:rPr>
        <w:rFonts w:ascii="Wingdings" w:hAnsi="Wingdings" w:hint="default"/>
      </w:rPr>
    </w:lvl>
    <w:lvl w:ilvl="3" w:tplc="4F84DFA2">
      <w:start w:val="1"/>
      <w:numFmt w:val="bullet"/>
      <w:lvlText w:val=""/>
      <w:lvlJc w:val="left"/>
      <w:pPr>
        <w:ind w:left="2880" w:hanging="360"/>
      </w:pPr>
      <w:rPr>
        <w:rFonts w:ascii="Symbol" w:hAnsi="Symbol" w:hint="default"/>
      </w:rPr>
    </w:lvl>
    <w:lvl w:ilvl="4" w:tplc="FBAA60F4">
      <w:start w:val="1"/>
      <w:numFmt w:val="bullet"/>
      <w:lvlText w:val="o"/>
      <w:lvlJc w:val="left"/>
      <w:pPr>
        <w:ind w:left="3600" w:hanging="360"/>
      </w:pPr>
      <w:rPr>
        <w:rFonts w:ascii="Courier New" w:hAnsi="Courier New" w:hint="default"/>
      </w:rPr>
    </w:lvl>
    <w:lvl w:ilvl="5" w:tplc="C7605F1A">
      <w:start w:val="1"/>
      <w:numFmt w:val="bullet"/>
      <w:lvlText w:val=""/>
      <w:lvlJc w:val="left"/>
      <w:pPr>
        <w:ind w:left="4320" w:hanging="360"/>
      </w:pPr>
      <w:rPr>
        <w:rFonts w:ascii="Wingdings" w:hAnsi="Wingdings" w:hint="default"/>
      </w:rPr>
    </w:lvl>
    <w:lvl w:ilvl="6" w:tplc="E090A296">
      <w:start w:val="1"/>
      <w:numFmt w:val="bullet"/>
      <w:lvlText w:val=""/>
      <w:lvlJc w:val="left"/>
      <w:pPr>
        <w:ind w:left="5040" w:hanging="360"/>
      </w:pPr>
      <w:rPr>
        <w:rFonts w:ascii="Symbol" w:hAnsi="Symbol" w:hint="default"/>
      </w:rPr>
    </w:lvl>
    <w:lvl w:ilvl="7" w:tplc="FD96177C">
      <w:start w:val="1"/>
      <w:numFmt w:val="bullet"/>
      <w:lvlText w:val="o"/>
      <w:lvlJc w:val="left"/>
      <w:pPr>
        <w:ind w:left="5760" w:hanging="360"/>
      </w:pPr>
      <w:rPr>
        <w:rFonts w:ascii="Courier New" w:hAnsi="Courier New" w:hint="default"/>
      </w:rPr>
    </w:lvl>
    <w:lvl w:ilvl="8" w:tplc="67CC8588">
      <w:start w:val="1"/>
      <w:numFmt w:val="bullet"/>
      <w:lvlText w:val=""/>
      <w:lvlJc w:val="left"/>
      <w:pPr>
        <w:ind w:left="6480" w:hanging="360"/>
      </w:pPr>
      <w:rPr>
        <w:rFonts w:ascii="Wingdings" w:hAnsi="Wingdings" w:hint="default"/>
      </w:rPr>
    </w:lvl>
  </w:abstractNum>
  <w:abstractNum w:abstractNumId="85" w15:restartNumberingAfterBreak="0">
    <w:nsid w:val="7A5C7359"/>
    <w:multiLevelType w:val="hybridMultilevel"/>
    <w:tmpl w:val="5442FF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AFD00C6"/>
    <w:multiLevelType w:val="hybridMultilevel"/>
    <w:tmpl w:val="C5A27BD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7" w15:restartNumberingAfterBreak="0">
    <w:nsid w:val="7AFD7C32"/>
    <w:multiLevelType w:val="hybridMultilevel"/>
    <w:tmpl w:val="C55AB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C4961B0"/>
    <w:multiLevelType w:val="hybridMultilevel"/>
    <w:tmpl w:val="DF520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DA73323"/>
    <w:multiLevelType w:val="hybridMultilevel"/>
    <w:tmpl w:val="1F92A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F3E33E7"/>
    <w:multiLevelType w:val="hybridMultilevel"/>
    <w:tmpl w:val="BDEC7640"/>
    <w:lvl w:ilvl="0" w:tplc="DE5AA7EE">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6"/>
  </w:num>
  <w:num w:numId="4">
    <w:abstractNumId w:val="3"/>
  </w:num>
  <w:num w:numId="5">
    <w:abstractNumId w:val="2"/>
  </w:num>
  <w:num w:numId="6">
    <w:abstractNumId w:val="1"/>
  </w:num>
  <w:num w:numId="7">
    <w:abstractNumId w:val="0"/>
  </w:num>
  <w:num w:numId="8">
    <w:abstractNumId w:val="46"/>
  </w:num>
  <w:num w:numId="9">
    <w:abstractNumId w:val="42"/>
  </w:num>
  <w:num w:numId="10">
    <w:abstractNumId w:val="63"/>
  </w:num>
  <w:num w:numId="11">
    <w:abstractNumId w:val="17"/>
  </w:num>
  <w:num w:numId="12">
    <w:abstractNumId w:val="1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41"/>
  </w:num>
  <w:num w:numId="16">
    <w:abstractNumId w:val="37"/>
  </w:num>
  <w:num w:numId="17">
    <w:abstractNumId w:val="66"/>
  </w:num>
  <w:num w:numId="18">
    <w:abstractNumId w:val="20"/>
  </w:num>
  <w:num w:numId="19">
    <w:abstractNumId w:val="26"/>
  </w:num>
  <w:num w:numId="20">
    <w:abstractNumId w:val="29"/>
  </w:num>
  <w:num w:numId="21">
    <w:abstractNumId w:val="68"/>
  </w:num>
  <w:num w:numId="22">
    <w:abstractNumId w:val="71"/>
  </w:num>
  <w:num w:numId="23">
    <w:abstractNumId w:val="19"/>
  </w:num>
  <w:num w:numId="24">
    <w:abstractNumId w:val="44"/>
  </w:num>
  <w:num w:numId="25">
    <w:abstractNumId w:val="35"/>
  </w:num>
  <w:num w:numId="26">
    <w:abstractNumId w:val="33"/>
  </w:num>
  <w:num w:numId="27">
    <w:abstractNumId w:val="25"/>
  </w:num>
  <w:num w:numId="28">
    <w:abstractNumId w:val="24"/>
  </w:num>
  <w:num w:numId="29">
    <w:abstractNumId w:val="59"/>
  </w:num>
  <w:num w:numId="30">
    <w:abstractNumId w:val="52"/>
  </w:num>
  <w:num w:numId="31">
    <w:abstractNumId w:val="47"/>
  </w:num>
  <w:num w:numId="32">
    <w:abstractNumId w:val="9"/>
  </w:num>
  <w:num w:numId="33">
    <w:abstractNumId w:val="79"/>
  </w:num>
  <w:num w:numId="34">
    <w:abstractNumId w:val="50"/>
  </w:num>
  <w:num w:numId="35">
    <w:abstractNumId w:val="56"/>
  </w:num>
  <w:num w:numId="36">
    <w:abstractNumId w:val="39"/>
  </w:num>
  <w:num w:numId="37">
    <w:abstractNumId w:val="31"/>
  </w:num>
  <w:num w:numId="38">
    <w:abstractNumId w:val="72"/>
  </w:num>
  <w:num w:numId="39">
    <w:abstractNumId w:val="70"/>
  </w:num>
  <w:num w:numId="40">
    <w:abstractNumId w:val="58"/>
  </w:num>
  <w:num w:numId="41">
    <w:abstractNumId w:val="84"/>
  </w:num>
  <w:num w:numId="42">
    <w:abstractNumId w:val="53"/>
  </w:num>
  <w:num w:numId="43">
    <w:abstractNumId w:val="55"/>
  </w:num>
  <w:num w:numId="44">
    <w:abstractNumId w:val="40"/>
  </w:num>
  <w:num w:numId="45">
    <w:abstractNumId w:val="7"/>
  </w:num>
  <w:num w:numId="46">
    <w:abstractNumId w:val="22"/>
  </w:num>
  <w:num w:numId="47">
    <w:abstractNumId w:val="62"/>
  </w:num>
  <w:num w:numId="48">
    <w:abstractNumId w:val="49"/>
  </w:num>
  <w:num w:numId="49">
    <w:abstractNumId w:val="76"/>
  </w:num>
  <w:num w:numId="50">
    <w:abstractNumId w:val="69"/>
  </w:num>
  <w:num w:numId="51">
    <w:abstractNumId w:val="78"/>
  </w:num>
  <w:num w:numId="52">
    <w:abstractNumId w:val="67"/>
  </w:num>
  <w:num w:numId="53">
    <w:abstractNumId w:val="30"/>
  </w:num>
  <w:num w:numId="54">
    <w:abstractNumId w:val="21"/>
  </w:num>
  <w:num w:numId="55">
    <w:abstractNumId w:val="16"/>
  </w:num>
  <w:num w:numId="56">
    <w:abstractNumId w:val="57"/>
  </w:num>
  <w:num w:numId="57">
    <w:abstractNumId w:val="65"/>
  </w:num>
  <w:num w:numId="58">
    <w:abstractNumId w:val="77"/>
  </w:num>
  <w:num w:numId="59">
    <w:abstractNumId w:val="82"/>
  </w:num>
  <w:num w:numId="60">
    <w:abstractNumId w:val="75"/>
  </w:num>
  <w:num w:numId="61">
    <w:abstractNumId w:val="86"/>
  </w:num>
  <w:num w:numId="62">
    <w:abstractNumId w:val="85"/>
  </w:num>
  <w:num w:numId="63">
    <w:abstractNumId w:val="28"/>
  </w:num>
  <w:num w:numId="64">
    <w:abstractNumId w:val="43"/>
  </w:num>
  <w:num w:numId="65">
    <w:abstractNumId w:val="74"/>
  </w:num>
  <w:num w:numId="66">
    <w:abstractNumId w:val="80"/>
  </w:num>
  <w:num w:numId="67">
    <w:abstractNumId w:val="48"/>
  </w:num>
  <w:num w:numId="68">
    <w:abstractNumId w:val="15"/>
  </w:num>
  <w:num w:numId="69">
    <w:abstractNumId w:val="4"/>
  </w:num>
  <w:num w:numId="70">
    <w:abstractNumId w:val="23"/>
  </w:num>
  <w:num w:numId="71">
    <w:abstractNumId w:val="18"/>
  </w:num>
  <w:num w:numId="72">
    <w:abstractNumId w:val="60"/>
  </w:num>
  <w:num w:numId="73">
    <w:abstractNumId w:val="54"/>
  </w:num>
  <w:num w:numId="74">
    <w:abstractNumId w:val="13"/>
  </w:num>
  <w:num w:numId="75">
    <w:abstractNumId w:val="32"/>
  </w:num>
  <w:num w:numId="76">
    <w:abstractNumId w:val="45"/>
  </w:num>
  <w:num w:numId="77">
    <w:abstractNumId w:val="88"/>
  </w:num>
  <w:num w:numId="78">
    <w:abstractNumId w:val="81"/>
  </w:num>
  <w:num w:numId="79">
    <w:abstractNumId w:val="83"/>
  </w:num>
  <w:num w:numId="80">
    <w:abstractNumId w:val="73"/>
  </w:num>
  <w:num w:numId="81">
    <w:abstractNumId w:val="61"/>
  </w:num>
  <w:num w:numId="82">
    <w:abstractNumId w:val="89"/>
  </w:num>
  <w:num w:numId="83">
    <w:abstractNumId w:val="14"/>
  </w:num>
  <w:num w:numId="84">
    <w:abstractNumId w:val="8"/>
  </w:num>
  <w:num w:numId="85">
    <w:abstractNumId w:val="90"/>
  </w:num>
  <w:num w:numId="86">
    <w:abstractNumId w:val="5"/>
  </w:num>
  <w:num w:numId="87">
    <w:abstractNumId w:val="11"/>
  </w:num>
  <w:num w:numId="88">
    <w:abstractNumId w:val="38"/>
  </w:num>
  <w:num w:numId="89">
    <w:abstractNumId w:val="87"/>
  </w:num>
  <w:num w:numId="90">
    <w:abstractNumId w:val="64"/>
  </w:num>
  <w:num w:numId="91">
    <w:abstractNumId w:val="34"/>
  </w:num>
  <w:num w:numId="92">
    <w:abstractNumId w:val="1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en-AU" w:vendorID="64" w:dllVersion="4096" w:nlCheck="1" w:checkStyle="0"/>
  <w:proofState w:spelling="clean" w:grammar="clean"/>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AB"/>
    <w:rsid w:val="000003B2"/>
    <w:rsid w:val="0000059F"/>
    <w:rsid w:val="000005FE"/>
    <w:rsid w:val="00000769"/>
    <w:rsid w:val="00000ACD"/>
    <w:rsid w:val="00000B3B"/>
    <w:rsid w:val="00000CA5"/>
    <w:rsid w:val="00000D0A"/>
    <w:rsid w:val="00000D2D"/>
    <w:rsid w:val="00000DB8"/>
    <w:rsid w:val="00000DD3"/>
    <w:rsid w:val="00001289"/>
    <w:rsid w:val="00001496"/>
    <w:rsid w:val="000017E8"/>
    <w:rsid w:val="0000180F"/>
    <w:rsid w:val="0000183C"/>
    <w:rsid w:val="000018C4"/>
    <w:rsid w:val="00001C05"/>
    <w:rsid w:val="00001EEE"/>
    <w:rsid w:val="0000296A"/>
    <w:rsid w:val="00002A38"/>
    <w:rsid w:val="00002ABF"/>
    <w:rsid w:val="00002DA5"/>
    <w:rsid w:val="00002FE8"/>
    <w:rsid w:val="00003038"/>
    <w:rsid w:val="0000340B"/>
    <w:rsid w:val="00003692"/>
    <w:rsid w:val="000038E1"/>
    <w:rsid w:val="00003B1B"/>
    <w:rsid w:val="00003B3B"/>
    <w:rsid w:val="00003D20"/>
    <w:rsid w:val="00003E4E"/>
    <w:rsid w:val="00003FA5"/>
    <w:rsid w:val="0000452E"/>
    <w:rsid w:val="000047A8"/>
    <w:rsid w:val="00004C39"/>
    <w:rsid w:val="00004E9B"/>
    <w:rsid w:val="00004FBB"/>
    <w:rsid w:val="00004FC1"/>
    <w:rsid w:val="0000508A"/>
    <w:rsid w:val="00005090"/>
    <w:rsid w:val="0000550B"/>
    <w:rsid w:val="00005557"/>
    <w:rsid w:val="00005B54"/>
    <w:rsid w:val="00005F5E"/>
    <w:rsid w:val="00005F69"/>
    <w:rsid w:val="0000605F"/>
    <w:rsid w:val="000060A7"/>
    <w:rsid w:val="000060B9"/>
    <w:rsid w:val="000063C9"/>
    <w:rsid w:val="000066C4"/>
    <w:rsid w:val="0000675F"/>
    <w:rsid w:val="00006B47"/>
    <w:rsid w:val="00006CF7"/>
    <w:rsid w:val="0000705A"/>
    <w:rsid w:val="0000716B"/>
    <w:rsid w:val="0000720F"/>
    <w:rsid w:val="00007310"/>
    <w:rsid w:val="0000766F"/>
    <w:rsid w:val="00007ACB"/>
    <w:rsid w:val="00007BFB"/>
    <w:rsid w:val="00007D51"/>
    <w:rsid w:val="00007D63"/>
    <w:rsid w:val="00007EE2"/>
    <w:rsid w:val="00007EE8"/>
    <w:rsid w:val="00007F5E"/>
    <w:rsid w:val="00010077"/>
    <w:rsid w:val="00010777"/>
    <w:rsid w:val="00010DD4"/>
    <w:rsid w:val="00011075"/>
    <w:rsid w:val="00011177"/>
    <w:rsid w:val="00011361"/>
    <w:rsid w:val="00011373"/>
    <w:rsid w:val="000113C4"/>
    <w:rsid w:val="0001144F"/>
    <w:rsid w:val="00011501"/>
    <w:rsid w:val="000115B0"/>
    <w:rsid w:val="0001166D"/>
    <w:rsid w:val="000116B0"/>
    <w:rsid w:val="000117A7"/>
    <w:rsid w:val="00011AA7"/>
    <w:rsid w:val="00011C70"/>
    <w:rsid w:val="00011C7E"/>
    <w:rsid w:val="00011E10"/>
    <w:rsid w:val="00011E59"/>
    <w:rsid w:val="00012069"/>
    <w:rsid w:val="000120F1"/>
    <w:rsid w:val="0001248A"/>
    <w:rsid w:val="000124E0"/>
    <w:rsid w:val="00012746"/>
    <w:rsid w:val="00012801"/>
    <w:rsid w:val="0001294B"/>
    <w:rsid w:val="00012C47"/>
    <w:rsid w:val="00012CEF"/>
    <w:rsid w:val="00012DD6"/>
    <w:rsid w:val="00012F67"/>
    <w:rsid w:val="00013141"/>
    <w:rsid w:val="000131A3"/>
    <w:rsid w:val="00013BDC"/>
    <w:rsid w:val="00013C3D"/>
    <w:rsid w:val="00013D2A"/>
    <w:rsid w:val="00013D7B"/>
    <w:rsid w:val="00013ECC"/>
    <w:rsid w:val="00013F88"/>
    <w:rsid w:val="000140E2"/>
    <w:rsid w:val="0001446B"/>
    <w:rsid w:val="000144C5"/>
    <w:rsid w:val="00014548"/>
    <w:rsid w:val="0001454B"/>
    <w:rsid w:val="00014618"/>
    <w:rsid w:val="0001462C"/>
    <w:rsid w:val="00014671"/>
    <w:rsid w:val="00014B89"/>
    <w:rsid w:val="00014DF9"/>
    <w:rsid w:val="00014FD3"/>
    <w:rsid w:val="00014FD8"/>
    <w:rsid w:val="0001507E"/>
    <w:rsid w:val="00015209"/>
    <w:rsid w:val="00015506"/>
    <w:rsid w:val="0001592F"/>
    <w:rsid w:val="00015A14"/>
    <w:rsid w:val="00015B30"/>
    <w:rsid w:val="00015BA2"/>
    <w:rsid w:val="00015BEE"/>
    <w:rsid w:val="00015E0F"/>
    <w:rsid w:val="000162CB"/>
    <w:rsid w:val="0001651D"/>
    <w:rsid w:val="000165C4"/>
    <w:rsid w:val="000166D7"/>
    <w:rsid w:val="00016779"/>
    <w:rsid w:val="000169A4"/>
    <w:rsid w:val="00016B27"/>
    <w:rsid w:val="00016B5C"/>
    <w:rsid w:val="00016BE4"/>
    <w:rsid w:val="00016C5A"/>
    <w:rsid w:val="00016EDA"/>
    <w:rsid w:val="00017255"/>
    <w:rsid w:val="000173B3"/>
    <w:rsid w:val="0001744A"/>
    <w:rsid w:val="000175AE"/>
    <w:rsid w:val="000177AD"/>
    <w:rsid w:val="0001782D"/>
    <w:rsid w:val="00017BC4"/>
    <w:rsid w:val="00017C33"/>
    <w:rsid w:val="00017CFC"/>
    <w:rsid w:val="000200C2"/>
    <w:rsid w:val="00020297"/>
    <w:rsid w:val="00020445"/>
    <w:rsid w:val="000208DA"/>
    <w:rsid w:val="000209E0"/>
    <w:rsid w:val="00020BBD"/>
    <w:rsid w:val="00020D35"/>
    <w:rsid w:val="00020D44"/>
    <w:rsid w:val="00020ED2"/>
    <w:rsid w:val="00021115"/>
    <w:rsid w:val="000214F3"/>
    <w:rsid w:val="0002158E"/>
    <w:rsid w:val="000216FB"/>
    <w:rsid w:val="00021799"/>
    <w:rsid w:val="00021A39"/>
    <w:rsid w:val="00021A7D"/>
    <w:rsid w:val="00021C93"/>
    <w:rsid w:val="00021D13"/>
    <w:rsid w:val="00021EDE"/>
    <w:rsid w:val="00021FC5"/>
    <w:rsid w:val="00022453"/>
    <w:rsid w:val="00022534"/>
    <w:rsid w:val="000228ED"/>
    <w:rsid w:val="0002293C"/>
    <w:rsid w:val="00022940"/>
    <w:rsid w:val="00022ABE"/>
    <w:rsid w:val="00022B90"/>
    <w:rsid w:val="00022D2D"/>
    <w:rsid w:val="00023501"/>
    <w:rsid w:val="0002355C"/>
    <w:rsid w:val="000238A1"/>
    <w:rsid w:val="000238A4"/>
    <w:rsid w:val="00023BE6"/>
    <w:rsid w:val="00023C6B"/>
    <w:rsid w:val="00023E87"/>
    <w:rsid w:val="00023F72"/>
    <w:rsid w:val="000241C2"/>
    <w:rsid w:val="0002429C"/>
    <w:rsid w:val="0002432E"/>
    <w:rsid w:val="00024382"/>
    <w:rsid w:val="00024425"/>
    <w:rsid w:val="00024485"/>
    <w:rsid w:val="000244F7"/>
    <w:rsid w:val="0002455B"/>
    <w:rsid w:val="00024655"/>
    <w:rsid w:val="00024775"/>
    <w:rsid w:val="00024BEA"/>
    <w:rsid w:val="00024DD2"/>
    <w:rsid w:val="00024E32"/>
    <w:rsid w:val="00024F0C"/>
    <w:rsid w:val="00024FF6"/>
    <w:rsid w:val="00025039"/>
    <w:rsid w:val="00025608"/>
    <w:rsid w:val="00025682"/>
    <w:rsid w:val="00025706"/>
    <w:rsid w:val="0002585B"/>
    <w:rsid w:val="000258F2"/>
    <w:rsid w:val="00025A5B"/>
    <w:rsid w:val="00025B11"/>
    <w:rsid w:val="00025E7D"/>
    <w:rsid w:val="000261A2"/>
    <w:rsid w:val="000266D2"/>
    <w:rsid w:val="00026BD3"/>
    <w:rsid w:val="00026C26"/>
    <w:rsid w:val="00026CB4"/>
    <w:rsid w:val="00026D56"/>
    <w:rsid w:val="00026FE0"/>
    <w:rsid w:val="00027004"/>
    <w:rsid w:val="000278F9"/>
    <w:rsid w:val="0002799F"/>
    <w:rsid w:val="00027A6C"/>
    <w:rsid w:val="00027B4C"/>
    <w:rsid w:val="00027C6C"/>
    <w:rsid w:val="00027D0C"/>
    <w:rsid w:val="00027FA7"/>
    <w:rsid w:val="00030086"/>
    <w:rsid w:val="0003034E"/>
    <w:rsid w:val="00030617"/>
    <w:rsid w:val="000308C8"/>
    <w:rsid w:val="000308EC"/>
    <w:rsid w:val="000308F3"/>
    <w:rsid w:val="00030A7B"/>
    <w:rsid w:val="00030D8A"/>
    <w:rsid w:val="00030FB1"/>
    <w:rsid w:val="0003118B"/>
    <w:rsid w:val="000311C0"/>
    <w:rsid w:val="00031458"/>
    <w:rsid w:val="000315B9"/>
    <w:rsid w:val="00031699"/>
    <w:rsid w:val="00031762"/>
    <w:rsid w:val="00031837"/>
    <w:rsid w:val="0003197A"/>
    <w:rsid w:val="00031B67"/>
    <w:rsid w:val="00031CA2"/>
    <w:rsid w:val="00031CBE"/>
    <w:rsid w:val="00031F08"/>
    <w:rsid w:val="000320A3"/>
    <w:rsid w:val="00032435"/>
    <w:rsid w:val="000325CD"/>
    <w:rsid w:val="00032645"/>
    <w:rsid w:val="00032EDD"/>
    <w:rsid w:val="000331E3"/>
    <w:rsid w:val="00033437"/>
    <w:rsid w:val="000334F6"/>
    <w:rsid w:val="00033924"/>
    <w:rsid w:val="00033DCD"/>
    <w:rsid w:val="000341AC"/>
    <w:rsid w:val="0003438F"/>
    <w:rsid w:val="000347CB"/>
    <w:rsid w:val="00034AC1"/>
    <w:rsid w:val="00034C03"/>
    <w:rsid w:val="00034C1A"/>
    <w:rsid w:val="00034CEB"/>
    <w:rsid w:val="00034D79"/>
    <w:rsid w:val="00034F94"/>
    <w:rsid w:val="000354EC"/>
    <w:rsid w:val="000357AB"/>
    <w:rsid w:val="000359CC"/>
    <w:rsid w:val="00035A8B"/>
    <w:rsid w:val="00035BFB"/>
    <w:rsid w:val="00035DBA"/>
    <w:rsid w:val="00035E41"/>
    <w:rsid w:val="00036262"/>
    <w:rsid w:val="00036559"/>
    <w:rsid w:val="000365FE"/>
    <w:rsid w:val="00036769"/>
    <w:rsid w:val="00036CF5"/>
    <w:rsid w:val="000373D0"/>
    <w:rsid w:val="000374F6"/>
    <w:rsid w:val="00037644"/>
    <w:rsid w:val="0003766F"/>
    <w:rsid w:val="00037765"/>
    <w:rsid w:val="0003781B"/>
    <w:rsid w:val="00037A63"/>
    <w:rsid w:val="00037C17"/>
    <w:rsid w:val="00037DBE"/>
    <w:rsid w:val="000400DC"/>
    <w:rsid w:val="000405EE"/>
    <w:rsid w:val="000408E2"/>
    <w:rsid w:val="000409DC"/>
    <w:rsid w:val="00040D96"/>
    <w:rsid w:val="00040E46"/>
    <w:rsid w:val="00040F7C"/>
    <w:rsid w:val="00041108"/>
    <w:rsid w:val="000411BA"/>
    <w:rsid w:val="000414A0"/>
    <w:rsid w:val="00041953"/>
    <w:rsid w:val="00041992"/>
    <w:rsid w:val="00041AB6"/>
    <w:rsid w:val="00041B15"/>
    <w:rsid w:val="00041DB4"/>
    <w:rsid w:val="00041E4A"/>
    <w:rsid w:val="0004229F"/>
    <w:rsid w:val="000425F3"/>
    <w:rsid w:val="0004262D"/>
    <w:rsid w:val="00042696"/>
    <w:rsid w:val="000429AC"/>
    <w:rsid w:val="00042ACD"/>
    <w:rsid w:val="00042B6A"/>
    <w:rsid w:val="00042B99"/>
    <w:rsid w:val="00043105"/>
    <w:rsid w:val="000431B0"/>
    <w:rsid w:val="00043224"/>
    <w:rsid w:val="000433A4"/>
    <w:rsid w:val="00043A32"/>
    <w:rsid w:val="00043C6D"/>
    <w:rsid w:val="00043CDD"/>
    <w:rsid w:val="0004400C"/>
    <w:rsid w:val="000442AB"/>
    <w:rsid w:val="00044A85"/>
    <w:rsid w:val="0004517A"/>
    <w:rsid w:val="000452E8"/>
    <w:rsid w:val="0004538C"/>
    <w:rsid w:val="0004551E"/>
    <w:rsid w:val="000458ED"/>
    <w:rsid w:val="00045AA5"/>
    <w:rsid w:val="00045CCA"/>
    <w:rsid w:val="00045ECA"/>
    <w:rsid w:val="00045ECD"/>
    <w:rsid w:val="000462BC"/>
    <w:rsid w:val="000462D0"/>
    <w:rsid w:val="00046506"/>
    <w:rsid w:val="00046AF1"/>
    <w:rsid w:val="00046B97"/>
    <w:rsid w:val="00047884"/>
    <w:rsid w:val="00047D97"/>
    <w:rsid w:val="0005021C"/>
    <w:rsid w:val="000504EC"/>
    <w:rsid w:val="00050628"/>
    <w:rsid w:val="00050661"/>
    <w:rsid w:val="000506E6"/>
    <w:rsid w:val="00050788"/>
    <w:rsid w:val="00050A43"/>
    <w:rsid w:val="00050B9A"/>
    <w:rsid w:val="00050DF2"/>
    <w:rsid w:val="00050F7A"/>
    <w:rsid w:val="0005106B"/>
    <w:rsid w:val="0005140D"/>
    <w:rsid w:val="0005153F"/>
    <w:rsid w:val="000516C4"/>
    <w:rsid w:val="00051711"/>
    <w:rsid w:val="000517C0"/>
    <w:rsid w:val="000519D9"/>
    <w:rsid w:val="00051A88"/>
    <w:rsid w:val="000522CC"/>
    <w:rsid w:val="0005233A"/>
    <w:rsid w:val="000526C6"/>
    <w:rsid w:val="000527AF"/>
    <w:rsid w:val="000528F6"/>
    <w:rsid w:val="00052A7B"/>
    <w:rsid w:val="00052E25"/>
    <w:rsid w:val="000531E0"/>
    <w:rsid w:val="00053250"/>
    <w:rsid w:val="00053288"/>
    <w:rsid w:val="00053535"/>
    <w:rsid w:val="00053AA0"/>
    <w:rsid w:val="00053DC2"/>
    <w:rsid w:val="000543AC"/>
    <w:rsid w:val="000543D7"/>
    <w:rsid w:val="0005456C"/>
    <w:rsid w:val="000546BF"/>
    <w:rsid w:val="000548F3"/>
    <w:rsid w:val="00054EBC"/>
    <w:rsid w:val="00055435"/>
    <w:rsid w:val="00055748"/>
    <w:rsid w:val="00055763"/>
    <w:rsid w:val="00055AA9"/>
    <w:rsid w:val="00055BC5"/>
    <w:rsid w:val="00055E03"/>
    <w:rsid w:val="00055FE4"/>
    <w:rsid w:val="00056495"/>
    <w:rsid w:val="00056762"/>
    <w:rsid w:val="00056A8A"/>
    <w:rsid w:val="00056CCC"/>
    <w:rsid w:val="0005709A"/>
    <w:rsid w:val="000570AF"/>
    <w:rsid w:val="000570DF"/>
    <w:rsid w:val="0005731B"/>
    <w:rsid w:val="000574DC"/>
    <w:rsid w:val="0005770E"/>
    <w:rsid w:val="00057940"/>
    <w:rsid w:val="00057AEF"/>
    <w:rsid w:val="00057C98"/>
    <w:rsid w:val="00057D70"/>
    <w:rsid w:val="00057D73"/>
    <w:rsid w:val="000601D5"/>
    <w:rsid w:val="00060235"/>
    <w:rsid w:val="000602DD"/>
    <w:rsid w:val="00060A4F"/>
    <w:rsid w:val="00060ADC"/>
    <w:rsid w:val="00060AFC"/>
    <w:rsid w:val="00060C53"/>
    <w:rsid w:val="00060CC0"/>
    <w:rsid w:val="00060DD4"/>
    <w:rsid w:val="0006111A"/>
    <w:rsid w:val="00061519"/>
    <w:rsid w:val="000616AC"/>
    <w:rsid w:val="00061AA7"/>
    <w:rsid w:val="00061C3D"/>
    <w:rsid w:val="00061CB6"/>
    <w:rsid w:val="00061CF1"/>
    <w:rsid w:val="00061E5D"/>
    <w:rsid w:val="00061EBA"/>
    <w:rsid w:val="000620F1"/>
    <w:rsid w:val="0006231F"/>
    <w:rsid w:val="0006248E"/>
    <w:rsid w:val="00062554"/>
    <w:rsid w:val="00062768"/>
    <w:rsid w:val="00062961"/>
    <w:rsid w:val="000629EA"/>
    <w:rsid w:val="00062AC7"/>
    <w:rsid w:val="00063093"/>
    <w:rsid w:val="000630CD"/>
    <w:rsid w:val="000633B4"/>
    <w:rsid w:val="00063543"/>
    <w:rsid w:val="000635F3"/>
    <w:rsid w:val="000637A6"/>
    <w:rsid w:val="0006386C"/>
    <w:rsid w:val="000638B0"/>
    <w:rsid w:val="00063B57"/>
    <w:rsid w:val="00063C82"/>
    <w:rsid w:val="00063F1C"/>
    <w:rsid w:val="000641A0"/>
    <w:rsid w:val="00064218"/>
    <w:rsid w:val="000642A6"/>
    <w:rsid w:val="00064416"/>
    <w:rsid w:val="00064434"/>
    <w:rsid w:val="000644C3"/>
    <w:rsid w:val="0006481B"/>
    <w:rsid w:val="00064853"/>
    <w:rsid w:val="00064899"/>
    <w:rsid w:val="00064BD0"/>
    <w:rsid w:val="00064D6C"/>
    <w:rsid w:val="00065806"/>
    <w:rsid w:val="00065848"/>
    <w:rsid w:val="000659CB"/>
    <w:rsid w:val="00065A4B"/>
    <w:rsid w:val="00065AE3"/>
    <w:rsid w:val="00065D17"/>
    <w:rsid w:val="00065D26"/>
    <w:rsid w:val="00065E12"/>
    <w:rsid w:val="00065E3D"/>
    <w:rsid w:val="00065E7E"/>
    <w:rsid w:val="00065FD8"/>
    <w:rsid w:val="00066026"/>
    <w:rsid w:val="00066110"/>
    <w:rsid w:val="00066626"/>
    <w:rsid w:val="0006666B"/>
    <w:rsid w:val="0006689F"/>
    <w:rsid w:val="000668C0"/>
    <w:rsid w:val="00066915"/>
    <w:rsid w:val="0006695D"/>
    <w:rsid w:val="00066971"/>
    <w:rsid w:val="0006698F"/>
    <w:rsid w:val="00066B82"/>
    <w:rsid w:val="00066BBA"/>
    <w:rsid w:val="00066E27"/>
    <w:rsid w:val="00066F31"/>
    <w:rsid w:val="00067171"/>
    <w:rsid w:val="00067435"/>
    <w:rsid w:val="0006762C"/>
    <w:rsid w:val="0006785D"/>
    <w:rsid w:val="00067A81"/>
    <w:rsid w:val="00067C32"/>
    <w:rsid w:val="00067C5A"/>
    <w:rsid w:val="00067D3A"/>
    <w:rsid w:val="00067E5E"/>
    <w:rsid w:val="00070114"/>
    <w:rsid w:val="000701C1"/>
    <w:rsid w:val="000709C7"/>
    <w:rsid w:val="00070DC5"/>
    <w:rsid w:val="00070E46"/>
    <w:rsid w:val="00071509"/>
    <w:rsid w:val="00071700"/>
    <w:rsid w:val="0007181A"/>
    <w:rsid w:val="00071841"/>
    <w:rsid w:val="00071913"/>
    <w:rsid w:val="00071A4E"/>
    <w:rsid w:val="00071C9E"/>
    <w:rsid w:val="00071D51"/>
    <w:rsid w:val="00071F6F"/>
    <w:rsid w:val="00072082"/>
    <w:rsid w:val="0007231F"/>
    <w:rsid w:val="0007248D"/>
    <w:rsid w:val="00072782"/>
    <w:rsid w:val="0007297E"/>
    <w:rsid w:val="00072DB3"/>
    <w:rsid w:val="00072E3D"/>
    <w:rsid w:val="00072EFC"/>
    <w:rsid w:val="00073303"/>
    <w:rsid w:val="00073508"/>
    <w:rsid w:val="00073623"/>
    <w:rsid w:val="000736EC"/>
    <w:rsid w:val="00073843"/>
    <w:rsid w:val="00073AB0"/>
    <w:rsid w:val="00073BCD"/>
    <w:rsid w:val="00073C18"/>
    <w:rsid w:val="00073D54"/>
    <w:rsid w:val="00073ED2"/>
    <w:rsid w:val="00073FAB"/>
    <w:rsid w:val="00073FB6"/>
    <w:rsid w:val="000744D1"/>
    <w:rsid w:val="000746E1"/>
    <w:rsid w:val="000749D5"/>
    <w:rsid w:val="00074A0D"/>
    <w:rsid w:val="00074A4F"/>
    <w:rsid w:val="00074D97"/>
    <w:rsid w:val="00074DC5"/>
    <w:rsid w:val="00074EAF"/>
    <w:rsid w:val="000750A8"/>
    <w:rsid w:val="00075117"/>
    <w:rsid w:val="00075328"/>
    <w:rsid w:val="000753CD"/>
    <w:rsid w:val="000754DA"/>
    <w:rsid w:val="000755CA"/>
    <w:rsid w:val="000758A8"/>
    <w:rsid w:val="000758BA"/>
    <w:rsid w:val="00075E2B"/>
    <w:rsid w:val="00075F4C"/>
    <w:rsid w:val="00076238"/>
    <w:rsid w:val="00076294"/>
    <w:rsid w:val="000768B3"/>
    <w:rsid w:val="00076C08"/>
    <w:rsid w:val="000772A8"/>
    <w:rsid w:val="000778F3"/>
    <w:rsid w:val="000779F7"/>
    <w:rsid w:val="00077BF5"/>
    <w:rsid w:val="00077C4A"/>
    <w:rsid w:val="00077DD0"/>
    <w:rsid w:val="00077DEA"/>
    <w:rsid w:val="00077F53"/>
    <w:rsid w:val="00080046"/>
    <w:rsid w:val="00080062"/>
    <w:rsid w:val="000800A5"/>
    <w:rsid w:val="00080101"/>
    <w:rsid w:val="0008042D"/>
    <w:rsid w:val="00080452"/>
    <w:rsid w:val="000806C6"/>
    <w:rsid w:val="00080710"/>
    <w:rsid w:val="0008094A"/>
    <w:rsid w:val="000809BC"/>
    <w:rsid w:val="000809EE"/>
    <w:rsid w:val="00080B1C"/>
    <w:rsid w:val="00080D26"/>
    <w:rsid w:val="00080D60"/>
    <w:rsid w:val="00081073"/>
    <w:rsid w:val="000810D9"/>
    <w:rsid w:val="000810EC"/>
    <w:rsid w:val="000811E5"/>
    <w:rsid w:val="00081292"/>
    <w:rsid w:val="000815D5"/>
    <w:rsid w:val="00081615"/>
    <w:rsid w:val="00081C89"/>
    <w:rsid w:val="00081F43"/>
    <w:rsid w:val="0008228F"/>
    <w:rsid w:val="00082438"/>
    <w:rsid w:val="00082497"/>
    <w:rsid w:val="0008251B"/>
    <w:rsid w:val="00082614"/>
    <w:rsid w:val="00082744"/>
    <w:rsid w:val="00082833"/>
    <w:rsid w:val="000828BB"/>
    <w:rsid w:val="00082A45"/>
    <w:rsid w:val="00082ADE"/>
    <w:rsid w:val="00082C7C"/>
    <w:rsid w:val="00082D2F"/>
    <w:rsid w:val="00082D5D"/>
    <w:rsid w:val="00082F05"/>
    <w:rsid w:val="0008300B"/>
    <w:rsid w:val="000835BD"/>
    <w:rsid w:val="00083939"/>
    <w:rsid w:val="00083B35"/>
    <w:rsid w:val="00083B6F"/>
    <w:rsid w:val="00083DD5"/>
    <w:rsid w:val="0008424B"/>
    <w:rsid w:val="000844A6"/>
    <w:rsid w:val="00084718"/>
    <w:rsid w:val="000847B4"/>
    <w:rsid w:val="000847F2"/>
    <w:rsid w:val="0008486A"/>
    <w:rsid w:val="00084A2B"/>
    <w:rsid w:val="00084B18"/>
    <w:rsid w:val="00084DF6"/>
    <w:rsid w:val="00084E71"/>
    <w:rsid w:val="00085156"/>
    <w:rsid w:val="000852F2"/>
    <w:rsid w:val="0008538F"/>
    <w:rsid w:val="00085558"/>
    <w:rsid w:val="0008567B"/>
    <w:rsid w:val="00085741"/>
    <w:rsid w:val="000858D3"/>
    <w:rsid w:val="00085A32"/>
    <w:rsid w:val="00085D01"/>
    <w:rsid w:val="00085D63"/>
    <w:rsid w:val="00085E27"/>
    <w:rsid w:val="0008609E"/>
    <w:rsid w:val="0008616B"/>
    <w:rsid w:val="0008619E"/>
    <w:rsid w:val="00086619"/>
    <w:rsid w:val="00086887"/>
    <w:rsid w:val="00086A21"/>
    <w:rsid w:val="00086CF4"/>
    <w:rsid w:val="00086D03"/>
    <w:rsid w:val="00086F31"/>
    <w:rsid w:val="000872CB"/>
    <w:rsid w:val="000874D8"/>
    <w:rsid w:val="00087734"/>
    <w:rsid w:val="000879B6"/>
    <w:rsid w:val="0009025D"/>
    <w:rsid w:val="000904F3"/>
    <w:rsid w:val="00090834"/>
    <w:rsid w:val="00090875"/>
    <w:rsid w:val="000908BD"/>
    <w:rsid w:val="00090E38"/>
    <w:rsid w:val="000913B1"/>
    <w:rsid w:val="00091A06"/>
    <w:rsid w:val="00091BAC"/>
    <w:rsid w:val="00091CB9"/>
    <w:rsid w:val="00091DCE"/>
    <w:rsid w:val="00092151"/>
    <w:rsid w:val="0009225E"/>
    <w:rsid w:val="000922F8"/>
    <w:rsid w:val="00092341"/>
    <w:rsid w:val="00092708"/>
    <w:rsid w:val="000928E0"/>
    <w:rsid w:val="00092A4C"/>
    <w:rsid w:val="00092F50"/>
    <w:rsid w:val="00092FFE"/>
    <w:rsid w:val="0009307C"/>
    <w:rsid w:val="0009313D"/>
    <w:rsid w:val="000931AB"/>
    <w:rsid w:val="000931F0"/>
    <w:rsid w:val="00093517"/>
    <w:rsid w:val="000935CA"/>
    <w:rsid w:val="000935EB"/>
    <w:rsid w:val="00093659"/>
    <w:rsid w:val="00093BB2"/>
    <w:rsid w:val="00093BB3"/>
    <w:rsid w:val="00093CD6"/>
    <w:rsid w:val="00093D5B"/>
    <w:rsid w:val="00093EB2"/>
    <w:rsid w:val="00093F4D"/>
    <w:rsid w:val="000942B3"/>
    <w:rsid w:val="00094433"/>
    <w:rsid w:val="000944F5"/>
    <w:rsid w:val="00094969"/>
    <w:rsid w:val="00094972"/>
    <w:rsid w:val="000949ED"/>
    <w:rsid w:val="00094A74"/>
    <w:rsid w:val="00094C9F"/>
    <w:rsid w:val="00094D27"/>
    <w:rsid w:val="00094D96"/>
    <w:rsid w:val="000950E7"/>
    <w:rsid w:val="00095499"/>
    <w:rsid w:val="00095613"/>
    <w:rsid w:val="00095752"/>
    <w:rsid w:val="00095F38"/>
    <w:rsid w:val="00096018"/>
    <w:rsid w:val="00096143"/>
    <w:rsid w:val="000961D8"/>
    <w:rsid w:val="00096221"/>
    <w:rsid w:val="00096292"/>
    <w:rsid w:val="00096313"/>
    <w:rsid w:val="00096752"/>
    <w:rsid w:val="000967AF"/>
    <w:rsid w:val="00096A45"/>
    <w:rsid w:val="00096B62"/>
    <w:rsid w:val="000970E4"/>
    <w:rsid w:val="0009718F"/>
    <w:rsid w:val="000971BD"/>
    <w:rsid w:val="0009739D"/>
    <w:rsid w:val="0009784C"/>
    <w:rsid w:val="00097A30"/>
    <w:rsid w:val="00097B33"/>
    <w:rsid w:val="00097DE5"/>
    <w:rsid w:val="00097E59"/>
    <w:rsid w:val="000A0317"/>
    <w:rsid w:val="000A04DB"/>
    <w:rsid w:val="000A06F8"/>
    <w:rsid w:val="000A0862"/>
    <w:rsid w:val="000A0A15"/>
    <w:rsid w:val="000A0A3F"/>
    <w:rsid w:val="000A0BAB"/>
    <w:rsid w:val="000A0DC7"/>
    <w:rsid w:val="000A0FC5"/>
    <w:rsid w:val="000A1062"/>
    <w:rsid w:val="000A11EA"/>
    <w:rsid w:val="000A1344"/>
    <w:rsid w:val="000A135C"/>
    <w:rsid w:val="000A1B21"/>
    <w:rsid w:val="000A1C8E"/>
    <w:rsid w:val="000A1F37"/>
    <w:rsid w:val="000A2351"/>
    <w:rsid w:val="000A253B"/>
    <w:rsid w:val="000A2724"/>
    <w:rsid w:val="000A2A09"/>
    <w:rsid w:val="000A2A4E"/>
    <w:rsid w:val="000A2A88"/>
    <w:rsid w:val="000A2BCA"/>
    <w:rsid w:val="000A2D86"/>
    <w:rsid w:val="000A3022"/>
    <w:rsid w:val="000A32A8"/>
    <w:rsid w:val="000A3430"/>
    <w:rsid w:val="000A3435"/>
    <w:rsid w:val="000A35DD"/>
    <w:rsid w:val="000A3705"/>
    <w:rsid w:val="000A37E6"/>
    <w:rsid w:val="000A3A34"/>
    <w:rsid w:val="000A3E73"/>
    <w:rsid w:val="000A4311"/>
    <w:rsid w:val="000A4577"/>
    <w:rsid w:val="000A4811"/>
    <w:rsid w:val="000A495C"/>
    <w:rsid w:val="000A4C37"/>
    <w:rsid w:val="000A4F8B"/>
    <w:rsid w:val="000A54BA"/>
    <w:rsid w:val="000A56C0"/>
    <w:rsid w:val="000A5A0B"/>
    <w:rsid w:val="000A5CB5"/>
    <w:rsid w:val="000A5E2D"/>
    <w:rsid w:val="000A5E80"/>
    <w:rsid w:val="000A5FFC"/>
    <w:rsid w:val="000A635F"/>
    <w:rsid w:val="000A6456"/>
    <w:rsid w:val="000A645F"/>
    <w:rsid w:val="000A6489"/>
    <w:rsid w:val="000A6678"/>
    <w:rsid w:val="000A67D4"/>
    <w:rsid w:val="000A6F59"/>
    <w:rsid w:val="000A79AB"/>
    <w:rsid w:val="000A7CF1"/>
    <w:rsid w:val="000A7F05"/>
    <w:rsid w:val="000B010E"/>
    <w:rsid w:val="000B0217"/>
    <w:rsid w:val="000B0B78"/>
    <w:rsid w:val="000B0C31"/>
    <w:rsid w:val="000B0C4E"/>
    <w:rsid w:val="000B0E18"/>
    <w:rsid w:val="000B0E99"/>
    <w:rsid w:val="000B136C"/>
    <w:rsid w:val="000B151B"/>
    <w:rsid w:val="000B16C1"/>
    <w:rsid w:val="000B175F"/>
    <w:rsid w:val="000B17C1"/>
    <w:rsid w:val="000B19B9"/>
    <w:rsid w:val="000B19BB"/>
    <w:rsid w:val="000B1B39"/>
    <w:rsid w:val="000B1C45"/>
    <w:rsid w:val="000B1D84"/>
    <w:rsid w:val="000B1EF3"/>
    <w:rsid w:val="000B20ED"/>
    <w:rsid w:val="000B211D"/>
    <w:rsid w:val="000B21CF"/>
    <w:rsid w:val="000B2788"/>
    <w:rsid w:val="000B2852"/>
    <w:rsid w:val="000B289E"/>
    <w:rsid w:val="000B28C1"/>
    <w:rsid w:val="000B2E3C"/>
    <w:rsid w:val="000B30C3"/>
    <w:rsid w:val="000B311F"/>
    <w:rsid w:val="000B31EC"/>
    <w:rsid w:val="000B324A"/>
    <w:rsid w:val="000B3325"/>
    <w:rsid w:val="000B345F"/>
    <w:rsid w:val="000B38A8"/>
    <w:rsid w:val="000B3BBF"/>
    <w:rsid w:val="000B3F2C"/>
    <w:rsid w:val="000B4132"/>
    <w:rsid w:val="000B42A5"/>
    <w:rsid w:val="000B4658"/>
    <w:rsid w:val="000B4822"/>
    <w:rsid w:val="000B49D6"/>
    <w:rsid w:val="000B4A8C"/>
    <w:rsid w:val="000B4B61"/>
    <w:rsid w:val="000B4FA9"/>
    <w:rsid w:val="000B5054"/>
    <w:rsid w:val="000B55E3"/>
    <w:rsid w:val="000B59CD"/>
    <w:rsid w:val="000B5A82"/>
    <w:rsid w:val="000B5A86"/>
    <w:rsid w:val="000B5D10"/>
    <w:rsid w:val="000B5F0F"/>
    <w:rsid w:val="000B6036"/>
    <w:rsid w:val="000B60FA"/>
    <w:rsid w:val="000B641A"/>
    <w:rsid w:val="000B660E"/>
    <w:rsid w:val="000B675E"/>
    <w:rsid w:val="000B6880"/>
    <w:rsid w:val="000B6B6D"/>
    <w:rsid w:val="000B6C05"/>
    <w:rsid w:val="000B6C87"/>
    <w:rsid w:val="000B6CD7"/>
    <w:rsid w:val="000B6E0E"/>
    <w:rsid w:val="000B6EDC"/>
    <w:rsid w:val="000B7029"/>
    <w:rsid w:val="000B71AE"/>
    <w:rsid w:val="000B722C"/>
    <w:rsid w:val="000B72D6"/>
    <w:rsid w:val="000B73F8"/>
    <w:rsid w:val="000B7477"/>
    <w:rsid w:val="000B75A7"/>
    <w:rsid w:val="000B7706"/>
    <w:rsid w:val="000B789B"/>
    <w:rsid w:val="000B79A5"/>
    <w:rsid w:val="000B7D5B"/>
    <w:rsid w:val="000B7DB6"/>
    <w:rsid w:val="000B7DC6"/>
    <w:rsid w:val="000C0614"/>
    <w:rsid w:val="000C0668"/>
    <w:rsid w:val="000C081F"/>
    <w:rsid w:val="000C0995"/>
    <w:rsid w:val="000C0D3E"/>
    <w:rsid w:val="000C0D4D"/>
    <w:rsid w:val="000C0E46"/>
    <w:rsid w:val="000C0FD8"/>
    <w:rsid w:val="000C103F"/>
    <w:rsid w:val="000C1445"/>
    <w:rsid w:val="000C1784"/>
    <w:rsid w:val="000C186C"/>
    <w:rsid w:val="000C1AAD"/>
    <w:rsid w:val="000C1C1B"/>
    <w:rsid w:val="000C1D9B"/>
    <w:rsid w:val="000C1E03"/>
    <w:rsid w:val="000C2083"/>
    <w:rsid w:val="000C20BD"/>
    <w:rsid w:val="000C218A"/>
    <w:rsid w:val="000C21C6"/>
    <w:rsid w:val="000C24DB"/>
    <w:rsid w:val="000C28D8"/>
    <w:rsid w:val="000C28E8"/>
    <w:rsid w:val="000C2AC8"/>
    <w:rsid w:val="000C2B24"/>
    <w:rsid w:val="000C2E03"/>
    <w:rsid w:val="000C2E3A"/>
    <w:rsid w:val="000C2ECA"/>
    <w:rsid w:val="000C3326"/>
    <w:rsid w:val="000C35D4"/>
    <w:rsid w:val="000C38DB"/>
    <w:rsid w:val="000C391D"/>
    <w:rsid w:val="000C3ACF"/>
    <w:rsid w:val="000C3CF2"/>
    <w:rsid w:val="000C3DE2"/>
    <w:rsid w:val="000C4022"/>
    <w:rsid w:val="000C40C6"/>
    <w:rsid w:val="000C432A"/>
    <w:rsid w:val="000C43B6"/>
    <w:rsid w:val="000C4564"/>
    <w:rsid w:val="000C4714"/>
    <w:rsid w:val="000C4CD0"/>
    <w:rsid w:val="000C52F4"/>
    <w:rsid w:val="000C5397"/>
    <w:rsid w:val="000C5DEB"/>
    <w:rsid w:val="000C5EA5"/>
    <w:rsid w:val="000C60FC"/>
    <w:rsid w:val="000C6442"/>
    <w:rsid w:val="000C6AE7"/>
    <w:rsid w:val="000C6B9D"/>
    <w:rsid w:val="000C6BA4"/>
    <w:rsid w:val="000C6C1B"/>
    <w:rsid w:val="000C6E9C"/>
    <w:rsid w:val="000C70E0"/>
    <w:rsid w:val="000C70F9"/>
    <w:rsid w:val="000C7136"/>
    <w:rsid w:val="000C7354"/>
    <w:rsid w:val="000C747E"/>
    <w:rsid w:val="000C751D"/>
    <w:rsid w:val="000C764C"/>
    <w:rsid w:val="000C7829"/>
    <w:rsid w:val="000C7858"/>
    <w:rsid w:val="000C7CB0"/>
    <w:rsid w:val="000D0128"/>
    <w:rsid w:val="000D01D0"/>
    <w:rsid w:val="000D045F"/>
    <w:rsid w:val="000D075B"/>
    <w:rsid w:val="000D08D0"/>
    <w:rsid w:val="000D092A"/>
    <w:rsid w:val="000D0B48"/>
    <w:rsid w:val="000D0D3A"/>
    <w:rsid w:val="000D1170"/>
    <w:rsid w:val="000D1245"/>
    <w:rsid w:val="000D126C"/>
    <w:rsid w:val="000D129F"/>
    <w:rsid w:val="000D179F"/>
    <w:rsid w:val="000D19F2"/>
    <w:rsid w:val="000D1B7A"/>
    <w:rsid w:val="000D1CB0"/>
    <w:rsid w:val="000D1F18"/>
    <w:rsid w:val="000D20D0"/>
    <w:rsid w:val="000D2278"/>
    <w:rsid w:val="000D260B"/>
    <w:rsid w:val="000D2854"/>
    <w:rsid w:val="000D29B3"/>
    <w:rsid w:val="000D2A0B"/>
    <w:rsid w:val="000D2DE0"/>
    <w:rsid w:val="000D3032"/>
    <w:rsid w:val="000D32E4"/>
    <w:rsid w:val="000D360F"/>
    <w:rsid w:val="000D383E"/>
    <w:rsid w:val="000D39E5"/>
    <w:rsid w:val="000D3BA7"/>
    <w:rsid w:val="000D3BAA"/>
    <w:rsid w:val="000D3E20"/>
    <w:rsid w:val="000D4210"/>
    <w:rsid w:val="000D487F"/>
    <w:rsid w:val="000D4C94"/>
    <w:rsid w:val="000D4DA3"/>
    <w:rsid w:val="000D4E91"/>
    <w:rsid w:val="000D5500"/>
    <w:rsid w:val="000D55E2"/>
    <w:rsid w:val="000D583C"/>
    <w:rsid w:val="000D587D"/>
    <w:rsid w:val="000D5929"/>
    <w:rsid w:val="000D59AE"/>
    <w:rsid w:val="000D5F0F"/>
    <w:rsid w:val="000D62B5"/>
    <w:rsid w:val="000D6347"/>
    <w:rsid w:val="000D6422"/>
    <w:rsid w:val="000D664D"/>
    <w:rsid w:val="000D668C"/>
    <w:rsid w:val="000D6D97"/>
    <w:rsid w:val="000D6DB7"/>
    <w:rsid w:val="000D6F0B"/>
    <w:rsid w:val="000D6F55"/>
    <w:rsid w:val="000D6FCB"/>
    <w:rsid w:val="000D733A"/>
    <w:rsid w:val="000D7A97"/>
    <w:rsid w:val="000D7AE1"/>
    <w:rsid w:val="000D7BD4"/>
    <w:rsid w:val="000D7CB3"/>
    <w:rsid w:val="000E00CE"/>
    <w:rsid w:val="000E068B"/>
    <w:rsid w:val="000E078A"/>
    <w:rsid w:val="000E0B2F"/>
    <w:rsid w:val="000E0C0E"/>
    <w:rsid w:val="000E0C54"/>
    <w:rsid w:val="000E0EAC"/>
    <w:rsid w:val="000E0F1A"/>
    <w:rsid w:val="000E0F74"/>
    <w:rsid w:val="000E0FD7"/>
    <w:rsid w:val="000E10B9"/>
    <w:rsid w:val="000E133D"/>
    <w:rsid w:val="000E138E"/>
    <w:rsid w:val="000E14E7"/>
    <w:rsid w:val="000E1538"/>
    <w:rsid w:val="000E1561"/>
    <w:rsid w:val="000E188B"/>
    <w:rsid w:val="000E1A37"/>
    <w:rsid w:val="000E2004"/>
    <w:rsid w:val="000E2088"/>
    <w:rsid w:val="000E2474"/>
    <w:rsid w:val="000E24CB"/>
    <w:rsid w:val="000E24FE"/>
    <w:rsid w:val="000E2739"/>
    <w:rsid w:val="000E277E"/>
    <w:rsid w:val="000E27E3"/>
    <w:rsid w:val="000E292C"/>
    <w:rsid w:val="000E2C94"/>
    <w:rsid w:val="000E2E7E"/>
    <w:rsid w:val="000E32F0"/>
    <w:rsid w:val="000E3522"/>
    <w:rsid w:val="000E3713"/>
    <w:rsid w:val="000E3773"/>
    <w:rsid w:val="000E3857"/>
    <w:rsid w:val="000E38F3"/>
    <w:rsid w:val="000E3926"/>
    <w:rsid w:val="000E393E"/>
    <w:rsid w:val="000E39DA"/>
    <w:rsid w:val="000E39F7"/>
    <w:rsid w:val="000E3AC7"/>
    <w:rsid w:val="000E3E27"/>
    <w:rsid w:val="000E3E67"/>
    <w:rsid w:val="000E3FD6"/>
    <w:rsid w:val="000E4142"/>
    <w:rsid w:val="000E42A2"/>
    <w:rsid w:val="000E42EA"/>
    <w:rsid w:val="000E4468"/>
    <w:rsid w:val="000E4530"/>
    <w:rsid w:val="000E456A"/>
    <w:rsid w:val="000E45E9"/>
    <w:rsid w:val="000E4746"/>
    <w:rsid w:val="000E4AA4"/>
    <w:rsid w:val="000E4DE3"/>
    <w:rsid w:val="000E4E45"/>
    <w:rsid w:val="000E519B"/>
    <w:rsid w:val="000E5230"/>
    <w:rsid w:val="000E59C1"/>
    <w:rsid w:val="000E5E1D"/>
    <w:rsid w:val="000E5EC7"/>
    <w:rsid w:val="000E6336"/>
    <w:rsid w:val="000E65F1"/>
    <w:rsid w:val="000E6762"/>
    <w:rsid w:val="000E684F"/>
    <w:rsid w:val="000E69F6"/>
    <w:rsid w:val="000E6ACD"/>
    <w:rsid w:val="000E6F58"/>
    <w:rsid w:val="000E73C2"/>
    <w:rsid w:val="000E73DD"/>
    <w:rsid w:val="000E74B8"/>
    <w:rsid w:val="000E798A"/>
    <w:rsid w:val="000E79F1"/>
    <w:rsid w:val="000E7AD3"/>
    <w:rsid w:val="000E7B9C"/>
    <w:rsid w:val="000F00B2"/>
    <w:rsid w:val="000F0531"/>
    <w:rsid w:val="000F0546"/>
    <w:rsid w:val="000F05E4"/>
    <w:rsid w:val="000F08E0"/>
    <w:rsid w:val="000F0996"/>
    <w:rsid w:val="000F0B33"/>
    <w:rsid w:val="000F0D6F"/>
    <w:rsid w:val="000F0D79"/>
    <w:rsid w:val="000F0D8D"/>
    <w:rsid w:val="000F0D98"/>
    <w:rsid w:val="000F105B"/>
    <w:rsid w:val="000F1344"/>
    <w:rsid w:val="000F14A5"/>
    <w:rsid w:val="000F1531"/>
    <w:rsid w:val="000F18DA"/>
    <w:rsid w:val="000F1C1C"/>
    <w:rsid w:val="000F1DE0"/>
    <w:rsid w:val="000F1F7C"/>
    <w:rsid w:val="000F2074"/>
    <w:rsid w:val="000F213A"/>
    <w:rsid w:val="000F2290"/>
    <w:rsid w:val="000F24F5"/>
    <w:rsid w:val="000F25F2"/>
    <w:rsid w:val="000F2A7F"/>
    <w:rsid w:val="000F2ACE"/>
    <w:rsid w:val="000F2DC9"/>
    <w:rsid w:val="000F3197"/>
    <w:rsid w:val="000F3451"/>
    <w:rsid w:val="000F3465"/>
    <w:rsid w:val="000F34F3"/>
    <w:rsid w:val="000F3552"/>
    <w:rsid w:val="000F37E4"/>
    <w:rsid w:val="000F387E"/>
    <w:rsid w:val="000F3C00"/>
    <w:rsid w:val="000F3C20"/>
    <w:rsid w:val="000F3C97"/>
    <w:rsid w:val="000F3CFE"/>
    <w:rsid w:val="000F3E2B"/>
    <w:rsid w:val="000F402A"/>
    <w:rsid w:val="000F4293"/>
    <w:rsid w:val="000F440D"/>
    <w:rsid w:val="000F440F"/>
    <w:rsid w:val="000F45C1"/>
    <w:rsid w:val="000F473F"/>
    <w:rsid w:val="000F4D7C"/>
    <w:rsid w:val="000F4F5C"/>
    <w:rsid w:val="000F5242"/>
    <w:rsid w:val="000F53C4"/>
    <w:rsid w:val="000F549E"/>
    <w:rsid w:val="000F56AD"/>
    <w:rsid w:val="000F5795"/>
    <w:rsid w:val="000F58CA"/>
    <w:rsid w:val="000F5C22"/>
    <w:rsid w:val="000F5C6F"/>
    <w:rsid w:val="000F5FA0"/>
    <w:rsid w:val="000F642E"/>
    <w:rsid w:val="000F6676"/>
    <w:rsid w:val="000F6727"/>
    <w:rsid w:val="000F6837"/>
    <w:rsid w:val="000F692F"/>
    <w:rsid w:val="000F694B"/>
    <w:rsid w:val="000F6C97"/>
    <w:rsid w:val="000F6DF1"/>
    <w:rsid w:val="000F742F"/>
    <w:rsid w:val="000F74A1"/>
    <w:rsid w:val="000F75A2"/>
    <w:rsid w:val="000F76D1"/>
    <w:rsid w:val="000F776A"/>
    <w:rsid w:val="000F7775"/>
    <w:rsid w:val="000F7831"/>
    <w:rsid w:val="000F794A"/>
    <w:rsid w:val="000F79E6"/>
    <w:rsid w:val="000F7AC5"/>
    <w:rsid w:val="000F7C2A"/>
    <w:rsid w:val="000F7D6B"/>
    <w:rsid w:val="00100246"/>
    <w:rsid w:val="00100276"/>
    <w:rsid w:val="00100381"/>
    <w:rsid w:val="00100392"/>
    <w:rsid w:val="00100443"/>
    <w:rsid w:val="00100517"/>
    <w:rsid w:val="00100602"/>
    <w:rsid w:val="001008F7"/>
    <w:rsid w:val="00100C2D"/>
    <w:rsid w:val="00100EF3"/>
    <w:rsid w:val="00100F18"/>
    <w:rsid w:val="00101003"/>
    <w:rsid w:val="0010113D"/>
    <w:rsid w:val="00101289"/>
    <w:rsid w:val="0010143F"/>
    <w:rsid w:val="001015F9"/>
    <w:rsid w:val="00101688"/>
    <w:rsid w:val="00101744"/>
    <w:rsid w:val="001018AB"/>
    <w:rsid w:val="00101AA4"/>
    <w:rsid w:val="00101DB5"/>
    <w:rsid w:val="00101F6E"/>
    <w:rsid w:val="00102193"/>
    <w:rsid w:val="00102353"/>
    <w:rsid w:val="001024F4"/>
    <w:rsid w:val="00102C45"/>
    <w:rsid w:val="00102D26"/>
    <w:rsid w:val="00102F22"/>
    <w:rsid w:val="001037A6"/>
    <w:rsid w:val="00103B36"/>
    <w:rsid w:val="00103BA6"/>
    <w:rsid w:val="00103F26"/>
    <w:rsid w:val="00103F5C"/>
    <w:rsid w:val="001042FB"/>
    <w:rsid w:val="001044E1"/>
    <w:rsid w:val="00104517"/>
    <w:rsid w:val="001045B1"/>
    <w:rsid w:val="001045B8"/>
    <w:rsid w:val="0010462B"/>
    <w:rsid w:val="00104992"/>
    <w:rsid w:val="00104B4A"/>
    <w:rsid w:val="00104BB9"/>
    <w:rsid w:val="00104C1A"/>
    <w:rsid w:val="00104D7C"/>
    <w:rsid w:val="00104E09"/>
    <w:rsid w:val="00104E96"/>
    <w:rsid w:val="00105006"/>
    <w:rsid w:val="0010506D"/>
    <w:rsid w:val="00105163"/>
    <w:rsid w:val="001054B8"/>
    <w:rsid w:val="00105985"/>
    <w:rsid w:val="00105DD5"/>
    <w:rsid w:val="001060B4"/>
    <w:rsid w:val="00106123"/>
    <w:rsid w:val="00106860"/>
    <w:rsid w:val="00106AD9"/>
    <w:rsid w:val="00106C3A"/>
    <w:rsid w:val="00106F4C"/>
    <w:rsid w:val="00107012"/>
    <w:rsid w:val="001070A0"/>
    <w:rsid w:val="0010722C"/>
    <w:rsid w:val="00107526"/>
    <w:rsid w:val="00107739"/>
    <w:rsid w:val="00107770"/>
    <w:rsid w:val="0010796F"/>
    <w:rsid w:val="00107C12"/>
    <w:rsid w:val="00107D27"/>
    <w:rsid w:val="00107D47"/>
    <w:rsid w:val="00107DBE"/>
    <w:rsid w:val="00107EDC"/>
    <w:rsid w:val="00110011"/>
    <w:rsid w:val="0011020F"/>
    <w:rsid w:val="001102FA"/>
    <w:rsid w:val="001107DC"/>
    <w:rsid w:val="001108EF"/>
    <w:rsid w:val="00110929"/>
    <w:rsid w:val="001109F3"/>
    <w:rsid w:val="001109FC"/>
    <w:rsid w:val="00110A42"/>
    <w:rsid w:val="00110B6F"/>
    <w:rsid w:val="00110C92"/>
    <w:rsid w:val="00110DA5"/>
    <w:rsid w:val="00110EB6"/>
    <w:rsid w:val="00110FEC"/>
    <w:rsid w:val="00111150"/>
    <w:rsid w:val="001116A9"/>
    <w:rsid w:val="0011187F"/>
    <w:rsid w:val="00111BFD"/>
    <w:rsid w:val="00111C2C"/>
    <w:rsid w:val="00111C40"/>
    <w:rsid w:val="00111D76"/>
    <w:rsid w:val="00111F7F"/>
    <w:rsid w:val="001125B0"/>
    <w:rsid w:val="00112BB6"/>
    <w:rsid w:val="00112EEA"/>
    <w:rsid w:val="00113313"/>
    <w:rsid w:val="001134D0"/>
    <w:rsid w:val="00113747"/>
    <w:rsid w:val="00113A67"/>
    <w:rsid w:val="00113B1C"/>
    <w:rsid w:val="00113B50"/>
    <w:rsid w:val="00113C1B"/>
    <w:rsid w:val="00113CAA"/>
    <w:rsid w:val="00113D75"/>
    <w:rsid w:val="00113DB5"/>
    <w:rsid w:val="00114009"/>
    <w:rsid w:val="00114138"/>
    <w:rsid w:val="0011439F"/>
    <w:rsid w:val="001143C0"/>
    <w:rsid w:val="0011456E"/>
    <w:rsid w:val="001149E7"/>
    <w:rsid w:val="00114A0C"/>
    <w:rsid w:val="00114D68"/>
    <w:rsid w:val="00114FBD"/>
    <w:rsid w:val="00115469"/>
    <w:rsid w:val="00115496"/>
    <w:rsid w:val="001154A3"/>
    <w:rsid w:val="00115975"/>
    <w:rsid w:val="00115C70"/>
    <w:rsid w:val="00115F65"/>
    <w:rsid w:val="00116150"/>
    <w:rsid w:val="001162AD"/>
    <w:rsid w:val="001168E4"/>
    <w:rsid w:val="00116A19"/>
    <w:rsid w:val="00116B0B"/>
    <w:rsid w:val="00116B2E"/>
    <w:rsid w:val="00116C0E"/>
    <w:rsid w:val="00116D7D"/>
    <w:rsid w:val="00117044"/>
    <w:rsid w:val="00117380"/>
    <w:rsid w:val="001173A4"/>
    <w:rsid w:val="00117468"/>
    <w:rsid w:val="00117512"/>
    <w:rsid w:val="00117542"/>
    <w:rsid w:val="00117641"/>
    <w:rsid w:val="001178B2"/>
    <w:rsid w:val="00117B61"/>
    <w:rsid w:val="00117BDB"/>
    <w:rsid w:val="00117BFA"/>
    <w:rsid w:val="00117C55"/>
    <w:rsid w:val="0012004F"/>
    <w:rsid w:val="00120333"/>
    <w:rsid w:val="001203A0"/>
    <w:rsid w:val="00120611"/>
    <w:rsid w:val="00120E5F"/>
    <w:rsid w:val="00120FFD"/>
    <w:rsid w:val="00121158"/>
    <w:rsid w:val="0012142F"/>
    <w:rsid w:val="001216A6"/>
    <w:rsid w:val="001216EB"/>
    <w:rsid w:val="001218C9"/>
    <w:rsid w:val="00121A76"/>
    <w:rsid w:val="00121E83"/>
    <w:rsid w:val="00121EA3"/>
    <w:rsid w:val="001223C4"/>
    <w:rsid w:val="0012267B"/>
    <w:rsid w:val="001227AA"/>
    <w:rsid w:val="00122D58"/>
    <w:rsid w:val="00122E2C"/>
    <w:rsid w:val="00122E88"/>
    <w:rsid w:val="00122EB3"/>
    <w:rsid w:val="0012330C"/>
    <w:rsid w:val="00123371"/>
    <w:rsid w:val="001235EF"/>
    <w:rsid w:val="00123695"/>
    <w:rsid w:val="001237FC"/>
    <w:rsid w:val="001238DB"/>
    <w:rsid w:val="00123AD3"/>
    <w:rsid w:val="00123B92"/>
    <w:rsid w:val="00123D15"/>
    <w:rsid w:val="00124289"/>
    <w:rsid w:val="001244E0"/>
    <w:rsid w:val="00124531"/>
    <w:rsid w:val="00124B34"/>
    <w:rsid w:val="00124C2B"/>
    <w:rsid w:val="001250AB"/>
    <w:rsid w:val="00125268"/>
    <w:rsid w:val="00125584"/>
    <w:rsid w:val="00125945"/>
    <w:rsid w:val="00125E5C"/>
    <w:rsid w:val="00125F61"/>
    <w:rsid w:val="001260AA"/>
    <w:rsid w:val="00126407"/>
    <w:rsid w:val="001265CF"/>
    <w:rsid w:val="001266E1"/>
    <w:rsid w:val="00126C35"/>
    <w:rsid w:val="00126C3B"/>
    <w:rsid w:val="00126C76"/>
    <w:rsid w:val="00126EFF"/>
    <w:rsid w:val="001273E5"/>
    <w:rsid w:val="0012760E"/>
    <w:rsid w:val="00127808"/>
    <w:rsid w:val="001279DD"/>
    <w:rsid w:val="00127AA0"/>
    <w:rsid w:val="00127D8D"/>
    <w:rsid w:val="00127DF5"/>
    <w:rsid w:val="00127F23"/>
    <w:rsid w:val="00130191"/>
    <w:rsid w:val="001302BE"/>
    <w:rsid w:val="0013042F"/>
    <w:rsid w:val="001305DE"/>
    <w:rsid w:val="0013063E"/>
    <w:rsid w:val="0013068D"/>
    <w:rsid w:val="001307FD"/>
    <w:rsid w:val="00130822"/>
    <w:rsid w:val="00130993"/>
    <w:rsid w:val="001309B9"/>
    <w:rsid w:val="00130BE1"/>
    <w:rsid w:val="00130C6E"/>
    <w:rsid w:val="00130C97"/>
    <w:rsid w:val="00130D0D"/>
    <w:rsid w:val="00130D97"/>
    <w:rsid w:val="00130DC1"/>
    <w:rsid w:val="00130E9B"/>
    <w:rsid w:val="00131017"/>
    <w:rsid w:val="00131035"/>
    <w:rsid w:val="001310D4"/>
    <w:rsid w:val="00131472"/>
    <w:rsid w:val="0013155E"/>
    <w:rsid w:val="0013158F"/>
    <w:rsid w:val="00131AFE"/>
    <w:rsid w:val="00132314"/>
    <w:rsid w:val="001324AE"/>
    <w:rsid w:val="00132655"/>
    <w:rsid w:val="00132DFA"/>
    <w:rsid w:val="00132E24"/>
    <w:rsid w:val="00133172"/>
    <w:rsid w:val="0013318F"/>
    <w:rsid w:val="00133C04"/>
    <w:rsid w:val="00133CA5"/>
    <w:rsid w:val="00133E20"/>
    <w:rsid w:val="00133E73"/>
    <w:rsid w:val="00133EFF"/>
    <w:rsid w:val="0013418D"/>
    <w:rsid w:val="00134226"/>
    <w:rsid w:val="0013429C"/>
    <w:rsid w:val="00134317"/>
    <w:rsid w:val="001343B8"/>
    <w:rsid w:val="00134417"/>
    <w:rsid w:val="0013465B"/>
    <w:rsid w:val="001348A6"/>
    <w:rsid w:val="0013498F"/>
    <w:rsid w:val="00134C4C"/>
    <w:rsid w:val="00134F29"/>
    <w:rsid w:val="0013501D"/>
    <w:rsid w:val="00135806"/>
    <w:rsid w:val="0013581E"/>
    <w:rsid w:val="00135895"/>
    <w:rsid w:val="001359BC"/>
    <w:rsid w:val="00135C5C"/>
    <w:rsid w:val="00135F05"/>
    <w:rsid w:val="00135FA5"/>
    <w:rsid w:val="00136016"/>
    <w:rsid w:val="0013602D"/>
    <w:rsid w:val="0013606C"/>
    <w:rsid w:val="001361C9"/>
    <w:rsid w:val="00136294"/>
    <w:rsid w:val="001363F4"/>
    <w:rsid w:val="001365D4"/>
    <w:rsid w:val="001366AC"/>
    <w:rsid w:val="001367A2"/>
    <w:rsid w:val="00136979"/>
    <w:rsid w:val="00136B95"/>
    <w:rsid w:val="00136CDB"/>
    <w:rsid w:val="00136DE4"/>
    <w:rsid w:val="00136E7A"/>
    <w:rsid w:val="001375CE"/>
    <w:rsid w:val="0013779F"/>
    <w:rsid w:val="00137809"/>
    <w:rsid w:val="001379D7"/>
    <w:rsid w:val="00137F51"/>
    <w:rsid w:val="00140665"/>
    <w:rsid w:val="0014070E"/>
    <w:rsid w:val="00140754"/>
    <w:rsid w:val="001408A2"/>
    <w:rsid w:val="00140D02"/>
    <w:rsid w:val="00140EA1"/>
    <w:rsid w:val="00140F36"/>
    <w:rsid w:val="00140FDF"/>
    <w:rsid w:val="00141068"/>
    <w:rsid w:val="0014117F"/>
    <w:rsid w:val="00141207"/>
    <w:rsid w:val="0014148C"/>
    <w:rsid w:val="001415C5"/>
    <w:rsid w:val="00141764"/>
    <w:rsid w:val="001417EE"/>
    <w:rsid w:val="00141D82"/>
    <w:rsid w:val="00141E4F"/>
    <w:rsid w:val="00142133"/>
    <w:rsid w:val="001423E4"/>
    <w:rsid w:val="00142424"/>
    <w:rsid w:val="001424F2"/>
    <w:rsid w:val="001424F6"/>
    <w:rsid w:val="001426ED"/>
    <w:rsid w:val="00142778"/>
    <w:rsid w:val="001428AA"/>
    <w:rsid w:val="00142BD7"/>
    <w:rsid w:val="00142C3B"/>
    <w:rsid w:val="0014303C"/>
    <w:rsid w:val="001438D3"/>
    <w:rsid w:val="00143944"/>
    <w:rsid w:val="00143BE0"/>
    <w:rsid w:val="00143C51"/>
    <w:rsid w:val="00143F66"/>
    <w:rsid w:val="001440E6"/>
    <w:rsid w:val="001440F2"/>
    <w:rsid w:val="001442B1"/>
    <w:rsid w:val="00144586"/>
    <w:rsid w:val="0014494A"/>
    <w:rsid w:val="00144BB9"/>
    <w:rsid w:val="00144D38"/>
    <w:rsid w:val="00144D3F"/>
    <w:rsid w:val="00144DC0"/>
    <w:rsid w:val="00144E03"/>
    <w:rsid w:val="0014505F"/>
    <w:rsid w:val="0014538D"/>
    <w:rsid w:val="00145453"/>
    <w:rsid w:val="00145589"/>
    <w:rsid w:val="001457BC"/>
    <w:rsid w:val="001457CF"/>
    <w:rsid w:val="001459B0"/>
    <w:rsid w:val="00145DEA"/>
    <w:rsid w:val="00145E14"/>
    <w:rsid w:val="00145E35"/>
    <w:rsid w:val="00145E93"/>
    <w:rsid w:val="00146318"/>
    <w:rsid w:val="001463A9"/>
    <w:rsid w:val="00146498"/>
    <w:rsid w:val="00146627"/>
    <w:rsid w:val="00146DD9"/>
    <w:rsid w:val="00146EF3"/>
    <w:rsid w:val="00146EFF"/>
    <w:rsid w:val="00147250"/>
    <w:rsid w:val="00147353"/>
    <w:rsid w:val="00147648"/>
    <w:rsid w:val="0014772A"/>
    <w:rsid w:val="0014773B"/>
    <w:rsid w:val="00147B36"/>
    <w:rsid w:val="00147B9A"/>
    <w:rsid w:val="00147F1F"/>
    <w:rsid w:val="00147F51"/>
    <w:rsid w:val="00150104"/>
    <w:rsid w:val="0015074B"/>
    <w:rsid w:val="001507D3"/>
    <w:rsid w:val="001507EA"/>
    <w:rsid w:val="00150C4C"/>
    <w:rsid w:val="00150EF1"/>
    <w:rsid w:val="00150F47"/>
    <w:rsid w:val="00151063"/>
    <w:rsid w:val="00151316"/>
    <w:rsid w:val="00151896"/>
    <w:rsid w:val="00151976"/>
    <w:rsid w:val="00151990"/>
    <w:rsid w:val="00151BE3"/>
    <w:rsid w:val="00151D48"/>
    <w:rsid w:val="00151DFB"/>
    <w:rsid w:val="00151F2D"/>
    <w:rsid w:val="00152102"/>
    <w:rsid w:val="00152251"/>
    <w:rsid w:val="001523AE"/>
    <w:rsid w:val="0015270F"/>
    <w:rsid w:val="00152719"/>
    <w:rsid w:val="001528D0"/>
    <w:rsid w:val="00152A66"/>
    <w:rsid w:val="00152E99"/>
    <w:rsid w:val="00152FB1"/>
    <w:rsid w:val="0015303B"/>
    <w:rsid w:val="001531B7"/>
    <w:rsid w:val="00153913"/>
    <w:rsid w:val="00153BD3"/>
    <w:rsid w:val="00153D51"/>
    <w:rsid w:val="00153E36"/>
    <w:rsid w:val="00153F05"/>
    <w:rsid w:val="00153F6B"/>
    <w:rsid w:val="0015466B"/>
    <w:rsid w:val="0015475D"/>
    <w:rsid w:val="00154843"/>
    <w:rsid w:val="00154AE0"/>
    <w:rsid w:val="00154C77"/>
    <w:rsid w:val="00154E56"/>
    <w:rsid w:val="001550E2"/>
    <w:rsid w:val="001551CA"/>
    <w:rsid w:val="00155270"/>
    <w:rsid w:val="0015527B"/>
    <w:rsid w:val="00155488"/>
    <w:rsid w:val="001557F3"/>
    <w:rsid w:val="00155975"/>
    <w:rsid w:val="00155A98"/>
    <w:rsid w:val="00155B40"/>
    <w:rsid w:val="00155E80"/>
    <w:rsid w:val="00155F5C"/>
    <w:rsid w:val="0015606F"/>
    <w:rsid w:val="001562DC"/>
    <w:rsid w:val="00156589"/>
    <w:rsid w:val="00156837"/>
    <w:rsid w:val="00156844"/>
    <w:rsid w:val="00157137"/>
    <w:rsid w:val="001571BB"/>
    <w:rsid w:val="001573BF"/>
    <w:rsid w:val="001574D2"/>
    <w:rsid w:val="001575D8"/>
    <w:rsid w:val="001575E2"/>
    <w:rsid w:val="001578F3"/>
    <w:rsid w:val="00157AD4"/>
    <w:rsid w:val="00157BD7"/>
    <w:rsid w:val="00157F66"/>
    <w:rsid w:val="00157F82"/>
    <w:rsid w:val="00160045"/>
    <w:rsid w:val="001601C4"/>
    <w:rsid w:val="0016025E"/>
    <w:rsid w:val="00160584"/>
    <w:rsid w:val="00160ED3"/>
    <w:rsid w:val="00160F2B"/>
    <w:rsid w:val="00161059"/>
    <w:rsid w:val="001610AC"/>
    <w:rsid w:val="001614F7"/>
    <w:rsid w:val="00161814"/>
    <w:rsid w:val="001618A4"/>
    <w:rsid w:val="00161D7D"/>
    <w:rsid w:val="00161DDD"/>
    <w:rsid w:val="0016204E"/>
    <w:rsid w:val="00162105"/>
    <w:rsid w:val="001625A8"/>
    <w:rsid w:val="001625B1"/>
    <w:rsid w:val="001629AE"/>
    <w:rsid w:val="001631A6"/>
    <w:rsid w:val="001632A9"/>
    <w:rsid w:val="001635CB"/>
    <w:rsid w:val="00163881"/>
    <w:rsid w:val="001639A6"/>
    <w:rsid w:val="00163BDD"/>
    <w:rsid w:val="00163EF5"/>
    <w:rsid w:val="00164094"/>
    <w:rsid w:val="00164200"/>
    <w:rsid w:val="0016426A"/>
    <w:rsid w:val="001643ED"/>
    <w:rsid w:val="0016465B"/>
    <w:rsid w:val="001649CD"/>
    <w:rsid w:val="00164B62"/>
    <w:rsid w:val="00164D3D"/>
    <w:rsid w:val="00164E32"/>
    <w:rsid w:val="001650BE"/>
    <w:rsid w:val="00165163"/>
    <w:rsid w:val="0016521E"/>
    <w:rsid w:val="001658E5"/>
    <w:rsid w:val="001659CE"/>
    <w:rsid w:val="001659E4"/>
    <w:rsid w:val="00165BF5"/>
    <w:rsid w:val="0016601B"/>
    <w:rsid w:val="00166739"/>
    <w:rsid w:val="0016674B"/>
    <w:rsid w:val="00166953"/>
    <w:rsid w:val="00166957"/>
    <w:rsid w:val="00166978"/>
    <w:rsid w:val="001669E5"/>
    <w:rsid w:val="00166D25"/>
    <w:rsid w:val="00166DF3"/>
    <w:rsid w:val="0016711D"/>
    <w:rsid w:val="0016721D"/>
    <w:rsid w:val="001672EA"/>
    <w:rsid w:val="00167A88"/>
    <w:rsid w:val="00167CB6"/>
    <w:rsid w:val="00167E65"/>
    <w:rsid w:val="001701EA"/>
    <w:rsid w:val="001708B9"/>
    <w:rsid w:val="00170A35"/>
    <w:rsid w:val="00170B12"/>
    <w:rsid w:val="00170BF2"/>
    <w:rsid w:val="00170CDD"/>
    <w:rsid w:val="00171446"/>
    <w:rsid w:val="001715C2"/>
    <w:rsid w:val="00171661"/>
    <w:rsid w:val="00171666"/>
    <w:rsid w:val="00171807"/>
    <w:rsid w:val="0017187C"/>
    <w:rsid w:val="00171E07"/>
    <w:rsid w:val="00171E09"/>
    <w:rsid w:val="00171EC2"/>
    <w:rsid w:val="00171ED9"/>
    <w:rsid w:val="001720DF"/>
    <w:rsid w:val="0017237A"/>
    <w:rsid w:val="001723FA"/>
    <w:rsid w:val="001724EC"/>
    <w:rsid w:val="00172776"/>
    <w:rsid w:val="0017280D"/>
    <w:rsid w:val="00172C45"/>
    <w:rsid w:val="00173028"/>
    <w:rsid w:val="00173063"/>
    <w:rsid w:val="001730A8"/>
    <w:rsid w:val="0017315A"/>
    <w:rsid w:val="00173162"/>
    <w:rsid w:val="0017319E"/>
    <w:rsid w:val="00173D3A"/>
    <w:rsid w:val="001741F5"/>
    <w:rsid w:val="0017425F"/>
    <w:rsid w:val="001743AF"/>
    <w:rsid w:val="00174868"/>
    <w:rsid w:val="00174A08"/>
    <w:rsid w:val="00174AD0"/>
    <w:rsid w:val="00174C37"/>
    <w:rsid w:val="00174CF7"/>
    <w:rsid w:val="00174DBD"/>
    <w:rsid w:val="00175009"/>
    <w:rsid w:val="00175249"/>
    <w:rsid w:val="00175277"/>
    <w:rsid w:val="0017551D"/>
    <w:rsid w:val="001756FB"/>
    <w:rsid w:val="001757CE"/>
    <w:rsid w:val="00175842"/>
    <w:rsid w:val="00175AE9"/>
    <w:rsid w:val="00175F78"/>
    <w:rsid w:val="001762FB"/>
    <w:rsid w:val="00176436"/>
    <w:rsid w:val="00176642"/>
    <w:rsid w:val="0017672E"/>
    <w:rsid w:val="00176732"/>
    <w:rsid w:val="00176758"/>
    <w:rsid w:val="0017679E"/>
    <w:rsid w:val="00176B53"/>
    <w:rsid w:val="001774CF"/>
    <w:rsid w:val="00177876"/>
    <w:rsid w:val="00177886"/>
    <w:rsid w:val="0017799D"/>
    <w:rsid w:val="00177A9B"/>
    <w:rsid w:val="00177F32"/>
    <w:rsid w:val="001800F4"/>
    <w:rsid w:val="001801B6"/>
    <w:rsid w:val="001801BA"/>
    <w:rsid w:val="001801C3"/>
    <w:rsid w:val="001802DF"/>
    <w:rsid w:val="00180398"/>
    <w:rsid w:val="00180571"/>
    <w:rsid w:val="00180BDA"/>
    <w:rsid w:val="00180C39"/>
    <w:rsid w:val="00180DF8"/>
    <w:rsid w:val="00180E75"/>
    <w:rsid w:val="00180EA1"/>
    <w:rsid w:val="00180F84"/>
    <w:rsid w:val="0018108F"/>
    <w:rsid w:val="001810BE"/>
    <w:rsid w:val="00181224"/>
    <w:rsid w:val="0018171E"/>
    <w:rsid w:val="0018179A"/>
    <w:rsid w:val="00181F29"/>
    <w:rsid w:val="00181FC2"/>
    <w:rsid w:val="001820B5"/>
    <w:rsid w:val="001822F2"/>
    <w:rsid w:val="00182593"/>
    <w:rsid w:val="0018268E"/>
    <w:rsid w:val="001826C5"/>
    <w:rsid w:val="00182890"/>
    <w:rsid w:val="00182A37"/>
    <w:rsid w:val="00182A90"/>
    <w:rsid w:val="00182B20"/>
    <w:rsid w:val="00182D4C"/>
    <w:rsid w:val="00183005"/>
    <w:rsid w:val="0018307A"/>
    <w:rsid w:val="001835FB"/>
    <w:rsid w:val="001839A6"/>
    <w:rsid w:val="00183C29"/>
    <w:rsid w:val="00183D5C"/>
    <w:rsid w:val="001841D9"/>
    <w:rsid w:val="00184256"/>
    <w:rsid w:val="0018426B"/>
    <w:rsid w:val="001842EF"/>
    <w:rsid w:val="0018450F"/>
    <w:rsid w:val="0018488A"/>
    <w:rsid w:val="00184A9C"/>
    <w:rsid w:val="00184D5A"/>
    <w:rsid w:val="00184E94"/>
    <w:rsid w:val="0018517C"/>
    <w:rsid w:val="0018530C"/>
    <w:rsid w:val="001855F8"/>
    <w:rsid w:val="001856AA"/>
    <w:rsid w:val="001856AC"/>
    <w:rsid w:val="00185859"/>
    <w:rsid w:val="00185B21"/>
    <w:rsid w:val="00185E0A"/>
    <w:rsid w:val="00185E6A"/>
    <w:rsid w:val="00185FED"/>
    <w:rsid w:val="0018640D"/>
    <w:rsid w:val="00186B13"/>
    <w:rsid w:val="00186B8E"/>
    <w:rsid w:val="00186FC8"/>
    <w:rsid w:val="00187488"/>
    <w:rsid w:val="00187666"/>
    <w:rsid w:val="001876AA"/>
    <w:rsid w:val="00187783"/>
    <w:rsid w:val="00187C4F"/>
    <w:rsid w:val="00187C87"/>
    <w:rsid w:val="00187D75"/>
    <w:rsid w:val="00190865"/>
    <w:rsid w:val="00190B17"/>
    <w:rsid w:val="00190FD1"/>
    <w:rsid w:val="00190FE0"/>
    <w:rsid w:val="0019167C"/>
    <w:rsid w:val="001917FA"/>
    <w:rsid w:val="00191834"/>
    <w:rsid w:val="001919EA"/>
    <w:rsid w:val="00191AB2"/>
    <w:rsid w:val="00191C92"/>
    <w:rsid w:val="00191E47"/>
    <w:rsid w:val="00192032"/>
    <w:rsid w:val="0019209E"/>
    <w:rsid w:val="0019211A"/>
    <w:rsid w:val="00192292"/>
    <w:rsid w:val="0019229C"/>
    <w:rsid w:val="00192382"/>
    <w:rsid w:val="00192458"/>
    <w:rsid w:val="00192485"/>
    <w:rsid w:val="001924C2"/>
    <w:rsid w:val="00192E4B"/>
    <w:rsid w:val="00192FE3"/>
    <w:rsid w:val="00193157"/>
    <w:rsid w:val="00193277"/>
    <w:rsid w:val="00193518"/>
    <w:rsid w:val="00193778"/>
    <w:rsid w:val="00193CB6"/>
    <w:rsid w:val="00193E12"/>
    <w:rsid w:val="001945E7"/>
    <w:rsid w:val="00194991"/>
    <w:rsid w:val="00194AD3"/>
    <w:rsid w:val="00194AE7"/>
    <w:rsid w:val="00194D19"/>
    <w:rsid w:val="00195279"/>
    <w:rsid w:val="001952AB"/>
    <w:rsid w:val="0019599C"/>
    <w:rsid w:val="00195BF1"/>
    <w:rsid w:val="00195CC7"/>
    <w:rsid w:val="00195FD7"/>
    <w:rsid w:val="0019615E"/>
    <w:rsid w:val="00196630"/>
    <w:rsid w:val="00196939"/>
    <w:rsid w:val="00196B4D"/>
    <w:rsid w:val="00196D33"/>
    <w:rsid w:val="00196E81"/>
    <w:rsid w:val="0019720A"/>
    <w:rsid w:val="001974EA"/>
    <w:rsid w:val="001975EF"/>
    <w:rsid w:val="0019765A"/>
    <w:rsid w:val="001977F7"/>
    <w:rsid w:val="00197A5F"/>
    <w:rsid w:val="00197A9F"/>
    <w:rsid w:val="00197D0C"/>
    <w:rsid w:val="001A0002"/>
    <w:rsid w:val="001A027C"/>
    <w:rsid w:val="001A02E2"/>
    <w:rsid w:val="001A02E3"/>
    <w:rsid w:val="001A048B"/>
    <w:rsid w:val="001A0519"/>
    <w:rsid w:val="001A069D"/>
    <w:rsid w:val="001A09F9"/>
    <w:rsid w:val="001A105D"/>
    <w:rsid w:val="001A1138"/>
    <w:rsid w:val="001A1188"/>
    <w:rsid w:val="001A1223"/>
    <w:rsid w:val="001A138C"/>
    <w:rsid w:val="001A15CC"/>
    <w:rsid w:val="001A163D"/>
    <w:rsid w:val="001A1801"/>
    <w:rsid w:val="001A1AF7"/>
    <w:rsid w:val="001A21A2"/>
    <w:rsid w:val="001A22AC"/>
    <w:rsid w:val="001A22D1"/>
    <w:rsid w:val="001A2313"/>
    <w:rsid w:val="001A23E9"/>
    <w:rsid w:val="001A2A49"/>
    <w:rsid w:val="001A2C9D"/>
    <w:rsid w:val="001A2DCB"/>
    <w:rsid w:val="001A2FC5"/>
    <w:rsid w:val="001A3027"/>
    <w:rsid w:val="001A30FA"/>
    <w:rsid w:val="001A3575"/>
    <w:rsid w:val="001A37C7"/>
    <w:rsid w:val="001A37D7"/>
    <w:rsid w:val="001A39D1"/>
    <w:rsid w:val="001A3A9A"/>
    <w:rsid w:val="001A3B1F"/>
    <w:rsid w:val="001A3B7F"/>
    <w:rsid w:val="001A3D6A"/>
    <w:rsid w:val="001A3F19"/>
    <w:rsid w:val="001A3F4C"/>
    <w:rsid w:val="001A3F82"/>
    <w:rsid w:val="001A3FC4"/>
    <w:rsid w:val="001A45CF"/>
    <w:rsid w:val="001A462E"/>
    <w:rsid w:val="001A464F"/>
    <w:rsid w:val="001A4999"/>
    <w:rsid w:val="001A520F"/>
    <w:rsid w:val="001A53B0"/>
    <w:rsid w:val="001A579E"/>
    <w:rsid w:val="001A5ED5"/>
    <w:rsid w:val="001A5FC9"/>
    <w:rsid w:val="001A6E80"/>
    <w:rsid w:val="001A6E8F"/>
    <w:rsid w:val="001A6EB4"/>
    <w:rsid w:val="001A7045"/>
    <w:rsid w:val="001A730B"/>
    <w:rsid w:val="001A74CC"/>
    <w:rsid w:val="001A7A93"/>
    <w:rsid w:val="001A7B66"/>
    <w:rsid w:val="001A7B9C"/>
    <w:rsid w:val="001A7C2C"/>
    <w:rsid w:val="001A7F0D"/>
    <w:rsid w:val="001A7F33"/>
    <w:rsid w:val="001B00CE"/>
    <w:rsid w:val="001B0724"/>
    <w:rsid w:val="001B0897"/>
    <w:rsid w:val="001B0B79"/>
    <w:rsid w:val="001B0E56"/>
    <w:rsid w:val="001B0EAF"/>
    <w:rsid w:val="001B0F94"/>
    <w:rsid w:val="001B103C"/>
    <w:rsid w:val="001B116A"/>
    <w:rsid w:val="001B118D"/>
    <w:rsid w:val="001B11D6"/>
    <w:rsid w:val="001B134F"/>
    <w:rsid w:val="001B14B7"/>
    <w:rsid w:val="001B1960"/>
    <w:rsid w:val="001B198F"/>
    <w:rsid w:val="001B1B4F"/>
    <w:rsid w:val="001B1BB7"/>
    <w:rsid w:val="001B1F5C"/>
    <w:rsid w:val="001B1FF6"/>
    <w:rsid w:val="001B200C"/>
    <w:rsid w:val="001B201D"/>
    <w:rsid w:val="001B209B"/>
    <w:rsid w:val="001B264B"/>
    <w:rsid w:val="001B2674"/>
    <w:rsid w:val="001B2A8E"/>
    <w:rsid w:val="001B2DFD"/>
    <w:rsid w:val="001B2E36"/>
    <w:rsid w:val="001B3150"/>
    <w:rsid w:val="001B31D5"/>
    <w:rsid w:val="001B34A2"/>
    <w:rsid w:val="001B3715"/>
    <w:rsid w:val="001B3B75"/>
    <w:rsid w:val="001B3CE7"/>
    <w:rsid w:val="001B3E2E"/>
    <w:rsid w:val="001B4009"/>
    <w:rsid w:val="001B40AA"/>
    <w:rsid w:val="001B417D"/>
    <w:rsid w:val="001B41A4"/>
    <w:rsid w:val="001B4781"/>
    <w:rsid w:val="001B4852"/>
    <w:rsid w:val="001B49CF"/>
    <w:rsid w:val="001B49FF"/>
    <w:rsid w:val="001B50A4"/>
    <w:rsid w:val="001B5466"/>
    <w:rsid w:val="001B54AD"/>
    <w:rsid w:val="001B5682"/>
    <w:rsid w:val="001B577D"/>
    <w:rsid w:val="001B5C19"/>
    <w:rsid w:val="001B5CDD"/>
    <w:rsid w:val="001B5D25"/>
    <w:rsid w:val="001B5D49"/>
    <w:rsid w:val="001B5E7F"/>
    <w:rsid w:val="001B5EDC"/>
    <w:rsid w:val="001B61AE"/>
    <w:rsid w:val="001B62B3"/>
    <w:rsid w:val="001B62DE"/>
    <w:rsid w:val="001B631C"/>
    <w:rsid w:val="001B64B2"/>
    <w:rsid w:val="001B667B"/>
    <w:rsid w:val="001B682A"/>
    <w:rsid w:val="001B6830"/>
    <w:rsid w:val="001B6D8F"/>
    <w:rsid w:val="001B6FD8"/>
    <w:rsid w:val="001B729C"/>
    <w:rsid w:val="001B73B6"/>
    <w:rsid w:val="001B74A8"/>
    <w:rsid w:val="001B751F"/>
    <w:rsid w:val="001B757C"/>
    <w:rsid w:val="001B7756"/>
    <w:rsid w:val="001B7B0E"/>
    <w:rsid w:val="001B7E39"/>
    <w:rsid w:val="001B7F1E"/>
    <w:rsid w:val="001C02E3"/>
    <w:rsid w:val="001C048D"/>
    <w:rsid w:val="001C07DD"/>
    <w:rsid w:val="001C0D42"/>
    <w:rsid w:val="001C101A"/>
    <w:rsid w:val="001C118E"/>
    <w:rsid w:val="001C132F"/>
    <w:rsid w:val="001C1476"/>
    <w:rsid w:val="001C14B8"/>
    <w:rsid w:val="001C1549"/>
    <w:rsid w:val="001C1642"/>
    <w:rsid w:val="001C16BF"/>
    <w:rsid w:val="001C1867"/>
    <w:rsid w:val="001C19C0"/>
    <w:rsid w:val="001C1AD4"/>
    <w:rsid w:val="001C1F17"/>
    <w:rsid w:val="001C25EF"/>
    <w:rsid w:val="001C26DC"/>
    <w:rsid w:val="001C290C"/>
    <w:rsid w:val="001C2A5D"/>
    <w:rsid w:val="001C2B5B"/>
    <w:rsid w:val="001C2C09"/>
    <w:rsid w:val="001C2C90"/>
    <w:rsid w:val="001C2CB5"/>
    <w:rsid w:val="001C329B"/>
    <w:rsid w:val="001C32A0"/>
    <w:rsid w:val="001C3387"/>
    <w:rsid w:val="001C3400"/>
    <w:rsid w:val="001C36C9"/>
    <w:rsid w:val="001C3773"/>
    <w:rsid w:val="001C3B13"/>
    <w:rsid w:val="001C3BE8"/>
    <w:rsid w:val="001C3CAF"/>
    <w:rsid w:val="001C41AE"/>
    <w:rsid w:val="001C48EB"/>
    <w:rsid w:val="001C4B54"/>
    <w:rsid w:val="001C50C4"/>
    <w:rsid w:val="001C5250"/>
    <w:rsid w:val="001C5486"/>
    <w:rsid w:val="001C57F4"/>
    <w:rsid w:val="001C58E9"/>
    <w:rsid w:val="001C58FE"/>
    <w:rsid w:val="001C600D"/>
    <w:rsid w:val="001C6010"/>
    <w:rsid w:val="001C603D"/>
    <w:rsid w:val="001C6131"/>
    <w:rsid w:val="001C63E4"/>
    <w:rsid w:val="001C6446"/>
    <w:rsid w:val="001C6559"/>
    <w:rsid w:val="001C6E2D"/>
    <w:rsid w:val="001C6FB8"/>
    <w:rsid w:val="001C719B"/>
    <w:rsid w:val="001C7472"/>
    <w:rsid w:val="001C7580"/>
    <w:rsid w:val="001C75FC"/>
    <w:rsid w:val="001C7693"/>
    <w:rsid w:val="001C7A06"/>
    <w:rsid w:val="001C7B59"/>
    <w:rsid w:val="001C7CDD"/>
    <w:rsid w:val="001C7D97"/>
    <w:rsid w:val="001D025B"/>
    <w:rsid w:val="001D03A7"/>
    <w:rsid w:val="001D0402"/>
    <w:rsid w:val="001D0641"/>
    <w:rsid w:val="001D0AB3"/>
    <w:rsid w:val="001D0B25"/>
    <w:rsid w:val="001D0C31"/>
    <w:rsid w:val="001D0ED4"/>
    <w:rsid w:val="001D0F27"/>
    <w:rsid w:val="001D19AC"/>
    <w:rsid w:val="001D1C87"/>
    <w:rsid w:val="001D1D0B"/>
    <w:rsid w:val="001D206E"/>
    <w:rsid w:val="001D2531"/>
    <w:rsid w:val="001D2601"/>
    <w:rsid w:val="001D2F8C"/>
    <w:rsid w:val="001D31B1"/>
    <w:rsid w:val="001D344B"/>
    <w:rsid w:val="001D3D17"/>
    <w:rsid w:val="001D3EF8"/>
    <w:rsid w:val="001D3FD6"/>
    <w:rsid w:val="001D42B1"/>
    <w:rsid w:val="001D4671"/>
    <w:rsid w:val="001D4B48"/>
    <w:rsid w:val="001D4CE3"/>
    <w:rsid w:val="001D4E1B"/>
    <w:rsid w:val="001D5080"/>
    <w:rsid w:val="001D55F2"/>
    <w:rsid w:val="001D5799"/>
    <w:rsid w:val="001D5867"/>
    <w:rsid w:val="001D5A81"/>
    <w:rsid w:val="001D5BB0"/>
    <w:rsid w:val="001D5BC6"/>
    <w:rsid w:val="001D5BCC"/>
    <w:rsid w:val="001D5F00"/>
    <w:rsid w:val="001D600F"/>
    <w:rsid w:val="001D60CD"/>
    <w:rsid w:val="001D6464"/>
    <w:rsid w:val="001D666B"/>
    <w:rsid w:val="001D675D"/>
    <w:rsid w:val="001D68B5"/>
    <w:rsid w:val="001D6928"/>
    <w:rsid w:val="001D69F4"/>
    <w:rsid w:val="001D6E21"/>
    <w:rsid w:val="001D6F38"/>
    <w:rsid w:val="001D72FD"/>
    <w:rsid w:val="001D7391"/>
    <w:rsid w:val="001D7448"/>
    <w:rsid w:val="001D7EB9"/>
    <w:rsid w:val="001E016B"/>
    <w:rsid w:val="001E0301"/>
    <w:rsid w:val="001E06D2"/>
    <w:rsid w:val="001E0813"/>
    <w:rsid w:val="001E0A47"/>
    <w:rsid w:val="001E0B11"/>
    <w:rsid w:val="001E0B9F"/>
    <w:rsid w:val="001E0C41"/>
    <w:rsid w:val="001E0C55"/>
    <w:rsid w:val="001E0C8D"/>
    <w:rsid w:val="001E0CB3"/>
    <w:rsid w:val="001E0D7A"/>
    <w:rsid w:val="001E0F1D"/>
    <w:rsid w:val="001E0F9A"/>
    <w:rsid w:val="001E1162"/>
    <w:rsid w:val="001E117F"/>
    <w:rsid w:val="001E11FB"/>
    <w:rsid w:val="001E159F"/>
    <w:rsid w:val="001E1982"/>
    <w:rsid w:val="001E19C8"/>
    <w:rsid w:val="001E1AED"/>
    <w:rsid w:val="001E1B5E"/>
    <w:rsid w:val="001E1BAD"/>
    <w:rsid w:val="001E1C4E"/>
    <w:rsid w:val="001E1E08"/>
    <w:rsid w:val="001E1F4E"/>
    <w:rsid w:val="001E1F59"/>
    <w:rsid w:val="001E24BB"/>
    <w:rsid w:val="001E2507"/>
    <w:rsid w:val="001E263E"/>
    <w:rsid w:val="001E292C"/>
    <w:rsid w:val="001E2FF7"/>
    <w:rsid w:val="001E2FFF"/>
    <w:rsid w:val="001E3088"/>
    <w:rsid w:val="001E32DD"/>
    <w:rsid w:val="001E349B"/>
    <w:rsid w:val="001E3749"/>
    <w:rsid w:val="001E37EE"/>
    <w:rsid w:val="001E3B18"/>
    <w:rsid w:val="001E3B6F"/>
    <w:rsid w:val="001E3B7C"/>
    <w:rsid w:val="001E3BB1"/>
    <w:rsid w:val="001E3ECF"/>
    <w:rsid w:val="001E4016"/>
    <w:rsid w:val="001E407B"/>
    <w:rsid w:val="001E40FF"/>
    <w:rsid w:val="001E4691"/>
    <w:rsid w:val="001E47A8"/>
    <w:rsid w:val="001E47D7"/>
    <w:rsid w:val="001E4845"/>
    <w:rsid w:val="001E487A"/>
    <w:rsid w:val="001E4D8E"/>
    <w:rsid w:val="001E4F59"/>
    <w:rsid w:val="001E4FC8"/>
    <w:rsid w:val="001E512D"/>
    <w:rsid w:val="001E520F"/>
    <w:rsid w:val="001E53C4"/>
    <w:rsid w:val="001E56C4"/>
    <w:rsid w:val="001E5730"/>
    <w:rsid w:val="001E5817"/>
    <w:rsid w:val="001E5829"/>
    <w:rsid w:val="001E5A36"/>
    <w:rsid w:val="001E5BE0"/>
    <w:rsid w:val="001E5D0D"/>
    <w:rsid w:val="001E5FAF"/>
    <w:rsid w:val="001E616B"/>
    <w:rsid w:val="001E62EA"/>
    <w:rsid w:val="001E65EE"/>
    <w:rsid w:val="001E6B2D"/>
    <w:rsid w:val="001E6C1C"/>
    <w:rsid w:val="001E6D52"/>
    <w:rsid w:val="001E6F2B"/>
    <w:rsid w:val="001E7416"/>
    <w:rsid w:val="001E75B2"/>
    <w:rsid w:val="001E787E"/>
    <w:rsid w:val="001E78BE"/>
    <w:rsid w:val="001E7D3E"/>
    <w:rsid w:val="001F0349"/>
    <w:rsid w:val="001F04DA"/>
    <w:rsid w:val="001F0592"/>
    <w:rsid w:val="001F0793"/>
    <w:rsid w:val="001F0BEC"/>
    <w:rsid w:val="001F0D2D"/>
    <w:rsid w:val="001F0EE2"/>
    <w:rsid w:val="001F0F66"/>
    <w:rsid w:val="001F11EE"/>
    <w:rsid w:val="001F1243"/>
    <w:rsid w:val="001F1274"/>
    <w:rsid w:val="001F167D"/>
    <w:rsid w:val="001F17EF"/>
    <w:rsid w:val="001F1AF0"/>
    <w:rsid w:val="001F1B21"/>
    <w:rsid w:val="001F1DA1"/>
    <w:rsid w:val="001F1EEC"/>
    <w:rsid w:val="001F207C"/>
    <w:rsid w:val="001F2185"/>
    <w:rsid w:val="001F2814"/>
    <w:rsid w:val="001F2E6C"/>
    <w:rsid w:val="001F2F6C"/>
    <w:rsid w:val="001F3140"/>
    <w:rsid w:val="001F3235"/>
    <w:rsid w:val="001F35F2"/>
    <w:rsid w:val="001F38BE"/>
    <w:rsid w:val="001F390C"/>
    <w:rsid w:val="001F3A11"/>
    <w:rsid w:val="001F3A62"/>
    <w:rsid w:val="001F3E1E"/>
    <w:rsid w:val="001F3F1A"/>
    <w:rsid w:val="001F404C"/>
    <w:rsid w:val="001F44D9"/>
    <w:rsid w:val="001F45A3"/>
    <w:rsid w:val="001F45BC"/>
    <w:rsid w:val="001F480F"/>
    <w:rsid w:val="001F4B59"/>
    <w:rsid w:val="001F4DEB"/>
    <w:rsid w:val="001F4EE0"/>
    <w:rsid w:val="001F5006"/>
    <w:rsid w:val="001F5040"/>
    <w:rsid w:val="001F50F4"/>
    <w:rsid w:val="001F52E5"/>
    <w:rsid w:val="001F5303"/>
    <w:rsid w:val="001F53AE"/>
    <w:rsid w:val="001F568C"/>
    <w:rsid w:val="001F568F"/>
    <w:rsid w:val="001F5C0F"/>
    <w:rsid w:val="001F6176"/>
    <w:rsid w:val="001F61AE"/>
    <w:rsid w:val="001F61B8"/>
    <w:rsid w:val="001F631C"/>
    <w:rsid w:val="001F661E"/>
    <w:rsid w:val="001F671C"/>
    <w:rsid w:val="001F682C"/>
    <w:rsid w:val="001F6839"/>
    <w:rsid w:val="001F6B41"/>
    <w:rsid w:val="001F726F"/>
    <w:rsid w:val="001F728F"/>
    <w:rsid w:val="001F772F"/>
    <w:rsid w:val="001F773E"/>
    <w:rsid w:val="001F78AF"/>
    <w:rsid w:val="001F7AA1"/>
    <w:rsid w:val="001F7C68"/>
    <w:rsid w:val="001F7D19"/>
    <w:rsid w:val="001F7E75"/>
    <w:rsid w:val="002003F1"/>
    <w:rsid w:val="00200632"/>
    <w:rsid w:val="00200C10"/>
    <w:rsid w:val="00200E31"/>
    <w:rsid w:val="00201505"/>
    <w:rsid w:val="0020196D"/>
    <w:rsid w:val="00201C49"/>
    <w:rsid w:val="0020231D"/>
    <w:rsid w:val="00202644"/>
    <w:rsid w:val="0020277F"/>
    <w:rsid w:val="00202ACD"/>
    <w:rsid w:val="00202BEC"/>
    <w:rsid w:val="00202C65"/>
    <w:rsid w:val="00202D9A"/>
    <w:rsid w:val="00202E46"/>
    <w:rsid w:val="0020311C"/>
    <w:rsid w:val="0020312C"/>
    <w:rsid w:val="002034C1"/>
    <w:rsid w:val="0020382D"/>
    <w:rsid w:val="00203CEA"/>
    <w:rsid w:val="00203CFD"/>
    <w:rsid w:val="00203E51"/>
    <w:rsid w:val="00204244"/>
    <w:rsid w:val="00204332"/>
    <w:rsid w:val="0020484F"/>
    <w:rsid w:val="00204903"/>
    <w:rsid w:val="00204BA2"/>
    <w:rsid w:val="00204C86"/>
    <w:rsid w:val="00204CBA"/>
    <w:rsid w:val="00204D62"/>
    <w:rsid w:val="00204E54"/>
    <w:rsid w:val="00204E9C"/>
    <w:rsid w:val="00204F7A"/>
    <w:rsid w:val="00204FD0"/>
    <w:rsid w:val="002050C3"/>
    <w:rsid w:val="0020510E"/>
    <w:rsid w:val="00205228"/>
    <w:rsid w:val="00205721"/>
    <w:rsid w:val="0020576F"/>
    <w:rsid w:val="00205844"/>
    <w:rsid w:val="00205930"/>
    <w:rsid w:val="002064DC"/>
    <w:rsid w:val="002065F5"/>
    <w:rsid w:val="0020662B"/>
    <w:rsid w:val="002066BB"/>
    <w:rsid w:val="00206795"/>
    <w:rsid w:val="00206823"/>
    <w:rsid w:val="002069BB"/>
    <w:rsid w:val="00206BE5"/>
    <w:rsid w:val="00206EE3"/>
    <w:rsid w:val="002071C1"/>
    <w:rsid w:val="0020737D"/>
    <w:rsid w:val="002075EE"/>
    <w:rsid w:val="0020767D"/>
    <w:rsid w:val="00207831"/>
    <w:rsid w:val="00207A5A"/>
    <w:rsid w:val="00207AB5"/>
    <w:rsid w:val="00207D00"/>
    <w:rsid w:val="00207D32"/>
    <w:rsid w:val="00210061"/>
    <w:rsid w:val="002100B3"/>
    <w:rsid w:val="00210272"/>
    <w:rsid w:val="002104DD"/>
    <w:rsid w:val="0021065B"/>
    <w:rsid w:val="002107FB"/>
    <w:rsid w:val="00210800"/>
    <w:rsid w:val="00210E0C"/>
    <w:rsid w:val="00211173"/>
    <w:rsid w:val="0021145D"/>
    <w:rsid w:val="0021151C"/>
    <w:rsid w:val="002115D8"/>
    <w:rsid w:val="00211A85"/>
    <w:rsid w:val="00211CF1"/>
    <w:rsid w:val="00211F4C"/>
    <w:rsid w:val="00212017"/>
    <w:rsid w:val="00212455"/>
    <w:rsid w:val="00212852"/>
    <w:rsid w:val="0021298B"/>
    <w:rsid w:val="00212D1B"/>
    <w:rsid w:val="00212F4A"/>
    <w:rsid w:val="002131F5"/>
    <w:rsid w:val="00213580"/>
    <w:rsid w:val="002138AC"/>
    <w:rsid w:val="002138ED"/>
    <w:rsid w:val="0021390C"/>
    <w:rsid w:val="00213C3F"/>
    <w:rsid w:val="00213CC2"/>
    <w:rsid w:val="00214071"/>
    <w:rsid w:val="002141CB"/>
    <w:rsid w:val="002142F2"/>
    <w:rsid w:val="0021470E"/>
    <w:rsid w:val="00214893"/>
    <w:rsid w:val="00214AA6"/>
    <w:rsid w:val="00214CF4"/>
    <w:rsid w:val="00214DCB"/>
    <w:rsid w:val="0021507D"/>
    <w:rsid w:val="00215596"/>
    <w:rsid w:val="002155C8"/>
    <w:rsid w:val="00215935"/>
    <w:rsid w:val="00215E94"/>
    <w:rsid w:val="002162D7"/>
    <w:rsid w:val="00216BFE"/>
    <w:rsid w:val="00216CF6"/>
    <w:rsid w:val="00216F4C"/>
    <w:rsid w:val="002171FC"/>
    <w:rsid w:val="002173BF"/>
    <w:rsid w:val="002177DC"/>
    <w:rsid w:val="0021784B"/>
    <w:rsid w:val="002178C2"/>
    <w:rsid w:val="00217BEB"/>
    <w:rsid w:val="002201EA"/>
    <w:rsid w:val="002203C6"/>
    <w:rsid w:val="00220C99"/>
    <w:rsid w:val="00220CCF"/>
    <w:rsid w:val="00220CD6"/>
    <w:rsid w:val="00220D19"/>
    <w:rsid w:val="00220FA0"/>
    <w:rsid w:val="00221176"/>
    <w:rsid w:val="0022118D"/>
    <w:rsid w:val="0022127D"/>
    <w:rsid w:val="00221580"/>
    <w:rsid w:val="002216C8"/>
    <w:rsid w:val="00221A80"/>
    <w:rsid w:val="00221AAD"/>
    <w:rsid w:val="00221D1F"/>
    <w:rsid w:val="00221DCE"/>
    <w:rsid w:val="00221F79"/>
    <w:rsid w:val="002220F1"/>
    <w:rsid w:val="002221C2"/>
    <w:rsid w:val="002222C6"/>
    <w:rsid w:val="00222327"/>
    <w:rsid w:val="0022245D"/>
    <w:rsid w:val="002228D5"/>
    <w:rsid w:val="00222AE3"/>
    <w:rsid w:val="00222C47"/>
    <w:rsid w:val="00222E62"/>
    <w:rsid w:val="00222FD6"/>
    <w:rsid w:val="002230B4"/>
    <w:rsid w:val="00223210"/>
    <w:rsid w:val="00223556"/>
    <w:rsid w:val="002235CC"/>
    <w:rsid w:val="0022372E"/>
    <w:rsid w:val="00223948"/>
    <w:rsid w:val="0022398B"/>
    <w:rsid w:val="002239A3"/>
    <w:rsid w:val="002239BE"/>
    <w:rsid w:val="00223A37"/>
    <w:rsid w:val="00223B05"/>
    <w:rsid w:val="00223E25"/>
    <w:rsid w:val="00223EB8"/>
    <w:rsid w:val="0022403D"/>
    <w:rsid w:val="00224046"/>
    <w:rsid w:val="0022418F"/>
    <w:rsid w:val="002241AB"/>
    <w:rsid w:val="002242BD"/>
    <w:rsid w:val="00224444"/>
    <w:rsid w:val="00224455"/>
    <w:rsid w:val="00224468"/>
    <w:rsid w:val="00224529"/>
    <w:rsid w:val="0022465B"/>
    <w:rsid w:val="002246A5"/>
    <w:rsid w:val="0022482F"/>
    <w:rsid w:val="0022495C"/>
    <w:rsid w:val="00224992"/>
    <w:rsid w:val="00224A1D"/>
    <w:rsid w:val="0022579A"/>
    <w:rsid w:val="002259CC"/>
    <w:rsid w:val="00225B68"/>
    <w:rsid w:val="00225CE8"/>
    <w:rsid w:val="00225E86"/>
    <w:rsid w:val="00226083"/>
    <w:rsid w:val="002263C8"/>
    <w:rsid w:val="0022649F"/>
    <w:rsid w:val="002268CC"/>
    <w:rsid w:val="00226FD2"/>
    <w:rsid w:val="002271A3"/>
    <w:rsid w:val="00227252"/>
    <w:rsid w:val="00227560"/>
    <w:rsid w:val="002275C7"/>
    <w:rsid w:val="0022769B"/>
    <w:rsid w:val="00227820"/>
    <w:rsid w:val="00227AC2"/>
    <w:rsid w:val="00227B6C"/>
    <w:rsid w:val="00227BCA"/>
    <w:rsid w:val="00227D00"/>
    <w:rsid w:val="00227DF8"/>
    <w:rsid w:val="00227F1F"/>
    <w:rsid w:val="00230079"/>
    <w:rsid w:val="00230B29"/>
    <w:rsid w:val="00230C7B"/>
    <w:rsid w:val="00230CAD"/>
    <w:rsid w:val="00230DE4"/>
    <w:rsid w:val="00230DF0"/>
    <w:rsid w:val="0023164D"/>
    <w:rsid w:val="00231731"/>
    <w:rsid w:val="002318B7"/>
    <w:rsid w:val="00231B44"/>
    <w:rsid w:val="00231C66"/>
    <w:rsid w:val="00231D17"/>
    <w:rsid w:val="00231DE0"/>
    <w:rsid w:val="00231E78"/>
    <w:rsid w:val="002321F6"/>
    <w:rsid w:val="00232377"/>
    <w:rsid w:val="00232832"/>
    <w:rsid w:val="00232866"/>
    <w:rsid w:val="002328FF"/>
    <w:rsid w:val="00233057"/>
    <w:rsid w:val="002330D7"/>
    <w:rsid w:val="00233128"/>
    <w:rsid w:val="00233215"/>
    <w:rsid w:val="0023333F"/>
    <w:rsid w:val="0023354E"/>
    <w:rsid w:val="0023379D"/>
    <w:rsid w:val="002338D3"/>
    <w:rsid w:val="00233910"/>
    <w:rsid w:val="0023391A"/>
    <w:rsid w:val="00233F9F"/>
    <w:rsid w:val="00233FBC"/>
    <w:rsid w:val="00234019"/>
    <w:rsid w:val="002340B6"/>
    <w:rsid w:val="002341A0"/>
    <w:rsid w:val="002342DC"/>
    <w:rsid w:val="00234718"/>
    <w:rsid w:val="0023473F"/>
    <w:rsid w:val="00234AEE"/>
    <w:rsid w:val="00234BA2"/>
    <w:rsid w:val="00234DEC"/>
    <w:rsid w:val="00234F9F"/>
    <w:rsid w:val="00235582"/>
    <w:rsid w:val="0023598C"/>
    <w:rsid w:val="002359EF"/>
    <w:rsid w:val="00235FC9"/>
    <w:rsid w:val="0023657E"/>
    <w:rsid w:val="002365F2"/>
    <w:rsid w:val="002366B8"/>
    <w:rsid w:val="002366DE"/>
    <w:rsid w:val="00236846"/>
    <w:rsid w:val="0023694A"/>
    <w:rsid w:val="00236F62"/>
    <w:rsid w:val="002370AB"/>
    <w:rsid w:val="002370E0"/>
    <w:rsid w:val="00237379"/>
    <w:rsid w:val="0023750E"/>
    <w:rsid w:val="002375B4"/>
    <w:rsid w:val="00237710"/>
    <w:rsid w:val="00237872"/>
    <w:rsid w:val="00237BBA"/>
    <w:rsid w:val="00237CE7"/>
    <w:rsid w:val="00237DE9"/>
    <w:rsid w:val="002400D7"/>
    <w:rsid w:val="00240111"/>
    <w:rsid w:val="002401B2"/>
    <w:rsid w:val="00240439"/>
    <w:rsid w:val="0024062B"/>
    <w:rsid w:val="00240B43"/>
    <w:rsid w:val="00240EFC"/>
    <w:rsid w:val="00241289"/>
    <w:rsid w:val="002414F9"/>
    <w:rsid w:val="00241704"/>
    <w:rsid w:val="00241881"/>
    <w:rsid w:val="00241B0C"/>
    <w:rsid w:val="00241E8E"/>
    <w:rsid w:val="00241FAE"/>
    <w:rsid w:val="002424DD"/>
    <w:rsid w:val="00242695"/>
    <w:rsid w:val="00242802"/>
    <w:rsid w:val="002429BD"/>
    <w:rsid w:val="002430CE"/>
    <w:rsid w:val="0024322A"/>
    <w:rsid w:val="002433A4"/>
    <w:rsid w:val="002433D9"/>
    <w:rsid w:val="00243468"/>
    <w:rsid w:val="002434BB"/>
    <w:rsid w:val="0024357F"/>
    <w:rsid w:val="00243688"/>
    <w:rsid w:val="0024378D"/>
    <w:rsid w:val="0024391B"/>
    <w:rsid w:val="00243D39"/>
    <w:rsid w:val="00243D84"/>
    <w:rsid w:val="00244010"/>
    <w:rsid w:val="00244102"/>
    <w:rsid w:val="0024455D"/>
    <w:rsid w:val="002445AB"/>
    <w:rsid w:val="0024465D"/>
    <w:rsid w:val="00244915"/>
    <w:rsid w:val="0024491B"/>
    <w:rsid w:val="00244F6C"/>
    <w:rsid w:val="00245259"/>
    <w:rsid w:val="002453B3"/>
    <w:rsid w:val="00245475"/>
    <w:rsid w:val="002458A3"/>
    <w:rsid w:val="002459E2"/>
    <w:rsid w:val="00245A00"/>
    <w:rsid w:val="00245B39"/>
    <w:rsid w:val="0024630E"/>
    <w:rsid w:val="00246357"/>
    <w:rsid w:val="002463CE"/>
    <w:rsid w:val="0024656F"/>
    <w:rsid w:val="002465F3"/>
    <w:rsid w:val="00246E9C"/>
    <w:rsid w:val="00246EAC"/>
    <w:rsid w:val="00247504"/>
    <w:rsid w:val="00247631"/>
    <w:rsid w:val="0024774B"/>
    <w:rsid w:val="002477BE"/>
    <w:rsid w:val="0024788D"/>
    <w:rsid w:val="00247B83"/>
    <w:rsid w:val="00247C16"/>
    <w:rsid w:val="00247F4A"/>
    <w:rsid w:val="00250007"/>
    <w:rsid w:val="002501D2"/>
    <w:rsid w:val="0025031F"/>
    <w:rsid w:val="00250386"/>
    <w:rsid w:val="002505DA"/>
    <w:rsid w:val="002505EC"/>
    <w:rsid w:val="00250770"/>
    <w:rsid w:val="00250BD9"/>
    <w:rsid w:val="00250C10"/>
    <w:rsid w:val="00250C88"/>
    <w:rsid w:val="00250FEB"/>
    <w:rsid w:val="00251421"/>
    <w:rsid w:val="00251477"/>
    <w:rsid w:val="00251634"/>
    <w:rsid w:val="002516A4"/>
    <w:rsid w:val="00251726"/>
    <w:rsid w:val="002519C0"/>
    <w:rsid w:val="00251B22"/>
    <w:rsid w:val="00251B9C"/>
    <w:rsid w:val="00251D7A"/>
    <w:rsid w:val="00251EDF"/>
    <w:rsid w:val="002521C3"/>
    <w:rsid w:val="00252280"/>
    <w:rsid w:val="0025230F"/>
    <w:rsid w:val="002523C9"/>
    <w:rsid w:val="002524B8"/>
    <w:rsid w:val="002526C6"/>
    <w:rsid w:val="002527CD"/>
    <w:rsid w:val="002529F7"/>
    <w:rsid w:val="00252AF3"/>
    <w:rsid w:val="00252BD1"/>
    <w:rsid w:val="00252C2A"/>
    <w:rsid w:val="00253041"/>
    <w:rsid w:val="0025307F"/>
    <w:rsid w:val="002534B1"/>
    <w:rsid w:val="00253576"/>
    <w:rsid w:val="00253754"/>
    <w:rsid w:val="002538ED"/>
    <w:rsid w:val="0025399C"/>
    <w:rsid w:val="00253D2A"/>
    <w:rsid w:val="00253D99"/>
    <w:rsid w:val="00253DBE"/>
    <w:rsid w:val="00253E95"/>
    <w:rsid w:val="00253F09"/>
    <w:rsid w:val="00253F83"/>
    <w:rsid w:val="002542F7"/>
    <w:rsid w:val="002546B7"/>
    <w:rsid w:val="00254BC7"/>
    <w:rsid w:val="00254BF8"/>
    <w:rsid w:val="00254BF9"/>
    <w:rsid w:val="00254C26"/>
    <w:rsid w:val="00254D1F"/>
    <w:rsid w:val="00254E63"/>
    <w:rsid w:val="002552D9"/>
    <w:rsid w:val="0025548C"/>
    <w:rsid w:val="0025551E"/>
    <w:rsid w:val="002555E7"/>
    <w:rsid w:val="00255890"/>
    <w:rsid w:val="00255CD0"/>
    <w:rsid w:val="00255D53"/>
    <w:rsid w:val="00255DC5"/>
    <w:rsid w:val="00255E4B"/>
    <w:rsid w:val="00256057"/>
    <w:rsid w:val="002560CE"/>
    <w:rsid w:val="00256233"/>
    <w:rsid w:val="00256869"/>
    <w:rsid w:val="00256C0A"/>
    <w:rsid w:val="00256C3A"/>
    <w:rsid w:val="00256C6F"/>
    <w:rsid w:val="00256E0C"/>
    <w:rsid w:val="00256ED5"/>
    <w:rsid w:val="00256F0E"/>
    <w:rsid w:val="00256FB2"/>
    <w:rsid w:val="00257176"/>
    <w:rsid w:val="00257213"/>
    <w:rsid w:val="00257337"/>
    <w:rsid w:val="00257478"/>
    <w:rsid w:val="002574B6"/>
    <w:rsid w:val="00257516"/>
    <w:rsid w:val="002577A0"/>
    <w:rsid w:val="002578B0"/>
    <w:rsid w:val="0025793E"/>
    <w:rsid w:val="00257B9A"/>
    <w:rsid w:val="00257C35"/>
    <w:rsid w:val="0026000B"/>
    <w:rsid w:val="00260169"/>
    <w:rsid w:val="00260252"/>
    <w:rsid w:val="0026032E"/>
    <w:rsid w:val="00260494"/>
    <w:rsid w:val="002609D4"/>
    <w:rsid w:val="00260B42"/>
    <w:rsid w:val="00260CDE"/>
    <w:rsid w:val="00260CF7"/>
    <w:rsid w:val="00260CFA"/>
    <w:rsid w:val="00260F43"/>
    <w:rsid w:val="0026131F"/>
    <w:rsid w:val="002613BD"/>
    <w:rsid w:val="00261434"/>
    <w:rsid w:val="002614AB"/>
    <w:rsid w:val="002619A4"/>
    <w:rsid w:val="00261AC3"/>
    <w:rsid w:val="00261C0C"/>
    <w:rsid w:val="00261D60"/>
    <w:rsid w:val="00261E10"/>
    <w:rsid w:val="00261F04"/>
    <w:rsid w:val="00261F44"/>
    <w:rsid w:val="00262070"/>
    <w:rsid w:val="0026234A"/>
    <w:rsid w:val="0026269C"/>
    <w:rsid w:val="00262989"/>
    <w:rsid w:val="00262A0F"/>
    <w:rsid w:val="00262BB4"/>
    <w:rsid w:val="00262DBF"/>
    <w:rsid w:val="00262E2A"/>
    <w:rsid w:val="00262E35"/>
    <w:rsid w:val="00262FE3"/>
    <w:rsid w:val="0026370B"/>
    <w:rsid w:val="002639E5"/>
    <w:rsid w:val="00263BCA"/>
    <w:rsid w:val="00263D3C"/>
    <w:rsid w:val="00263ED9"/>
    <w:rsid w:val="00263EE2"/>
    <w:rsid w:val="002643E7"/>
    <w:rsid w:val="002649E2"/>
    <w:rsid w:val="0026502D"/>
    <w:rsid w:val="002650F0"/>
    <w:rsid w:val="002652FE"/>
    <w:rsid w:val="00265363"/>
    <w:rsid w:val="00265890"/>
    <w:rsid w:val="002658D3"/>
    <w:rsid w:val="00265A94"/>
    <w:rsid w:val="00265BEB"/>
    <w:rsid w:val="00265F2C"/>
    <w:rsid w:val="00266119"/>
    <w:rsid w:val="0026619D"/>
    <w:rsid w:val="002663A1"/>
    <w:rsid w:val="002664B1"/>
    <w:rsid w:val="00266520"/>
    <w:rsid w:val="0026654B"/>
    <w:rsid w:val="002668FD"/>
    <w:rsid w:val="00266995"/>
    <w:rsid w:val="00266BB0"/>
    <w:rsid w:val="00266E46"/>
    <w:rsid w:val="00266EBC"/>
    <w:rsid w:val="002671BE"/>
    <w:rsid w:val="002675FC"/>
    <w:rsid w:val="0026764D"/>
    <w:rsid w:val="0026774D"/>
    <w:rsid w:val="00267955"/>
    <w:rsid w:val="00267B47"/>
    <w:rsid w:val="00267CD1"/>
    <w:rsid w:val="0027032D"/>
    <w:rsid w:val="00270385"/>
    <w:rsid w:val="0027044E"/>
    <w:rsid w:val="0027069E"/>
    <w:rsid w:val="002707CA"/>
    <w:rsid w:val="0027082D"/>
    <w:rsid w:val="00270886"/>
    <w:rsid w:val="00270900"/>
    <w:rsid w:val="00270951"/>
    <w:rsid w:val="002709F1"/>
    <w:rsid w:val="00270DD4"/>
    <w:rsid w:val="00271388"/>
    <w:rsid w:val="00271952"/>
    <w:rsid w:val="00271A5F"/>
    <w:rsid w:val="00271F5A"/>
    <w:rsid w:val="00272119"/>
    <w:rsid w:val="002723E9"/>
    <w:rsid w:val="00272788"/>
    <w:rsid w:val="002728C7"/>
    <w:rsid w:val="002729C7"/>
    <w:rsid w:val="00272CD5"/>
    <w:rsid w:val="00272D89"/>
    <w:rsid w:val="00272E88"/>
    <w:rsid w:val="002731CF"/>
    <w:rsid w:val="00273399"/>
    <w:rsid w:val="002734CB"/>
    <w:rsid w:val="00273547"/>
    <w:rsid w:val="00273A04"/>
    <w:rsid w:val="0027418B"/>
    <w:rsid w:val="002743D8"/>
    <w:rsid w:val="00274598"/>
    <w:rsid w:val="00274667"/>
    <w:rsid w:val="0027466A"/>
    <w:rsid w:val="002749EE"/>
    <w:rsid w:val="00274AD5"/>
    <w:rsid w:val="00274DA5"/>
    <w:rsid w:val="00274DD9"/>
    <w:rsid w:val="00274EA5"/>
    <w:rsid w:val="00274F81"/>
    <w:rsid w:val="00275309"/>
    <w:rsid w:val="002754A3"/>
    <w:rsid w:val="00275B2C"/>
    <w:rsid w:val="00275B7C"/>
    <w:rsid w:val="00275D3E"/>
    <w:rsid w:val="002760D1"/>
    <w:rsid w:val="002762A1"/>
    <w:rsid w:val="00276318"/>
    <w:rsid w:val="002764F0"/>
    <w:rsid w:val="00276526"/>
    <w:rsid w:val="00276812"/>
    <w:rsid w:val="002768E8"/>
    <w:rsid w:val="00276981"/>
    <w:rsid w:val="0027698D"/>
    <w:rsid w:val="00276B3E"/>
    <w:rsid w:val="00276DFE"/>
    <w:rsid w:val="00276E50"/>
    <w:rsid w:val="00277071"/>
    <w:rsid w:val="002770FE"/>
    <w:rsid w:val="00277216"/>
    <w:rsid w:val="0027762E"/>
    <w:rsid w:val="00277AB9"/>
    <w:rsid w:val="00277AE3"/>
    <w:rsid w:val="00277B4E"/>
    <w:rsid w:val="00277E58"/>
    <w:rsid w:val="0028021E"/>
    <w:rsid w:val="002804E6"/>
    <w:rsid w:val="00280B43"/>
    <w:rsid w:val="00280E1E"/>
    <w:rsid w:val="00280F3C"/>
    <w:rsid w:val="00280FD8"/>
    <w:rsid w:val="00281314"/>
    <w:rsid w:val="00281677"/>
    <w:rsid w:val="002818E5"/>
    <w:rsid w:val="00281A2B"/>
    <w:rsid w:val="00281AB5"/>
    <w:rsid w:val="00281C0E"/>
    <w:rsid w:val="00281DE0"/>
    <w:rsid w:val="00281EB8"/>
    <w:rsid w:val="00281ED8"/>
    <w:rsid w:val="00281FEC"/>
    <w:rsid w:val="0028201A"/>
    <w:rsid w:val="00282030"/>
    <w:rsid w:val="00282110"/>
    <w:rsid w:val="0028216B"/>
    <w:rsid w:val="002822B8"/>
    <w:rsid w:val="0028244F"/>
    <w:rsid w:val="002827E9"/>
    <w:rsid w:val="00282954"/>
    <w:rsid w:val="00282B20"/>
    <w:rsid w:val="00282CDD"/>
    <w:rsid w:val="002830F3"/>
    <w:rsid w:val="002832FF"/>
    <w:rsid w:val="00283488"/>
    <w:rsid w:val="00283797"/>
    <w:rsid w:val="00283824"/>
    <w:rsid w:val="00283A2E"/>
    <w:rsid w:val="00283A6B"/>
    <w:rsid w:val="00283A7A"/>
    <w:rsid w:val="00283E1D"/>
    <w:rsid w:val="00283FA8"/>
    <w:rsid w:val="0028407D"/>
    <w:rsid w:val="0028419F"/>
    <w:rsid w:val="00284877"/>
    <w:rsid w:val="00284E0B"/>
    <w:rsid w:val="00284F18"/>
    <w:rsid w:val="00284F56"/>
    <w:rsid w:val="00285286"/>
    <w:rsid w:val="002852E4"/>
    <w:rsid w:val="002855E4"/>
    <w:rsid w:val="0028566A"/>
    <w:rsid w:val="00285929"/>
    <w:rsid w:val="002859E4"/>
    <w:rsid w:val="00285EC9"/>
    <w:rsid w:val="00285F0E"/>
    <w:rsid w:val="00285FFC"/>
    <w:rsid w:val="0028602D"/>
    <w:rsid w:val="002861CC"/>
    <w:rsid w:val="0028630F"/>
    <w:rsid w:val="002863AA"/>
    <w:rsid w:val="002865C5"/>
    <w:rsid w:val="0028671E"/>
    <w:rsid w:val="00286E0F"/>
    <w:rsid w:val="002874A7"/>
    <w:rsid w:val="00287546"/>
    <w:rsid w:val="00287B33"/>
    <w:rsid w:val="00287C54"/>
    <w:rsid w:val="00287F5C"/>
    <w:rsid w:val="0029000B"/>
    <w:rsid w:val="0029017E"/>
    <w:rsid w:val="00290298"/>
    <w:rsid w:val="0029035B"/>
    <w:rsid w:val="00290525"/>
    <w:rsid w:val="00290760"/>
    <w:rsid w:val="00290770"/>
    <w:rsid w:val="00290C36"/>
    <w:rsid w:val="00290CE1"/>
    <w:rsid w:val="00290D66"/>
    <w:rsid w:val="00290DBB"/>
    <w:rsid w:val="00290F07"/>
    <w:rsid w:val="002911FA"/>
    <w:rsid w:val="0029126B"/>
    <w:rsid w:val="00291711"/>
    <w:rsid w:val="002918B2"/>
    <w:rsid w:val="0029191A"/>
    <w:rsid w:val="00291A26"/>
    <w:rsid w:val="00291C1A"/>
    <w:rsid w:val="00291CC4"/>
    <w:rsid w:val="00292175"/>
    <w:rsid w:val="002921E9"/>
    <w:rsid w:val="0029247B"/>
    <w:rsid w:val="0029249D"/>
    <w:rsid w:val="00292570"/>
    <w:rsid w:val="00292694"/>
    <w:rsid w:val="00292910"/>
    <w:rsid w:val="00292C8F"/>
    <w:rsid w:val="00292E02"/>
    <w:rsid w:val="00292E76"/>
    <w:rsid w:val="00292EBC"/>
    <w:rsid w:val="002930B2"/>
    <w:rsid w:val="0029321B"/>
    <w:rsid w:val="00293276"/>
    <w:rsid w:val="00293292"/>
    <w:rsid w:val="002936AE"/>
    <w:rsid w:val="00293906"/>
    <w:rsid w:val="0029395F"/>
    <w:rsid w:val="00293A44"/>
    <w:rsid w:val="00293DC7"/>
    <w:rsid w:val="00293F2B"/>
    <w:rsid w:val="00294281"/>
    <w:rsid w:val="00294558"/>
    <w:rsid w:val="0029470B"/>
    <w:rsid w:val="00294756"/>
    <w:rsid w:val="00294A65"/>
    <w:rsid w:val="00294AEA"/>
    <w:rsid w:val="00294BB5"/>
    <w:rsid w:val="00294BBA"/>
    <w:rsid w:val="00294F72"/>
    <w:rsid w:val="00295129"/>
    <w:rsid w:val="0029521B"/>
    <w:rsid w:val="002954D6"/>
    <w:rsid w:val="0029576C"/>
    <w:rsid w:val="00295B7B"/>
    <w:rsid w:val="00295E7B"/>
    <w:rsid w:val="002961C1"/>
    <w:rsid w:val="00296511"/>
    <w:rsid w:val="00296A9F"/>
    <w:rsid w:val="00296ADE"/>
    <w:rsid w:val="00296B38"/>
    <w:rsid w:val="00296DB2"/>
    <w:rsid w:val="00296F29"/>
    <w:rsid w:val="002970F7"/>
    <w:rsid w:val="00297214"/>
    <w:rsid w:val="00297227"/>
    <w:rsid w:val="002972BF"/>
    <w:rsid w:val="002975AE"/>
    <w:rsid w:val="00297763"/>
    <w:rsid w:val="002977E5"/>
    <w:rsid w:val="0029787E"/>
    <w:rsid w:val="00297A67"/>
    <w:rsid w:val="002A0127"/>
    <w:rsid w:val="002A0353"/>
    <w:rsid w:val="002A07D3"/>
    <w:rsid w:val="002A0A1D"/>
    <w:rsid w:val="002A0C2A"/>
    <w:rsid w:val="002A0F8E"/>
    <w:rsid w:val="002A10B5"/>
    <w:rsid w:val="002A1150"/>
    <w:rsid w:val="002A125C"/>
    <w:rsid w:val="002A1474"/>
    <w:rsid w:val="002A157F"/>
    <w:rsid w:val="002A1688"/>
    <w:rsid w:val="002A184F"/>
    <w:rsid w:val="002A1BAE"/>
    <w:rsid w:val="002A1BB5"/>
    <w:rsid w:val="002A1D43"/>
    <w:rsid w:val="002A1E8E"/>
    <w:rsid w:val="002A21C3"/>
    <w:rsid w:val="002A23E5"/>
    <w:rsid w:val="002A2BCA"/>
    <w:rsid w:val="002A2BE2"/>
    <w:rsid w:val="002A2D3F"/>
    <w:rsid w:val="002A2E75"/>
    <w:rsid w:val="002A2F01"/>
    <w:rsid w:val="002A2FB3"/>
    <w:rsid w:val="002A3012"/>
    <w:rsid w:val="002A3293"/>
    <w:rsid w:val="002A32B3"/>
    <w:rsid w:val="002A3413"/>
    <w:rsid w:val="002A39FF"/>
    <w:rsid w:val="002A3BFF"/>
    <w:rsid w:val="002A3DCA"/>
    <w:rsid w:val="002A44ED"/>
    <w:rsid w:val="002A4713"/>
    <w:rsid w:val="002A4B14"/>
    <w:rsid w:val="002A4F0A"/>
    <w:rsid w:val="002A51C1"/>
    <w:rsid w:val="002A58BE"/>
    <w:rsid w:val="002A5A3F"/>
    <w:rsid w:val="002A5B0F"/>
    <w:rsid w:val="002A5C90"/>
    <w:rsid w:val="002A63D0"/>
    <w:rsid w:val="002A648D"/>
    <w:rsid w:val="002A661E"/>
    <w:rsid w:val="002A6782"/>
    <w:rsid w:val="002A6A55"/>
    <w:rsid w:val="002A6C58"/>
    <w:rsid w:val="002A71CB"/>
    <w:rsid w:val="002A7250"/>
    <w:rsid w:val="002A73F1"/>
    <w:rsid w:val="002A7684"/>
    <w:rsid w:val="002A7A4B"/>
    <w:rsid w:val="002A7E32"/>
    <w:rsid w:val="002A7F44"/>
    <w:rsid w:val="002B013D"/>
    <w:rsid w:val="002B029B"/>
    <w:rsid w:val="002B040B"/>
    <w:rsid w:val="002B091C"/>
    <w:rsid w:val="002B0AD8"/>
    <w:rsid w:val="002B0C56"/>
    <w:rsid w:val="002B0DBF"/>
    <w:rsid w:val="002B100D"/>
    <w:rsid w:val="002B119B"/>
    <w:rsid w:val="002B11E5"/>
    <w:rsid w:val="002B11FA"/>
    <w:rsid w:val="002B1459"/>
    <w:rsid w:val="002B14D0"/>
    <w:rsid w:val="002B15B2"/>
    <w:rsid w:val="002B15BC"/>
    <w:rsid w:val="002B166F"/>
    <w:rsid w:val="002B1941"/>
    <w:rsid w:val="002B1B08"/>
    <w:rsid w:val="002B1B90"/>
    <w:rsid w:val="002B1D34"/>
    <w:rsid w:val="002B1E44"/>
    <w:rsid w:val="002B220A"/>
    <w:rsid w:val="002B2376"/>
    <w:rsid w:val="002B23CC"/>
    <w:rsid w:val="002B2739"/>
    <w:rsid w:val="002B2748"/>
    <w:rsid w:val="002B288C"/>
    <w:rsid w:val="002B288E"/>
    <w:rsid w:val="002B292B"/>
    <w:rsid w:val="002B29C2"/>
    <w:rsid w:val="002B2F5B"/>
    <w:rsid w:val="002B3122"/>
    <w:rsid w:val="002B3241"/>
    <w:rsid w:val="002B32B0"/>
    <w:rsid w:val="002B353F"/>
    <w:rsid w:val="002B3595"/>
    <w:rsid w:val="002B37E4"/>
    <w:rsid w:val="002B37E9"/>
    <w:rsid w:val="002B383C"/>
    <w:rsid w:val="002B38E7"/>
    <w:rsid w:val="002B3928"/>
    <w:rsid w:val="002B39F3"/>
    <w:rsid w:val="002B3DA3"/>
    <w:rsid w:val="002B3FC5"/>
    <w:rsid w:val="002B4054"/>
    <w:rsid w:val="002B40B2"/>
    <w:rsid w:val="002B4164"/>
    <w:rsid w:val="002B421E"/>
    <w:rsid w:val="002B429A"/>
    <w:rsid w:val="002B43D2"/>
    <w:rsid w:val="002B4437"/>
    <w:rsid w:val="002B47FC"/>
    <w:rsid w:val="002B4D02"/>
    <w:rsid w:val="002B4D4B"/>
    <w:rsid w:val="002B4F20"/>
    <w:rsid w:val="002B5144"/>
    <w:rsid w:val="002B5220"/>
    <w:rsid w:val="002B5443"/>
    <w:rsid w:val="002B567D"/>
    <w:rsid w:val="002B569E"/>
    <w:rsid w:val="002B5B14"/>
    <w:rsid w:val="002B5B33"/>
    <w:rsid w:val="002B5CEB"/>
    <w:rsid w:val="002B5D7E"/>
    <w:rsid w:val="002B60F6"/>
    <w:rsid w:val="002B651E"/>
    <w:rsid w:val="002B66F0"/>
    <w:rsid w:val="002B6805"/>
    <w:rsid w:val="002B688D"/>
    <w:rsid w:val="002B698F"/>
    <w:rsid w:val="002B6A34"/>
    <w:rsid w:val="002B6C99"/>
    <w:rsid w:val="002B6D2E"/>
    <w:rsid w:val="002B70AE"/>
    <w:rsid w:val="002B7262"/>
    <w:rsid w:val="002B727E"/>
    <w:rsid w:val="002B7519"/>
    <w:rsid w:val="002B7591"/>
    <w:rsid w:val="002B7AC1"/>
    <w:rsid w:val="002B7B92"/>
    <w:rsid w:val="002B7D94"/>
    <w:rsid w:val="002B7E33"/>
    <w:rsid w:val="002B7EFC"/>
    <w:rsid w:val="002C0008"/>
    <w:rsid w:val="002C003D"/>
    <w:rsid w:val="002C0091"/>
    <w:rsid w:val="002C01F3"/>
    <w:rsid w:val="002C0332"/>
    <w:rsid w:val="002C04FF"/>
    <w:rsid w:val="002C05C3"/>
    <w:rsid w:val="002C07AD"/>
    <w:rsid w:val="002C08A3"/>
    <w:rsid w:val="002C0F59"/>
    <w:rsid w:val="002C1140"/>
    <w:rsid w:val="002C11D3"/>
    <w:rsid w:val="002C160C"/>
    <w:rsid w:val="002C1653"/>
    <w:rsid w:val="002C170F"/>
    <w:rsid w:val="002C1C0F"/>
    <w:rsid w:val="002C1E83"/>
    <w:rsid w:val="002C22C6"/>
    <w:rsid w:val="002C2356"/>
    <w:rsid w:val="002C23DF"/>
    <w:rsid w:val="002C271E"/>
    <w:rsid w:val="002C28A1"/>
    <w:rsid w:val="002C293C"/>
    <w:rsid w:val="002C2B8A"/>
    <w:rsid w:val="002C2C64"/>
    <w:rsid w:val="002C2C7B"/>
    <w:rsid w:val="002C2E55"/>
    <w:rsid w:val="002C2F71"/>
    <w:rsid w:val="002C2FF8"/>
    <w:rsid w:val="002C318B"/>
    <w:rsid w:val="002C3263"/>
    <w:rsid w:val="002C32A6"/>
    <w:rsid w:val="002C345B"/>
    <w:rsid w:val="002C36E7"/>
    <w:rsid w:val="002C37A3"/>
    <w:rsid w:val="002C380B"/>
    <w:rsid w:val="002C38E9"/>
    <w:rsid w:val="002C3932"/>
    <w:rsid w:val="002C3A2A"/>
    <w:rsid w:val="002C3A83"/>
    <w:rsid w:val="002C3B0A"/>
    <w:rsid w:val="002C3CF6"/>
    <w:rsid w:val="002C3F11"/>
    <w:rsid w:val="002C4101"/>
    <w:rsid w:val="002C4129"/>
    <w:rsid w:val="002C437C"/>
    <w:rsid w:val="002C44F0"/>
    <w:rsid w:val="002C455F"/>
    <w:rsid w:val="002C461F"/>
    <w:rsid w:val="002C4C7D"/>
    <w:rsid w:val="002C4D66"/>
    <w:rsid w:val="002C4FE3"/>
    <w:rsid w:val="002C5342"/>
    <w:rsid w:val="002C547D"/>
    <w:rsid w:val="002C5856"/>
    <w:rsid w:val="002C5877"/>
    <w:rsid w:val="002C5904"/>
    <w:rsid w:val="002C5B28"/>
    <w:rsid w:val="002C5D54"/>
    <w:rsid w:val="002C5DFC"/>
    <w:rsid w:val="002C5FEA"/>
    <w:rsid w:val="002C608F"/>
    <w:rsid w:val="002C60A7"/>
    <w:rsid w:val="002C6114"/>
    <w:rsid w:val="002C62C1"/>
    <w:rsid w:val="002C64E1"/>
    <w:rsid w:val="002C690A"/>
    <w:rsid w:val="002C6999"/>
    <w:rsid w:val="002C6B4F"/>
    <w:rsid w:val="002C6F50"/>
    <w:rsid w:val="002C7042"/>
    <w:rsid w:val="002C751E"/>
    <w:rsid w:val="002C7B68"/>
    <w:rsid w:val="002C7C91"/>
    <w:rsid w:val="002C7C99"/>
    <w:rsid w:val="002C7D3C"/>
    <w:rsid w:val="002C7E6E"/>
    <w:rsid w:val="002C7F2E"/>
    <w:rsid w:val="002C7F80"/>
    <w:rsid w:val="002D001C"/>
    <w:rsid w:val="002D0719"/>
    <w:rsid w:val="002D0737"/>
    <w:rsid w:val="002D085F"/>
    <w:rsid w:val="002D0C3F"/>
    <w:rsid w:val="002D1076"/>
    <w:rsid w:val="002D1199"/>
    <w:rsid w:val="002D16C1"/>
    <w:rsid w:val="002D1CFF"/>
    <w:rsid w:val="002D1FC3"/>
    <w:rsid w:val="002D2089"/>
    <w:rsid w:val="002D2219"/>
    <w:rsid w:val="002D28AE"/>
    <w:rsid w:val="002D2AB8"/>
    <w:rsid w:val="002D2B74"/>
    <w:rsid w:val="002D2C0C"/>
    <w:rsid w:val="002D2DE7"/>
    <w:rsid w:val="002D2F65"/>
    <w:rsid w:val="002D2F69"/>
    <w:rsid w:val="002D2F71"/>
    <w:rsid w:val="002D2F78"/>
    <w:rsid w:val="002D30B8"/>
    <w:rsid w:val="002D3208"/>
    <w:rsid w:val="002D331A"/>
    <w:rsid w:val="002D3394"/>
    <w:rsid w:val="002D367C"/>
    <w:rsid w:val="002D386A"/>
    <w:rsid w:val="002D3C0B"/>
    <w:rsid w:val="002D41F7"/>
    <w:rsid w:val="002D4340"/>
    <w:rsid w:val="002D4422"/>
    <w:rsid w:val="002D4940"/>
    <w:rsid w:val="002D4B0E"/>
    <w:rsid w:val="002D4C36"/>
    <w:rsid w:val="002D5133"/>
    <w:rsid w:val="002D5230"/>
    <w:rsid w:val="002D5362"/>
    <w:rsid w:val="002D59E6"/>
    <w:rsid w:val="002D5CAF"/>
    <w:rsid w:val="002D5DD0"/>
    <w:rsid w:val="002D6132"/>
    <w:rsid w:val="002D61D1"/>
    <w:rsid w:val="002D65AC"/>
    <w:rsid w:val="002D6846"/>
    <w:rsid w:val="002D6AB6"/>
    <w:rsid w:val="002D6B5E"/>
    <w:rsid w:val="002D6D84"/>
    <w:rsid w:val="002D6EAF"/>
    <w:rsid w:val="002D7281"/>
    <w:rsid w:val="002D72BD"/>
    <w:rsid w:val="002D7320"/>
    <w:rsid w:val="002D7816"/>
    <w:rsid w:val="002D7909"/>
    <w:rsid w:val="002D7AF0"/>
    <w:rsid w:val="002D7FE9"/>
    <w:rsid w:val="002E022C"/>
    <w:rsid w:val="002E029C"/>
    <w:rsid w:val="002E0371"/>
    <w:rsid w:val="002E0500"/>
    <w:rsid w:val="002E0A31"/>
    <w:rsid w:val="002E0C65"/>
    <w:rsid w:val="002E135E"/>
    <w:rsid w:val="002E13CF"/>
    <w:rsid w:val="002E1409"/>
    <w:rsid w:val="002E158B"/>
    <w:rsid w:val="002E1772"/>
    <w:rsid w:val="002E1C00"/>
    <w:rsid w:val="002E1CFC"/>
    <w:rsid w:val="002E1D45"/>
    <w:rsid w:val="002E1E83"/>
    <w:rsid w:val="002E1FBB"/>
    <w:rsid w:val="002E2293"/>
    <w:rsid w:val="002E2424"/>
    <w:rsid w:val="002E26F9"/>
    <w:rsid w:val="002E2845"/>
    <w:rsid w:val="002E2AE3"/>
    <w:rsid w:val="002E2BF1"/>
    <w:rsid w:val="002E2CB3"/>
    <w:rsid w:val="002E2DA3"/>
    <w:rsid w:val="002E3174"/>
    <w:rsid w:val="002E3214"/>
    <w:rsid w:val="002E3265"/>
    <w:rsid w:val="002E3379"/>
    <w:rsid w:val="002E33F1"/>
    <w:rsid w:val="002E3771"/>
    <w:rsid w:val="002E3907"/>
    <w:rsid w:val="002E3BC9"/>
    <w:rsid w:val="002E3CB2"/>
    <w:rsid w:val="002E3ED9"/>
    <w:rsid w:val="002E3F39"/>
    <w:rsid w:val="002E3F47"/>
    <w:rsid w:val="002E3FD3"/>
    <w:rsid w:val="002E433F"/>
    <w:rsid w:val="002E4796"/>
    <w:rsid w:val="002E49A8"/>
    <w:rsid w:val="002E49D4"/>
    <w:rsid w:val="002E4C0A"/>
    <w:rsid w:val="002E4DD1"/>
    <w:rsid w:val="002E5536"/>
    <w:rsid w:val="002E5563"/>
    <w:rsid w:val="002E5F56"/>
    <w:rsid w:val="002E6007"/>
    <w:rsid w:val="002E615E"/>
    <w:rsid w:val="002E6593"/>
    <w:rsid w:val="002E665E"/>
    <w:rsid w:val="002E67BC"/>
    <w:rsid w:val="002E7053"/>
    <w:rsid w:val="002E7099"/>
    <w:rsid w:val="002E7298"/>
    <w:rsid w:val="002E7333"/>
    <w:rsid w:val="002E74C5"/>
    <w:rsid w:val="002E763D"/>
    <w:rsid w:val="002E76B5"/>
    <w:rsid w:val="002E7A73"/>
    <w:rsid w:val="002F01E6"/>
    <w:rsid w:val="002F0323"/>
    <w:rsid w:val="002F043C"/>
    <w:rsid w:val="002F07CC"/>
    <w:rsid w:val="002F094C"/>
    <w:rsid w:val="002F0FF8"/>
    <w:rsid w:val="002F1538"/>
    <w:rsid w:val="002F1875"/>
    <w:rsid w:val="002F19E1"/>
    <w:rsid w:val="002F1AA7"/>
    <w:rsid w:val="002F1B1A"/>
    <w:rsid w:val="002F1B23"/>
    <w:rsid w:val="002F1B9D"/>
    <w:rsid w:val="002F1CB2"/>
    <w:rsid w:val="002F1EAB"/>
    <w:rsid w:val="002F1F6E"/>
    <w:rsid w:val="002F22B1"/>
    <w:rsid w:val="002F22F6"/>
    <w:rsid w:val="002F239E"/>
    <w:rsid w:val="002F23FD"/>
    <w:rsid w:val="002F2771"/>
    <w:rsid w:val="002F28EF"/>
    <w:rsid w:val="002F2F13"/>
    <w:rsid w:val="002F2F7C"/>
    <w:rsid w:val="002F3004"/>
    <w:rsid w:val="002F314B"/>
    <w:rsid w:val="002F3356"/>
    <w:rsid w:val="002F3378"/>
    <w:rsid w:val="002F3B3B"/>
    <w:rsid w:val="002F404B"/>
    <w:rsid w:val="002F4095"/>
    <w:rsid w:val="002F43E1"/>
    <w:rsid w:val="002F44A9"/>
    <w:rsid w:val="002F4C17"/>
    <w:rsid w:val="002F4D22"/>
    <w:rsid w:val="002F4EC2"/>
    <w:rsid w:val="002F52F2"/>
    <w:rsid w:val="002F5462"/>
    <w:rsid w:val="002F5494"/>
    <w:rsid w:val="002F56F0"/>
    <w:rsid w:val="002F57F3"/>
    <w:rsid w:val="002F58DC"/>
    <w:rsid w:val="002F597B"/>
    <w:rsid w:val="002F5995"/>
    <w:rsid w:val="002F5C4B"/>
    <w:rsid w:val="002F5E25"/>
    <w:rsid w:val="002F61B8"/>
    <w:rsid w:val="002F648D"/>
    <w:rsid w:val="002F66E5"/>
    <w:rsid w:val="002F691D"/>
    <w:rsid w:val="002F6AB1"/>
    <w:rsid w:val="002F6B46"/>
    <w:rsid w:val="002F6BED"/>
    <w:rsid w:val="002F6F26"/>
    <w:rsid w:val="002F72F7"/>
    <w:rsid w:val="002F7406"/>
    <w:rsid w:val="002F763C"/>
    <w:rsid w:val="002F78FD"/>
    <w:rsid w:val="002F7A77"/>
    <w:rsid w:val="002F7B63"/>
    <w:rsid w:val="002F7CCF"/>
    <w:rsid w:val="002F7D2E"/>
    <w:rsid w:val="002F7E14"/>
    <w:rsid w:val="003005FA"/>
    <w:rsid w:val="00300817"/>
    <w:rsid w:val="00300AC6"/>
    <w:rsid w:val="00300B2E"/>
    <w:rsid w:val="0030113E"/>
    <w:rsid w:val="00301260"/>
    <w:rsid w:val="003013A3"/>
    <w:rsid w:val="00301444"/>
    <w:rsid w:val="00301510"/>
    <w:rsid w:val="00301A26"/>
    <w:rsid w:val="00301A43"/>
    <w:rsid w:val="00301AF6"/>
    <w:rsid w:val="00301BB0"/>
    <w:rsid w:val="00301BBD"/>
    <w:rsid w:val="00301C07"/>
    <w:rsid w:val="00301D86"/>
    <w:rsid w:val="00301E63"/>
    <w:rsid w:val="00301F43"/>
    <w:rsid w:val="00302151"/>
    <w:rsid w:val="003022F7"/>
    <w:rsid w:val="0030244F"/>
    <w:rsid w:val="003026EA"/>
    <w:rsid w:val="00302760"/>
    <w:rsid w:val="003027AD"/>
    <w:rsid w:val="0030288F"/>
    <w:rsid w:val="003029FA"/>
    <w:rsid w:val="00302A03"/>
    <w:rsid w:val="00302CD4"/>
    <w:rsid w:val="0030331A"/>
    <w:rsid w:val="003034A9"/>
    <w:rsid w:val="003036FC"/>
    <w:rsid w:val="00303841"/>
    <w:rsid w:val="003039B2"/>
    <w:rsid w:val="00303E45"/>
    <w:rsid w:val="00303FA1"/>
    <w:rsid w:val="00304498"/>
    <w:rsid w:val="003044B0"/>
    <w:rsid w:val="00304567"/>
    <w:rsid w:val="00304795"/>
    <w:rsid w:val="00304EAD"/>
    <w:rsid w:val="0030503E"/>
    <w:rsid w:val="003052E0"/>
    <w:rsid w:val="0030554E"/>
    <w:rsid w:val="00305688"/>
    <w:rsid w:val="00305DCE"/>
    <w:rsid w:val="0030610B"/>
    <w:rsid w:val="003062FE"/>
    <w:rsid w:val="003063D1"/>
    <w:rsid w:val="003065EB"/>
    <w:rsid w:val="003066F3"/>
    <w:rsid w:val="00306710"/>
    <w:rsid w:val="00306CBC"/>
    <w:rsid w:val="00306D9D"/>
    <w:rsid w:val="00306EE9"/>
    <w:rsid w:val="00306FA1"/>
    <w:rsid w:val="00307154"/>
    <w:rsid w:val="0030716F"/>
    <w:rsid w:val="003071A0"/>
    <w:rsid w:val="003072B2"/>
    <w:rsid w:val="00307452"/>
    <w:rsid w:val="00307585"/>
    <w:rsid w:val="0030795D"/>
    <w:rsid w:val="00307994"/>
    <w:rsid w:val="00307D1D"/>
    <w:rsid w:val="00307D42"/>
    <w:rsid w:val="00307E7F"/>
    <w:rsid w:val="0031003F"/>
    <w:rsid w:val="00310208"/>
    <w:rsid w:val="00310322"/>
    <w:rsid w:val="0031036C"/>
    <w:rsid w:val="0031044E"/>
    <w:rsid w:val="00310469"/>
    <w:rsid w:val="0031049C"/>
    <w:rsid w:val="00310619"/>
    <w:rsid w:val="0031069F"/>
    <w:rsid w:val="00310A18"/>
    <w:rsid w:val="0031100B"/>
    <w:rsid w:val="003110C7"/>
    <w:rsid w:val="00311107"/>
    <w:rsid w:val="00311111"/>
    <w:rsid w:val="00311631"/>
    <w:rsid w:val="00311698"/>
    <w:rsid w:val="00311887"/>
    <w:rsid w:val="003119CB"/>
    <w:rsid w:val="00311D7F"/>
    <w:rsid w:val="00311D91"/>
    <w:rsid w:val="00311DC9"/>
    <w:rsid w:val="00311F5D"/>
    <w:rsid w:val="00311FFE"/>
    <w:rsid w:val="0031217A"/>
    <w:rsid w:val="003121C1"/>
    <w:rsid w:val="0031236F"/>
    <w:rsid w:val="0031265B"/>
    <w:rsid w:val="00312D92"/>
    <w:rsid w:val="00312FAE"/>
    <w:rsid w:val="003130DB"/>
    <w:rsid w:val="003131CC"/>
    <w:rsid w:val="00313599"/>
    <w:rsid w:val="003138EA"/>
    <w:rsid w:val="00313A3A"/>
    <w:rsid w:val="0031408D"/>
    <w:rsid w:val="0031412C"/>
    <w:rsid w:val="00314351"/>
    <w:rsid w:val="003145E8"/>
    <w:rsid w:val="003147D7"/>
    <w:rsid w:val="00314960"/>
    <w:rsid w:val="00314BE9"/>
    <w:rsid w:val="00315067"/>
    <w:rsid w:val="00315196"/>
    <w:rsid w:val="00315236"/>
    <w:rsid w:val="00315489"/>
    <w:rsid w:val="00315C25"/>
    <w:rsid w:val="00315C99"/>
    <w:rsid w:val="00315DDC"/>
    <w:rsid w:val="00315E5E"/>
    <w:rsid w:val="00315FAD"/>
    <w:rsid w:val="003162BD"/>
    <w:rsid w:val="003163F6"/>
    <w:rsid w:val="003168AD"/>
    <w:rsid w:val="00316A92"/>
    <w:rsid w:val="00316B5B"/>
    <w:rsid w:val="00316C76"/>
    <w:rsid w:val="00316D55"/>
    <w:rsid w:val="00316F13"/>
    <w:rsid w:val="00316FC7"/>
    <w:rsid w:val="003171B9"/>
    <w:rsid w:val="00317232"/>
    <w:rsid w:val="0031734A"/>
    <w:rsid w:val="003173CA"/>
    <w:rsid w:val="003176EF"/>
    <w:rsid w:val="00317704"/>
    <w:rsid w:val="003179FB"/>
    <w:rsid w:val="00317F92"/>
    <w:rsid w:val="00320093"/>
    <w:rsid w:val="0032012F"/>
    <w:rsid w:val="00320145"/>
    <w:rsid w:val="0032018F"/>
    <w:rsid w:val="003201D3"/>
    <w:rsid w:val="00320DF0"/>
    <w:rsid w:val="00320E7B"/>
    <w:rsid w:val="0032103D"/>
    <w:rsid w:val="00321536"/>
    <w:rsid w:val="003215F0"/>
    <w:rsid w:val="0032187A"/>
    <w:rsid w:val="00321948"/>
    <w:rsid w:val="003219B5"/>
    <w:rsid w:val="00321ABE"/>
    <w:rsid w:val="00321F24"/>
    <w:rsid w:val="00321F73"/>
    <w:rsid w:val="00322010"/>
    <w:rsid w:val="003220A4"/>
    <w:rsid w:val="0032224A"/>
    <w:rsid w:val="003222EE"/>
    <w:rsid w:val="00322413"/>
    <w:rsid w:val="00322539"/>
    <w:rsid w:val="0032258B"/>
    <w:rsid w:val="0032269E"/>
    <w:rsid w:val="00322852"/>
    <w:rsid w:val="00322C1F"/>
    <w:rsid w:val="00322C7D"/>
    <w:rsid w:val="00323440"/>
    <w:rsid w:val="003235F0"/>
    <w:rsid w:val="00323738"/>
    <w:rsid w:val="00323739"/>
    <w:rsid w:val="0032373B"/>
    <w:rsid w:val="003238C9"/>
    <w:rsid w:val="00323F1C"/>
    <w:rsid w:val="003240B7"/>
    <w:rsid w:val="0032411C"/>
    <w:rsid w:val="00324220"/>
    <w:rsid w:val="00324913"/>
    <w:rsid w:val="00324990"/>
    <w:rsid w:val="00324F41"/>
    <w:rsid w:val="003252F8"/>
    <w:rsid w:val="003254C3"/>
    <w:rsid w:val="00325537"/>
    <w:rsid w:val="003255F9"/>
    <w:rsid w:val="0032588D"/>
    <w:rsid w:val="003259D6"/>
    <w:rsid w:val="00325ABC"/>
    <w:rsid w:val="00325C07"/>
    <w:rsid w:val="00325DC7"/>
    <w:rsid w:val="003261E6"/>
    <w:rsid w:val="00326298"/>
    <w:rsid w:val="003264CE"/>
    <w:rsid w:val="00326616"/>
    <w:rsid w:val="003268C4"/>
    <w:rsid w:val="00326DF5"/>
    <w:rsid w:val="00326F84"/>
    <w:rsid w:val="00327146"/>
    <w:rsid w:val="00327A3F"/>
    <w:rsid w:val="00327B6D"/>
    <w:rsid w:val="00327E85"/>
    <w:rsid w:val="00327EE1"/>
    <w:rsid w:val="003301CD"/>
    <w:rsid w:val="00330573"/>
    <w:rsid w:val="003306DC"/>
    <w:rsid w:val="00330811"/>
    <w:rsid w:val="00330A56"/>
    <w:rsid w:val="00330B9E"/>
    <w:rsid w:val="00330F89"/>
    <w:rsid w:val="0033114C"/>
    <w:rsid w:val="00331193"/>
    <w:rsid w:val="0033121E"/>
    <w:rsid w:val="003312D1"/>
    <w:rsid w:val="003313C6"/>
    <w:rsid w:val="00331D1F"/>
    <w:rsid w:val="003321CF"/>
    <w:rsid w:val="0033256E"/>
    <w:rsid w:val="003327AF"/>
    <w:rsid w:val="00332B36"/>
    <w:rsid w:val="00332D74"/>
    <w:rsid w:val="00332DA9"/>
    <w:rsid w:val="00332F17"/>
    <w:rsid w:val="00332F73"/>
    <w:rsid w:val="003332F5"/>
    <w:rsid w:val="003332FE"/>
    <w:rsid w:val="003333F8"/>
    <w:rsid w:val="00333414"/>
    <w:rsid w:val="00333463"/>
    <w:rsid w:val="003334B0"/>
    <w:rsid w:val="003338FD"/>
    <w:rsid w:val="00333935"/>
    <w:rsid w:val="00333AEB"/>
    <w:rsid w:val="00333C6D"/>
    <w:rsid w:val="00334059"/>
    <w:rsid w:val="00334137"/>
    <w:rsid w:val="003343CE"/>
    <w:rsid w:val="003345C4"/>
    <w:rsid w:val="00334712"/>
    <w:rsid w:val="00334A2F"/>
    <w:rsid w:val="00334C69"/>
    <w:rsid w:val="00334EC6"/>
    <w:rsid w:val="00335031"/>
    <w:rsid w:val="003354C0"/>
    <w:rsid w:val="0033581D"/>
    <w:rsid w:val="00335A28"/>
    <w:rsid w:val="00335C43"/>
    <w:rsid w:val="00335C46"/>
    <w:rsid w:val="00335CD1"/>
    <w:rsid w:val="00335E88"/>
    <w:rsid w:val="00335EEF"/>
    <w:rsid w:val="0033602A"/>
    <w:rsid w:val="003360AE"/>
    <w:rsid w:val="003361BB"/>
    <w:rsid w:val="00336207"/>
    <w:rsid w:val="00336325"/>
    <w:rsid w:val="00336422"/>
    <w:rsid w:val="003364DB"/>
    <w:rsid w:val="0033656A"/>
    <w:rsid w:val="0033668B"/>
    <w:rsid w:val="003366F7"/>
    <w:rsid w:val="0033699E"/>
    <w:rsid w:val="00336A0D"/>
    <w:rsid w:val="00336AAD"/>
    <w:rsid w:val="00336BA1"/>
    <w:rsid w:val="00336BB4"/>
    <w:rsid w:val="00336CB3"/>
    <w:rsid w:val="00336D52"/>
    <w:rsid w:val="0033712F"/>
    <w:rsid w:val="00337259"/>
    <w:rsid w:val="0033732C"/>
    <w:rsid w:val="003373D7"/>
    <w:rsid w:val="00337680"/>
    <w:rsid w:val="003376CB"/>
    <w:rsid w:val="003379D6"/>
    <w:rsid w:val="00337B0D"/>
    <w:rsid w:val="00337C6D"/>
    <w:rsid w:val="00337C77"/>
    <w:rsid w:val="00337EE6"/>
    <w:rsid w:val="00337F88"/>
    <w:rsid w:val="00337FDE"/>
    <w:rsid w:val="003401D5"/>
    <w:rsid w:val="0034058B"/>
    <w:rsid w:val="003405A0"/>
    <w:rsid w:val="0034064C"/>
    <w:rsid w:val="003406FD"/>
    <w:rsid w:val="003409F8"/>
    <w:rsid w:val="00340C6E"/>
    <w:rsid w:val="00340D5A"/>
    <w:rsid w:val="00340E23"/>
    <w:rsid w:val="00341292"/>
    <w:rsid w:val="00341DE6"/>
    <w:rsid w:val="0034206D"/>
    <w:rsid w:val="00342333"/>
    <w:rsid w:val="0034250F"/>
    <w:rsid w:val="00342906"/>
    <w:rsid w:val="00342AB7"/>
    <w:rsid w:val="00342B6F"/>
    <w:rsid w:val="00342CF2"/>
    <w:rsid w:val="00342D95"/>
    <w:rsid w:val="00342F11"/>
    <w:rsid w:val="00342FD4"/>
    <w:rsid w:val="00343248"/>
    <w:rsid w:val="003433BB"/>
    <w:rsid w:val="003436B7"/>
    <w:rsid w:val="00343AC0"/>
    <w:rsid w:val="00343F35"/>
    <w:rsid w:val="003446E6"/>
    <w:rsid w:val="00344736"/>
    <w:rsid w:val="0034477D"/>
    <w:rsid w:val="00344A26"/>
    <w:rsid w:val="00344B7F"/>
    <w:rsid w:val="00344CBA"/>
    <w:rsid w:val="00344D3C"/>
    <w:rsid w:val="00344E6E"/>
    <w:rsid w:val="0034522D"/>
    <w:rsid w:val="00345572"/>
    <w:rsid w:val="0034567B"/>
    <w:rsid w:val="00345690"/>
    <w:rsid w:val="003457F9"/>
    <w:rsid w:val="00345845"/>
    <w:rsid w:val="0034592E"/>
    <w:rsid w:val="00345937"/>
    <w:rsid w:val="00345939"/>
    <w:rsid w:val="00345C7D"/>
    <w:rsid w:val="00345DA7"/>
    <w:rsid w:val="00346083"/>
    <w:rsid w:val="00346114"/>
    <w:rsid w:val="00346330"/>
    <w:rsid w:val="0034661D"/>
    <w:rsid w:val="0034667B"/>
    <w:rsid w:val="003467B2"/>
    <w:rsid w:val="0034688F"/>
    <w:rsid w:val="00346C18"/>
    <w:rsid w:val="00346C2F"/>
    <w:rsid w:val="00346C47"/>
    <w:rsid w:val="00346D20"/>
    <w:rsid w:val="00346E5B"/>
    <w:rsid w:val="00346FEC"/>
    <w:rsid w:val="00347042"/>
    <w:rsid w:val="00347126"/>
    <w:rsid w:val="003471AE"/>
    <w:rsid w:val="003475BA"/>
    <w:rsid w:val="003476D9"/>
    <w:rsid w:val="0034779F"/>
    <w:rsid w:val="003479ED"/>
    <w:rsid w:val="00347C31"/>
    <w:rsid w:val="00347DA4"/>
    <w:rsid w:val="00347E45"/>
    <w:rsid w:val="0035009D"/>
    <w:rsid w:val="00350713"/>
    <w:rsid w:val="003507B4"/>
    <w:rsid w:val="00350872"/>
    <w:rsid w:val="00350888"/>
    <w:rsid w:val="003510E3"/>
    <w:rsid w:val="00351509"/>
    <w:rsid w:val="0035164B"/>
    <w:rsid w:val="0035177A"/>
    <w:rsid w:val="003517F3"/>
    <w:rsid w:val="00351B21"/>
    <w:rsid w:val="00351FEF"/>
    <w:rsid w:val="0035203A"/>
    <w:rsid w:val="00352091"/>
    <w:rsid w:val="003520DA"/>
    <w:rsid w:val="00352193"/>
    <w:rsid w:val="00352662"/>
    <w:rsid w:val="00352847"/>
    <w:rsid w:val="003529FB"/>
    <w:rsid w:val="00353399"/>
    <w:rsid w:val="00353766"/>
    <w:rsid w:val="003538FD"/>
    <w:rsid w:val="00353A55"/>
    <w:rsid w:val="00353CD0"/>
    <w:rsid w:val="00353E1B"/>
    <w:rsid w:val="00353EC2"/>
    <w:rsid w:val="00353ED0"/>
    <w:rsid w:val="003541D0"/>
    <w:rsid w:val="003541D4"/>
    <w:rsid w:val="003546A3"/>
    <w:rsid w:val="0035476F"/>
    <w:rsid w:val="003547F3"/>
    <w:rsid w:val="00354885"/>
    <w:rsid w:val="00354ABA"/>
    <w:rsid w:val="00354AE0"/>
    <w:rsid w:val="00354CF1"/>
    <w:rsid w:val="00354F7F"/>
    <w:rsid w:val="00354FD8"/>
    <w:rsid w:val="00354FDF"/>
    <w:rsid w:val="00355364"/>
    <w:rsid w:val="003553B2"/>
    <w:rsid w:val="00355451"/>
    <w:rsid w:val="0035558F"/>
    <w:rsid w:val="003555DF"/>
    <w:rsid w:val="00355B47"/>
    <w:rsid w:val="00355EBC"/>
    <w:rsid w:val="003562C0"/>
    <w:rsid w:val="00356339"/>
    <w:rsid w:val="0035659D"/>
    <w:rsid w:val="0035684F"/>
    <w:rsid w:val="003568E5"/>
    <w:rsid w:val="00356AA8"/>
    <w:rsid w:val="00356C84"/>
    <w:rsid w:val="00356E67"/>
    <w:rsid w:val="00356F15"/>
    <w:rsid w:val="00357140"/>
    <w:rsid w:val="00357416"/>
    <w:rsid w:val="0035755B"/>
    <w:rsid w:val="003579AB"/>
    <w:rsid w:val="00357B07"/>
    <w:rsid w:val="00357C3D"/>
    <w:rsid w:val="00357D3E"/>
    <w:rsid w:val="00357E4F"/>
    <w:rsid w:val="003601D1"/>
    <w:rsid w:val="00360265"/>
    <w:rsid w:val="00360291"/>
    <w:rsid w:val="003604D9"/>
    <w:rsid w:val="00360779"/>
    <w:rsid w:val="00360817"/>
    <w:rsid w:val="00360CBB"/>
    <w:rsid w:val="00360DC8"/>
    <w:rsid w:val="00360EFD"/>
    <w:rsid w:val="00360F32"/>
    <w:rsid w:val="00361062"/>
    <w:rsid w:val="0036159E"/>
    <w:rsid w:val="0036187D"/>
    <w:rsid w:val="00361A31"/>
    <w:rsid w:val="00361D9C"/>
    <w:rsid w:val="00361FE3"/>
    <w:rsid w:val="00362076"/>
    <w:rsid w:val="0036207D"/>
    <w:rsid w:val="00362769"/>
    <w:rsid w:val="003628EB"/>
    <w:rsid w:val="0036292F"/>
    <w:rsid w:val="003629C9"/>
    <w:rsid w:val="00362A19"/>
    <w:rsid w:val="00362AE5"/>
    <w:rsid w:val="00362B22"/>
    <w:rsid w:val="00362C9B"/>
    <w:rsid w:val="00362DFF"/>
    <w:rsid w:val="00362E9F"/>
    <w:rsid w:val="00362F49"/>
    <w:rsid w:val="0036324B"/>
    <w:rsid w:val="00363403"/>
    <w:rsid w:val="003634E7"/>
    <w:rsid w:val="00363616"/>
    <w:rsid w:val="00363ABD"/>
    <w:rsid w:val="00363C41"/>
    <w:rsid w:val="00363D57"/>
    <w:rsid w:val="0036408F"/>
    <w:rsid w:val="003643A8"/>
    <w:rsid w:val="00364732"/>
    <w:rsid w:val="003649DE"/>
    <w:rsid w:val="00364C94"/>
    <w:rsid w:val="00364D67"/>
    <w:rsid w:val="00364E00"/>
    <w:rsid w:val="00364E88"/>
    <w:rsid w:val="00364F8D"/>
    <w:rsid w:val="0036540C"/>
    <w:rsid w:val="003656A2"/>
    <w:rsid w:val="00365723"/>
    <w:rsid w:val="0036576C"/>
    <w:rsid w:val="003659DC"/>
    <w:rsid w:val="00365AEC"/>
    <w:rsid w:val="00365C93"/>
    <w:rsid w:val="003660AA"/>
    <w:rsid w:val="00366111"/>
    <w:rsid w:val="00366208"/>
    <w:rsid w:val="0036622B"/>
    <w:rsid w:val="003662E7"/>
    <w:rsid w:val="003663C5"/>
    <w:rsid w:val="003663DA"/>
    <w:rsid w:val="0036642C"/>
    <w:rsid w:val="003664AC"/>
    <w:rsid w:val="003667B1"/>
    <w:rsid w:val="00366AF5"/>
    <w:rsid w:val="00366B13"/>
    <w:rsid w:val="00366B97"/>
    <w:rsid w:val="00366DD5"/>
    <w:rsid w:val="00366E60"/>
    <w:rsid w:val="00367BCC"/>
    <w:rsid w:val="00367DC2"/>
    <w:rsid w:val="00367EFE"/>
    <w:rsid w:val="0037025E"/>
    <w:rsid w:val="0037043B"/>
    <w:rsid w:val="00370458"/>
    <w:rsid w:val="003705E4"/>
    <w:rsid w:val="00370622"/>
    <w:rsid w:val="003707E9"/>
    <w:rsid w:val="00370811"/>
    <w:rsid w:val="003708AB"/>
    <w:rsid w:val="00370C64"/>
    <w:rsid w:val="00370DED"/>
    <w:rsid w:val="0037101D"/>
    <w:rsid w:val="00371027"/>
    <w:rsid w:val="0037103A"/>
    <w:rsid w:val="00371150"/>
    <w:rsid w:val="0037125C"/>
    <w:rsid w:val="0037133B"/>
    <w:rsid w:val="0037133F"/>
    <w:rsid w:val="0037141F"/>
    <w:rsid w:val="0037164B"/>
    <w:rsid w:val="0037188B"/>
    <w:rsid w:val="003719AE"/>
    <w:rsid w:val="00371B8B"/>
    <w:rsid w:val="00371FC0"/>
    <w:rsid w:val="00372238"/>
    <w:rsid w:val="003725A8"/>
    <w:rsid w:val="00372B99"/>
    <w:rsid w:val="00372C4D"/>
    <w:rsid w:val="00372DE1"/>
    <w:rsid w:val="00372F32"/>
    <w:rsid w:val="00373042"/>
    <w:rsid w:val="00373148"/>
    <w:rsid w:val="00373407"/>
    <w:rsid w:val="0037348E"/>
    <w:rsid w:val="003735B6"/>
    <w:rsid w:val="00373691"/>
    <w:rsid w:val="003738D4"/>
    <w:rsid w:val="00373C46"/>
    <w:rsid w:val="00374232"/>
    <w:rsid w:val="003742F5"/>
    <w:rsid w:val="00374661"/>
    <w:rsid w:val="003749EB"/>
    <w:rsid w:val="003749F6"/>
    <w:rsid w:val="00374BCB"/>
    <w:rsid w:val="00374C1F"/>
    <w:rsid w:val="00374E8B"/>
    <w:rsid w:val="00375079"/>
    <w:rsid w:val="0037523E"/>
    <w:rsid w:val="00375273"/>
    <w:rsid w:val="00375339"/>
    <w:rsid w:val="0037558D"/>
    <w:rsid w:val="00375738"/>
    <w:rsid w:val="003757F9"/>
    <w:rsid w:val="003758FE"/>
    <w:rsid w:val="0037593B"/>
    <w:rsid w:val="00375A45"/>
    <w:rsid w:val="00375BFF"/>
    <w:rsid w:val="00375DF8"/>
    <w:rsid w:val="00375EB8"/>
    <w:rsid w:val="00375FB6"/>
    <w:rsid w:val="00375FCC"/>
    <w:rsid w:val="00376317"/>
    <w:rsid w:val="00376AF9"/>
    <w:rsid w:val="00376C3A"/>
    <w:rsid w:val="00376DE2"/>
    <w:rsid w:val="003771B8"/>
    <w:rsid w:val="00377270"/>
    <w:rsid w:val="00377289"/>
    <w:rsid w:val="0037737B"/>
    <w:rsid w:val="003774D1"/>
    <w:rsid w:val="0037776D"/>
    <w:rsid w:val="003778D2"/>
    <w:rsid w:val="00377A2A"/>
    <w:rsid w:val="00377AE4"/>
    <w:rsid w:val="00377C49"/>
    <w:rsid w:val="0038009B"/>
    <w:rsid w:val="0038015E"/>
    <w:rsid w:val="00380635"/>
    <w:rsid w:val="00380704"/>
    <w:rsid w:val="003809E1"/>
    <w:rsid w:val="00380BF0"/>
    <w:rsid w:val="00380EA0"/>
    <w:rsid w:val="00380FB8"/>
    <w:rsid w:val="003813EC"/>
    <w:rsid w:val="00381516"/>
    <w:rsid w:val="00381661"/>
    <w:rsid w:val="00381A19"/>
    <w:rsid w:val="00381F5D"/>
    <w:rsid w:val="00381F98"/>
    <w:rsid w:val="00382588"/>
    <w:rsid w:val="003825C7"/>
    <w:rsid w:val="003829E6"/>
    <w:rsid w:val="00382C82"/>
    <w:rsid w:val="00382CD0"/>
    <w:rsid w:val="003830A3"/>
    <w:rsid w:val="003831C2"/>
    <w:rsid w:val="003831FB"/>
    <w:rsid w:val="003832B2"/>
    <w:rsid w:val="003832D3"/>
    <w:rsid w:val="0038335C"/>
    <w:rsid w:val="00383751"/>
    <w:rsid w:val="00383811"/>
    <w:rsid w:val="00383DF4"/>
    <w:rsid w:val="00383EDE"/>
    <w:rsid w:val="00384095"/>
    <w:rsid w:val="00384237"/>
    <w:rsid w:val="003849D3"/>
    <w:rsid w:val="00385217"/>
    <w:rsid w:val="003852BE"/>
    <w:rsid w:val="0038535B"/>
    <w:rsid w:val="0038545C"/>
    <w:rsid w:val="00385797"/>
    <w:rsid w:val="00385DA7"/>
    <w:rsid w:val="00385E69"/>
    <w:rsid w:val="00385F63"/>
    <w:rsid w:val="003862B6"/>
    <w:rsid w:val="003863C7"/>
    <w:rsid w:val="003864E2"/>
    <w:rsid w:val="00386865"/>
    <w:rsid w:val="00386958"/>
    <w:rsid w:val="00386D94"/>
    <w:rsid w:val="0038709F"/>
    <w:rsid w:val="00387335"/>
    <w:rsid w:val="0038747F"/>
    <w:rsid w:val="003877BB"/>
    <w:rsid w:val="00387A40"/>
    <w:rsid w:val="00387B04"/>
    <w:rsid w:val="00387B3D"/>
    <w:rsid w:val="00387DDF"/>
    <w:rsid w:val="00387EA0"/>
    <w:rsid w:val="003901BB"/>
    <w:rsid w:val="003905D1"/>
    <w:rsid w:val="0039073A"/>
    <w:rsid w:val="0039087A"/>
    <w:rsid w:val="00390904"/>
    <w:rsid w:val="00390BAF"/>
    <w:rsid w:val="00390BB0"/>
    <w:rsid w:val="00390E9E"/>
    <w:rsid w:val="0039109E"/>
    <w:rsid w:val="00391216"/>
    <w:rsid w:val="003912F9"/>
    <w:rsid w:val="003915D1"/>
    <w:rsid w:val="0039181B"/>
    <w:rsid w:val="00391859"/>
    <w:rsid w:val="00391B4C"/>
    <w:rsid w:val="00391C70"/>
    <w:rsid w:val="00391F0A"/>
    <w:rsid w:val="00391F7E"/>
    <w:rsid w:val="003921CD"/>
    <w:rsid w:val="0039231B"/>
    <w:rsid w:val="0039234A"/>
    <w:rsid w:val="003923FD"/>
    <w:rsid w:val="003924B0"/>
    <w:rsid w:val="00392519"/>
    <w:rsid w:val="003925FA"/>
    <w:rsid w:val="00392A34"/>
    <w:rsid w:val="00392AF5"/>
    <w:rsid w:val="00392C98"/>
    <w:rsid w:val="00392F23"/>
    <w:rsid w:val="003931A6"/>
    <w:rsid w:val="003931F3"/>
    <w:rsid w:val="00393316"/>
    <w:rsid w:val="00393391"/>
    <w:rsid w:val="0039356F"/>
    <w:rsid w:val="003936B3"/>
    <w:rsid w:val="003938E8"/>
    <w:rsid w:val="003939B5"/>
    <w:rsid w:val="003939F0"/>
    <w:rsid w:val="00393ED5"/>
    <w:rsid w:val="00394010"/>
    <w:rsid w:val="003940E6"/>
    <w:rsid w:val="0039463B"/>
    <w:rsid w:val="0039475C"/>
    <w:rsid w:val="0039497D"/>
    <w:rsid w:val="00394D45"/>
    <w:rsid w:val="00394D49"/>
    <w:rsid w:val="00394D9E"/>
    <w:rsid w:val="00395248"/>
    <w:rsid w:val="00395595"/>
    <w:rsid w:val="00395728"/>
    <w:rsid w:val="003959D0"/>
    <w:rsid w:val="00396061"/>
    <w:rsid w:val="003963A6"/>
    <w:rsid w:val="003969D6"/>
    <w:rsid w:val="00396E49"/>
    <w:rsid w:val="00396F64"/>
    <w:rsid w:val="00397064"/>
    <w:rsid w:val="0039721F"/>
    <w:rsid w:val="00397279"/>
    <w:rsid w:val="0039749F"/>
    <w:rsid w:val="00397858"/>
    <w:rsid w:val="00397A82"/>
    <w:rsid w:val="00397CBB"/>
    <w:rsid w:val="00397E12"/>
    <w:rsid w:val="00397E8E"/>
    <w:rsid w:val="003A0155"/>
    <w:rsid w:val="003A02A4"/>
    <w:rsid w:val="003A0360"/>
    <w:rsid w:val="003A0496"/>
    <w:rsid w:val="003A0543"/>
    <w:rsid w:val="003A0811"/>
    <w:rsid w:val="003A09CF"/>
    <w:rsid w:val="003A0AD3"/>
    <w:rsid w:val="003A0BC5"/>
    <w:rsid w:val="003A0DD5"/>
    <w:rsid w:val="003A0E6D"/>
    <w:rsid w:val="003A0F73"/>
    <w:rsid w:val="003A0FE9"/>
    <w:rsid w:val="003A1163"/>
    <w:rsid w:val="003A1533"/>
    <w:rsid w:val="003A194F"/>
    <w:rsid w:val="003A1B43"/>
    <w:rsid w:val="003A1EDF"/>
    <w:rsid w:val="003A2175"/>
    <w:rsid w:val="003A24FF"/>
    <w:rsid w:val="003A2695"/>
    <w:rsid w:val="003A2709"/>
    <w:rsid w:val="003A2A49"/>
    <w:rsid w:val="003A2ED6"/>
    <w:rsid w:val="003A305D"/>
    <w:rsid w:val="003A3448"/>
    <w:rsid w:val="003A3630"/>
    <w:rsid w:val="003A3642"/>
    <w:rsid w:val="003A37E9"/>
    <w:rsid w:val="003A38C9"/>
    <w:rsid w:val="003A3B36"/>
    <w:rsid w:val="003A3D74"/>
    <w:rsid w:val="003A3EF9"/>
    <w:rsid w:val="003A4113"/>
    <w:rsid w:val="003A44CA"/>
    <w:rsid w:val="003A44D2"/>
    <w:rsid w:val="003A4597"/>
    <w:rsid w:val="003A494E"/>
    <w:rsid w:val="003A49D3"/>
    <w:rsid w:val="003A4EA8"/>
    <w:rsid w:val="003A4F90"/>
    <w:rsid w:val="003A5108"/>
    <w:rsid w:val="003A5175"/>
    <w:rsid w:val="003A52F1"/>
    <w:rsid w:val="003A5607"/>
    <w:rsid w:val="003A58FB"/>
    <w:rsid w:val="003A5916"/>
    <w:rsid w:val="003A59A1"/>
    <w:rsid w:val="003A5C40"/>
    <w:rsid w:val="003A5C5C"/>
    <w:rsid w:val="003A5E7B"/>
    <w:rsid w:val="003A5F61"/>
    <w:rsid w:val="003A5F77"/>
    <w:rsid w:val="003A5FC6"/>
    <w:rsid w:val="003A628E"/>
    <w:rsid w:val="003A64B1"/>
    <w:rsid w:val="003A65F2"/>
    <w:rsid w:val="003A684F"/>
    <w:rsid w:val="003A6C15"/>
    <w:rsid w:val="003A6F7A"/>
    <w:rsid w:val="003A70F7"/>
    <w:rsid w:val="003A722A"/>
    <w:rsid w:val="003A76EA"/>
    <w:rsid w:val="003A7737"/>
    <w:rsid w:val="003A7859"/>
    <w:rsid w:val="003A7C09"/>
    <w:rsid w:val="003A7DE5"/>
    <w:rsid w:val="003A7E49"/>
    <w:rsid w:val="003B03C9"/>
    <w:rsid w:val="003B0822"/>
    <w:rsid w:val="003B0971"/>
    <w:rsid w:val="003B0D0F"/>
    <w:rsid w:val="003B10B2"/>
    <w:rsid w:val="003B13D4"/>
    <w:rsid w:val="003B1473"/>
    <w:rsid w:val="003B14B2"/>
    <w:rsid w:val="003B16B9"/>
    <w:rsid w:val="003B1997"/>
    <w:rsid w:val="003B1B21"/>
    <w:rsid w:val="003B1BAD"/>
    <w:rsid w:val="003B1C47"/>
    <w:rsid w:val="003B1C98"/>
    <w:rsid w:val="003B1D43"/>
    <w:rsid w:val="003B1E44"/>
    <w:rsid w:val="003B2115"/>
    <w:rsid w:val="003B236D"/>
    <w:rsid w:val="003B23B4"/>
    <w:rsid w:val="003B25D3"/>
    <w:rsid w:val="003B2696"/>
    <w:rsid w:val="003B279C"/>
    <w:rsid w:val="003B2C6B"/>
    <w:rsid w:val="003B2CD4"/>
    <w:rsid w:val="003B2CF6"/>
    <w:rsid w:val="003B2EC5"/>
    <w:rsid w:val="003B2F73"/>
    <w:rsid w:val="003B2FB9"/>
    <w:rsid w:val="003B3006"/>
    <w:rsid w:val="003B3379"/>
    <w:rsid w:val="003B3468"/>
    <w:rsid w:val="003B3567"/>
    <w:rsid w:val="003B3C47"/>
    <w:rsid w:val="003B3F96"/>
    <w:rsid w:val="003B4148"/>
    <w:rsid w:val="003B416B"/>
    <w:rsid w:val="003B41A3"/>
    <w:rsid w:val="003B4434"/>
    <w:rsid w:val="003B4533"/>
    <w:rsid w:val="003B4596"/>
    <w:rsid w:val="003B464A"/>
    <w:rsid w:val="003B473D"/>
    <w:rsid w:val="003B4CBE"/>
    <w:rsid w:val="003B4CC6"/>
    <w:rsid w:val="003B4CDB"/>
    <w:rsid w:val="003B4D73"/>
    <w:rsid w:val="003B4E14"/>
    <w:rsid w:val="003B5210"/>
    <w:rsid w:val="003B52E2"/>
    <w:rsid w:val="003B54BD"/>
    <w:rsid w:val="003B5769"/>
    <w:rsid w:val="003B58AF"/>
    <w:rsid w:val="003B59B2"/>
    <w:rsid w:val="003B5BF3"/>
    <w:rsid w:val="003B5C5B"/>
    <w:rsid w:val="003B5E57"/>
    <w:rsid w:val="003B5E70"/>
    <w:rsid w:val="003B5F29"/>
    <w:rsid w:val="003B5FE2"/>
    <w:rsid w:val="003B60E2"/>
    <w:rsid w:val="003B63F8"/>
    <w:rsid w:val="003B6449"/>
    <w:rsid w:val="003B673A"/>
    <w:rsid w:val="003B6C08"/>
    <w:rsid w:val="003B6D12"/>
    <w:rsid w:val="003B6E9C"/>
    <w:rsid w:val="003B711F"/>
    <w:rsid w:val="003B72B3"/>
    <w:rsid w:val="003B7AA0"/>
    <w:rsid w:val="003B7B37"/>
    <w:rsid w:val="003B7E00"/>
    <w:rsid w:val="003B7FEE"/>
    <w:rsid w:val="003C016B"/>
    <w:rsid w:val="003C046A"/>
    <w:rsid w:val="003C0473"/>
    <w:rsid w:val="003C06DD"/>
    <w:rsid w:val="003C0746"/>
    <w:rsid w:val="003C07CE"/>
    <w:rsid w:val="003C0C64"/>
    <w:rsid w:val="003C0D9F"/>
    <w:rsid w:val="003C0F3B"/>
    <w:rsid w:val="003C103C"/>
    <w:rsid w:val="003C10FA"/>
    <w:rsid w:val="003C12AF"/>
    <w:rsid w:val="003C12D2"/>
    <w:rsid w:val="003C154C"/>
    <w:rsid w:val="003C1AA1"/>
    <w:rsid w:val="003C1CD6"/>
    <w:rsid w:val="003C1FF0"/>
    <w:rsid w:val="003C2303"/>
    <w:rsid w:val="003C2347"/>
    <w:rsid w:val="003C25E0"/>
    <w:rsid w:val="003C280B"/>
    <w:rsid w:val="003C280C"/>
    <w:rsid w:val="003C2A02"/>
    <w:rsid w:val="003C3054"/>
    <w:rsid w:val="003C344A"/>
    <w:rsid w:val="003C36A3"/>
    <w:rsid w:val="003C3AC2"/>
    <w:rsid w:val="003C3D1E"/>
    <w:rsid w:val="003C3FC6"/>
    <w:rsid w:val="003C40F4"/>
    <w:rsid w:val="003C418C"/>
    <w:rsid w:val="003C42C4"/>
    <w:rsid w:val="003C43C0"/>
    <w:rsid w:val="003C4494"/>
    <w:rsid w:val="003C4569"/>
    <w:rsid w:val="003C4917"/>
    <w:rsid w:val="003C4964"/>
    <w:rsid w:val="003C49AD"/>
    <w:rsid w:val="003C4BE4"/>
    <w:rsid w:val="003C4D69"/>
    <w:rsid w:val="003C4DB3"/>
    <w:rsid w:val="003C4DE4"/>
    <w:rsid w:val="003C5170"/>
    <w:rsid w:val="003C5605"/>
    <w:rsid w:val="003C5701"/>
    <w:rsid w:val="003C5893"/>
    <w:rsid w:val="003C5B5F"/>
    <w:rsid w:val="003C5CB7"/>
    <w:rsid w:val="003C619C"/>
    <w:rsid w:val="003C65B0"/>
    <w:rsid w:val="003C6C85"/>
    <w:rsid w:val="003C743B"/>
    <w:rsid w:val="003C76C2"/>
    <w:rsid w:val="003C7984"/>
    <w:rsid w:val="003C7EB8"/>
    <w:rsid w:val="003D074D"/>
    <w:rsid w:val="003D07E6"/>
    <w:rsid w:val="003D0831"/>
    <w:rsid w:val="003D088D"/>
    <w:rsid w:val="003D1022"/>
    <w:rsid w:val="003D116A"/>
    <w:rsid w:val="003D1223"/>
    <w:rsid w:val="003D1728"/>
    <w:rsid w:val="003D17AC"/>
    <w:rsid w:val="003D1A3A"/>
    <w:rsid w:val="003D1A7F"/>
    <w:rsid w:val="003D1A80"/>
    <w:rsid w:val="003D2043"/>
    <w:rsid w:val="003D21DC"/>
    <w:rsid w:val="003D234E"/>
    <w:rsid w:val="003D23DB"/>
    <w:rsid w:val="003D247B"/>
    <w:rsid w:val="003D2F7E"/>
    <w:rsid w:val="003D3101"/>
    <w:rsid w:val="003D3168"/>
    <w:rsid w:val="003D325D"/>
    <w:rsid w:val="003D328C"/>
    <w:rsid w:val="003D3539"/>
    <w:rsid w:val="003D353E"/>
    <w:rsid w:val="003D368F"/>
    <w:rsid w:val="003D373B"/>
    <w:rsid w:val="003D39A7"/>
    <w:rsid w:val="003D3A09"/>
    <w:rsid w:val="003D3A16"/>
    <w:rsid w:val="003D3C01"/>
    <w:rsid w:val="003D3DE8"/>
    <w:rsid w:val="003D3F81"/>
    <w:rsid w:val="003D3FE0"/>
    <w:rsid w:val="003D404D"/>
    <w:rsid w:val="003D410F"/>
    <w:rsid w:val="003D430C"/>
    <w:rsid w:val="003D439A"/>
    <w:rsid w:val="003D4426"/>
    <w:rsid w:val="003D4960"/>
    <w:rsid w:val="003D4BED"/>
    <w:rsid w:val="003D4C46"/>
    <w:rsid w:val="003D4FC2"/>
    <w:rsid w:val="003D52A9"/>
    <w:rsid w:val="003D5592"/>
    <w:rsid w:val="003D5BFA"/>
    <w:rsid w:val="003D5DA5"/>
    <w:rsid w:val="003D5F81"/>
    <w:rsid w:val="003D5FBE"/>
    <w:rsid w:val="003D642A"/>
    <w:rsid w:val="003D659C"/>
    <w:rsid w:val="003D67A2"/>
    <w:rsid w:val="003D6BBB"/>
    <w:rsid w:val="003D6D54"/>
    <w:rsid w:val="003D71FA"/>
    <w:rsid w:val="003D726A"/>
    <w:rsid w:val="003D75C0"/>
    <w:rsid w:val="003D7810"/>
    <w:rsid w:val="003D784F"/>
    <w:rsid w:val="003D7974"/>
    <w:rsid w:val="003D79E3"/>
    <w:rsid w:val="003D79EA"/>
    <w:rsid w:val="003D7A01"/>
    <w:rsid w:val="003D7A60"/>
    <w:rsid w:val="003D7BD7"/>
    <w:rsid w:val="003D7DF6"/>
    <w:rsid w:val="003D7E20"/>
    <w:rsid w:val="003D7F2E"/>
    <w:rsid w:val="003E0408"/>
    <w:rsid w:val="003E045D"/>
    <w:rsid w:val="003E05A3"/>
    <w:rsid w:val="003E06AF"/>
    <w:rsid w:val="003E0CDE"/>
    <w:rsid w:val="003E0D12"/>
    <w:rsid w:val="003E0D77"/>
    <w:rsid w:val="003E0E7A"/>
    <w:rsid w:val="003E138D"/>
    <w:rsid w:val="003E1758"/>
    <w:rsid w:val="003E1765"/>
    <w:rsid w:val="003E1820"/>
    <w:rsid w:val="003E1913"/>
    <w:rsid w:val="003E1EF2"/>
    <w:rsid w:val="003E1F62"/>
    <w:rsid w:val="003E2178"/>
    <w:rsid w:val="003E2230"/>
    <w:rsid w:val="003E24D1"/>
    <w:rsid w:val="003E2714"/>
    <w:rsid w:val="003E28F2"/>
    <w:rsid w:val="003E2F56"/>
    <w:rsid w:val="003E3084"/>
    <w:rsid w:val="003E3195"/>
    <w:rsid w:val="003E356E"/>
    <w:rsid w:val="003E358A"/>
    <w:rsid w:val="003E3702"/>
    <w:rsid w:val="003E3798"/>
    <w:rsid w:val="003E3887"/>
    <w:rsid w:val="003E3B60"/>
    <w:rsid w:val="003E3E8F"/>
    <w:rsid w:val="003E40FA"/>
    <w:rsid w:val="003E418F"/>
    <w:rsid w:val="003E41F9"/>
    <w:rsid w:val="003E45BE"/>
    <w:rsid w:val="003E47CB"/>
    <w:rsid w:val="003E4990"/>
    <w:rsid w:val="003E49BA"/>
    <w:rsid w:val="003E4E06"/>
    <w:rsid w:val="003E5175"/>
    <w:rsid w:val="003E54B7"/>
    <w:rsid w:val="003E5828"/>
    <w:rsid w:val="003E5844"/>
    <w:rsid w:val="003E5B47"/>
    <w:rsid w:val="003E5F2B"/>
    <w:rsid w:val="003E5FA1"/>
    <w:rsid w:val="003E642F"/>
    <w:rsid w:val="003E69B4"/>
    <w:rsid w:val="003E6A39"/>
    <w:rsid w:val="003E6BA0"/>
    <w:rsid w:val="003E6BD3"/>
    <w:rsid w:val="003E6BE9"/>
    <w:rsid w:val="003E6C1B"/>
    <w:rsid w:val="003E6D87"/>
    <w:rsid w:val="003E6F28"/>
    <w:rsid w:val="003E6F73"/>
    <w:rsid w:val="003E708C"/>
    <w:rsid w:val="003E7109"/>
    <w:rsid w:val="003E7719"/>
    <w:rsid w:val="003E7868"/>
    <w:rsid w:val="003E797B"/>
    <w:rsid w:val="003E7B32"/>
    <w:rsid w:val="003E7C33"/>
    <w:rsid w:val="003E7C54"/>
    <w:rsid w:val="003E7C61"/>
    <w:rsid w:val="003E7F4B"/>
    <w:rsid w:val="003F0115"/>
    <w:rsid w:val="003F01C9"/>
    <w:rsid w:val="003F01D9"/>
    <w:rsid w:val="003F02B1"/>
    <w:rsid w:val="003F0392"/>
    <w:rsid w:val="003F0409"/>
    <w:rsid w:val="003F04F9"/>
    <w:rsid w:val="003F0874"/>
    <w:rsid w:val="003F0910"/>
    <w:rsid w:val="003F09A6"/>
    <w:rsid w:val="003F09B9"/>
    <w:rsid w:val="003F0ADC"/>
    <w:rsid w:val="003F0BED"/>
    <w:rsid w:val="003F102B"/>
    <w:rsid w:val="003F1109"/>
    <w:rsid w:val="003F1358"/>
    <w:rsid w:val="003F14DE"/>
    <w:rsid w:val="003F1500"/>
    <w:rsid w:val="003F1663"/>
    <w:rsid w:val="003F1678"/>
    <w:rsid w:val="003F16F4"/>
    <w:rsid w:val="003F17BD"/>
    <w:rsid w:val="003F1B5F"/>
    <w:rsid w:val="003F1C45"/>
    <w:rsid w:val="003F1D0D"/>
    <w:rsid w:val="003F1F94"/>
    <w:rsid w:val="003F20C1"/>
    <w:rsid w:val="003F217E"/>
    <w:rsid w:val="003F2224"/>
    <w:rsid w:val="003F289D"/>
    <w:rsid w:val="003F2E3F"/>
    <w:rsid w:val="003F30F2"/>
    <w:rsid w:val="003F3123"/>
    <w:rsid w:val="003F31AA"/>
    <w:rsid w:val="003F31F7"/>
    <w:rsid w:val="003F32E4"/>
    <w:rsid w:val="003F3497"/>
    <w:rsid w:val="003F3691"/>
    <w:rsid w:val="003F3B50"/>
    <w:rsid w:val="003F3C4C"/>
    <w:rsid w:val="003F3CA1"/>
    <w:rsid w:val="003F3CEE"/>
    <w:rsid w:val="003F405E"/>
    <w:rsid w:val="003F43E7"/>
    <w:rsid w:val="003F4491"/>
    <w:rsid w:val="003F4586"/>
    <w:rsid w:val="003F458B"/>
    <w:rsid w:val="003F46EC"/>
    <w:rsid w:val="003F4891"/>
    <w:rsid w:val="003F4AAF"/>
    <w:rsid w:val="003F4B0D"/>
    <w:rsid w:val="003F4B0F"/>
    <w:rsid w:val="003F4C14"/>
    <w:rsid w:val="003F4CAD"/>
    <w:rsid w:val="003F4D80"/>
    <w:rsid w:val="003F4E4A"/>
    <w:rsid w:val="003F4E59"/>
    <w:rsid w:val="003F506F"/>
    <w:rsid w:val="003F52B2"/>
    <w:rsid w:val="003F5560"/>
    <w:rsid w:val="003F5E63"/>
    <w:rsid w:val="003F618A"/>
    <w:rsid w:val="003F6293"/>
    <w:rsid w:val="003F6509"/>
    <w:rsid w:val="003F651E"/>
    <w:rsid w:val="003F66C9"/>
    <w:rsid w:val="003F6853"/>
    <w:rsid w:val="003F69BC"/>
    <w:rsid w:val="003F69D9"/>
    <w:rsid w:val="003F6FB6"/>
    <w:rsid w:val="003F6FE4"/>
    <w:rsid w:val="003F6FF0"/>
    <w:rsid w:val="003F7094"/>
    <w:rsid w:val="003F717A"/>
    <w:rsid w:val="003F7332"/>
    <w:rsid w:val="003F73F6"/>
    <w:rsid w:val="003F741B"/>
    <w:rsid w:val="003F799C"/>
    <w:rsid w:val="003F7AC5"/>
    <w:rsid w:val="003F7BE4"/>
    <w:rsid w:val="003F7EC1"/>
    <w:rsid w:val="003F7EC5"/>
    <w:rsid w:val="0040005E"/>
    <w:rsid w:val="004003BB"/>
    <w:rsid w:val="00400636"/>
    <w:rsid w:val="0040093D"/>
    <w:rsid w:val="00400944"/>
    <w:rsid w:val="004009EA"/>
    <w:rsid w:val="00400A82"/>
    <w:rsid w:val="00400AD6"/>
    <w:rsid w:val="00400C36"/>
    <w:rsid w:val="00400DDF"/>
    <w:rsid w:val="00401215"/>
    <w:rsid w:val="00401337"/>
    <w:rsid w:val="00401549"/>
    <w:rsid w:val="0040172A"/>
    <w:rsid w:val="00401A4C"/>
    <w:rsid w:val="00401B9D"/>
    <w:rsid w:val="00401D88"/>
    <w:rsid w:val="00401DEE"/>
    <w:rsid w:val="00401EE2"/>
    <w:rsid w:val="00402169"/>
    <w:rsid w:val="0040234F"/>
    <w:rsid w:val="00402588"/>
    <w:rsid w:val="00402735"/>
    <w:rsid w:val="00402BE0"/>
    <w:rsid w:val="00403082"/>
    <w:rsid w:val="004030D2"/>
    <w:rsid w:val="00403462"/>
    <w:rsid w:val="004035A8"/>
    <w:rsid w:val="0040423A"/>
    <w:rsid w:val="0040427F"/>
    <w:rsid w:val="00404297"/>
    <w:rsid w:val="00404802"/>
    <w:rsid w:val="0040484C"/>
    <w:rsid w:val="00404FAA"/>
    <w:rsid w:val="004051B8"/>
    <w:rsid w:val="004051EE"/>
    <w:rsid w:val="0040521B"/>
    <w:rsid w:val="004052BC"/>
    <w:rsid w:val="004055F3"/>
    <w:rsid w:val="00405644"/>
    <w:rsid w:val="004057C7"/>
    <w:rsid w:val="00405988"/>
    <w:rsid w:val="00406364"/>
    <w:rsid w:val="00406388"/>
    <w:rsid w:val="00406406"/>
    <w:rsid w:val="00406514"/>
    <w:rsid w:val="004066C3"/>
    <w:rsid w:val="00406A0C"/>
    <w:rsid w:val="0040725C"/>
    <w:rsid w:val="00407482"/>
    <w:rsid w:val="00407579"/>
    <w:rsid w:val="004075AD"/>
    <w:rsid w:val="004077C0"/>
    <w:rsid w:val="004079A7"/>
    <w:rsid w:val="00407A08"/>
    <w:rsid w:val="00407EC1"/>
    <w:rsid w:val="0041036B"/>
    <w:rsid w:val="004107DA"/>
    <w:rsid w:val="0041090C"/>
    <w:rsid w:val="00410B34"/>
    <w:rsid w:val="00410BB7"/>
    <w:rsid w:val="00410BE2"/>
    <w:rsid w:val="00410D8B"/>
    <w:rsid w:val="00410DFA"/>
    <w:rsid w:val="00410E8A"/>
    <w:rsid w:val="004111F0"/>
    <w:rsid w:val="00411228"/>
    <w:rsid w:val="00411229"/>
    <w:rsid w:val="00411253"/>
    <w:rsid w:val="004113F2"/>
    <w:rsid w:val="004117A5"/>
    <w:rsid w:val="004118E5"/>
    <w:rsid w:val="0041198C"/>
    <w:rsid w:val="00411B6D"/>
    <w:rsid w:val="00411CD1"/>
    <w:rsid w:val="00411D82"/>
    <w:rsid w:val="00411E29"/>
    <w:rsid w:val="00411FD6"/>
    <w:rsid w:val="004121B2"/>
    <w:rsid w:val="004123BA"/>
    <w:rsid w:val="0041263F"/>
    <w:rsid w:val="004127C2"/>
    <w:rsid w:val="0041281E"/>
    <w:rsid w:val="004128F2"/>
    <w:rsid w:val="004129D5"/>
    <w:rsid w:val="00412EA0"/>
    <w:rsid w:val="004133B1"/>
    <w:rsid w:val="004138A2"/>
    <w:rsid w:val="00413BBB"/>
    <w:rsid w:val="00413C31"/>
    <w:rsid w:val="00413D5E"/>
    <w:rsid w:val="00413DD7"/>
    <w:rsid w:val="00413F4B"/>
    <w:rsid w:val="00414E44"/>
    <w:rsid w:val="00414F6C"/>
    <w:rsid w:val="00415142"/>
    <w:rsid w:val="00415C77"/>
    <w:rsid w:val="00415D81"/>
    <w:rsid w:val="00415E07"/>
    <w:rsid w:val="0041637B"/>
    <w:rsid w:val="004166FD"/>
    <w:rsid w:val="00416731"/>
    <w:rsid w:val="0041690F"/>
    <w:rsid w:val="00416B72"/>
    <w:rsid w:val="00416D3F"/>
    <w:rsid w:val="00416EBC"/>
    <w:rsid w:val="004171AC"/>
    <w:rsid w:val="004173BD"/>
    <w:rsid w:val="004176AC"/>
    <w:rsid w:val="00417AAC"/>
    <w:rsid w:val="00417D85"/>
    <w:rsid w:val="00420078"/>
    <w:rsid w:val="004203D5"/>
    <w:rsid w:val="00420459"/>
    <w:rsid w:val="004209BF"/>
    <w:rsid w:val="004209D2"/>
    <w:rsid w:val="00421183"/>
    <w:rsid w:val="00421285"/>
    <w:rsid w:val="004213EA"/>
    <w:rsid w:val="004217C9"/>
    <w:rsid w:val="0042191A"/>
    <w:rsid w:val="00421C27"/>
    <w:rsid w:val="00421C7E"/>
    <w:rsid w:val="00421CC9"/>
    <w:rsid w:val="00421E5A"/>
    <w:rsid w:val="00421EC7"/>
    <w:rsid w:val="0042219D"/>
    <w:rsid w:val="00422341"/>
    <w:rsid w:val="004229E5"/>
    <w:rsid w:val="00422ABD"/>
    <w:rsid w:val="00422ACB"/>
    <w:rsid w:val="00422AE0"/>
    <w:rsid w:val="00423148"/>
    <w:rsid w:val="00423202"/>
    <w:rsid w:val="004232DE"/>
    <w:rsid w:val="00423475"/>
    <w:rsid w:val="0042358E"/>
    <w:rsid w:val="004236A0"/>
    <w:rsid w:val="004236CA"/>
    <w:rsid w:val="00423A92"/>
    <w:rsid w:val="00423FDE"/>
    <w:rsid w:val="004240B3"/>
    <w:rsid w:val="004240E7"/>
    <w:rsid w:val="004241CA"/>
    <w:rsid w:val="00424521"/>
    <w:rsid w:val="004247C2"/>
    <w:rsid w:val="004247DB"/>
    <w:rsid w:val="00424BB0"/>
    <w:rsid w:val="00424E05"/>
    <w:rsid w:val="00424E90"/>
    <w:rsid w:val="0042528C"/>
    <w:rsid w:val="004252CE"/>
    <w:rsid w:val="00425B29"/>
    <w:rsid w:val="00425C89"/>
    <w:rsid w:val="00425CEF"/>
    <w:rsid w:val="00425E37"/>
    <w:rsid w:val="00425E64"/>
    <w:rsid w:val="004260B3"/>
    <w:rsid w:val="00426432"/>
    <w:rsid w:val="004267E8"/>
    <w:rsid w:val="00426880"/>
    <w:rsid w:val="004268E5"/>
    <w:rsid w:val="00426B27"/>
    <w:rsid w:val="00426E44"/>
    <w:rsid w:val="004272FE"/>
    <w:rsid w:val="0042734D"/>
    <w:rsid w:val="00427430"/>
    <w:rsid w:val="00427714"/>
    <w:rsid w:val="004277FD"/>
    <w:rsid w:val="00427B7A"/>
    <w:rsid w:val="00427BE0"/>
    <w:rsid w:val="00427D07"/>
    <w:rsid w:val="00427E04"/>
    <w:rsid w:val="00427EDA"/>
    <w:rsid w:val="00430037"/>
    <w:rsid w:val="004300C6"/>
    <w:rsid w:val="0043012E"/>
    <w:rsid w:val="004304C6"/>
    <w:rsid w:val="004306EA"/>
    <w:rsid w:val="00430793"/>
    <w:rsid w:val="004307AC"/>
    <w:rsid w:val="00430A7A"/>
    <w:rsid w:val="00430B89"/>
    <w:rsid w:val="00430D46"/>
    <w:rsid w:val="00430D7D"/>
    <w:rsid w:val="00430FB8"/>
    <w:rsid w:val="004311A1"/>
    <w:rsid w:val="004312E2"/>
    <w:rsid w:val="004314E1"/>
    <w:rsid w:val="004315A6"/>
    <w:rsid w:val="00431779"/>
    <w:rsid w:val="00431D7B"/>
    <w:rsid w:val="00431FF3"/>
    <w:rsid w:val="00432002"/>
    <w:rsid w:val="00432066"/>
    <w:rsid w:val="004321D9"/>
    <w:rsid w:val="004324E9"/>
    <w:rsid w:val="00432AE3"/>
    <w:rsid w:val="0043313E"/>
    <w:rsid w:val="004331D5"/>
    <w:rsid w:val="0043355C"/>
    <w:rsid w:val="004336A8"/>
    <w:rsid w:val="00433808"/>
    <w:rsid w:val="00433A76"/>
    <w:rsid w:val="00433A98"/>
    <w:rsid w:val="00433B2A"/>
    <w:rsid w:val="00433DE6"/>
    <w:rsid w:val="00434015"/>
    <w:rsid w:val="00434283"/>
    <w:rsid w:val="00434504"/>
    <w:rsid w:val="00434B69"/>
    <w:rsid w:val="00434BAB"/>
    <w:rsid w:val="00434CAD"/>
    <w:rsid w:val="00434E68"/>
    <w:rsid w:val="004351A8"/>
    <w:rsid w:val="00435394"/>
    <w:rsid w:val="0043550D"/>
    <w:rsid w:val="0043586E"/>
    <w:rsid w:val="00435B36"/>
    <w:rsid w:val="00435B45"/>
    <w:rsid w:val="00435C3B"/>
    <w:rsid w:val="00435E74"/>
    <w:rsid w:val="00435EEF"/>
    <w:rsid w:val="00435F58"/>
    <w:rsid w:val="0043635B"/>
    <w:rsid w:val="00436782"/>
    <w:rsid w:val="004367D3"/>
    <w:rsid w:val="00436DE2"/>
    <w:rsid w:val="00436E4A"/>
    <w:rsid w:val="0043731C"/>
    <w:rsid w:val="004373DF"/>
    <w:rsid w:val="004376FC"/>
    <w:rsid w:val="004378BB"/>
    <w:rsid w:val="00437A02"/>
    <w:rsid w:val="00437D72"/>
    <w:rsid w:val="00437D80"/>
    <w:rsid w:val="00437EA0"/>
    <w:rsid w:val="004401C9"/>
    <w:rsid w:val="00440475"/>
    <w:rsid w:val="00440582"/>
    <w:rsid w:val="0044062E"/>
    <w:rsid w:val="00440BD9"/>
    <w:rsid w:val="00440DB0"/>
    <w:rsid w:val="00440EEE"/>
    <w:rsid w:val="0044117C"/>
    <w:rsid w:val="00441287"/>
    <w:rsid w:val="00441CAF"/>
    <w:rsid w:val="00441E47"/>
    <w:rsid w:val="00441E94"/>
    <w:rsid w:val="00441ECD"/>
    <w:rsid w:val="0044220B"/>
    <w:rsid w:val="00442500"/>
    <w:rsid w:val="00442590"/>
    <w:rsid w:val="004427DE"/>
    <w:rsid w:val="00442851"/>
    <w:rsid w:val="00442DF1"/>
    <w:rsid w:val="004431B3"/>
    <w:rsid w:val="00443452"/>
    <w:rsid w:val="004434D7"/>
    <w:rsid w:val="0044395D"/>
    <w:rsid w:val="004439B0"/>
    <w:rsid w:val="00443B5B"/>
    <w:rsid w:val="00443E56"/>
    <w:rsid w:val="004443E0"/>
    <w:rsid w:val="00444415"/>
    <w:rsid w:val="004444E8"/>
    <w:rsid w:val="0044455B"/>
    <w:rsid w:val="00444974"/>
    <w:rsid w:val="004449BB"/>
    <w:rsid w:val="004449E8"/>
    <w:rsid w:val="00444B1E"/>
    <w:rsid w:val="00444B3E"/>
    <w:rsid w:val="00444F51"/>
    <w:rsid w:val="0044511B"/>
    <w:rsid w:val="00445298"/>
    <w:rsid w:val="004452CE"/>
    <w:rsid w:val="0044558B"/>
    <w:rsid w:val="004456C1"/>
    <w:rsid w:val="00445822"/>
    <w:rsid w:val="00445911"/>
    <w:rsid w:val="00445C5F"/>
    <w:rsid w:val="00445D1E"/>
    <w:rsid w:val="00445E2B"/>
    <w:rsid w:val="00445F6A"/>
    <w:rsid w:val="00445FB6"/>
    <w:rsid w:val="00446271"/>
    <w:rsid w:val="00446540"/>
    <w:rsid w:val="0044737F"/>
    <w:rsid w:val="004475EE"/>
    <w:rsid w:val="0044783A"/>
    <w:rsid w:val="004479FC"/>
    <w:rsid w:val="00447C31"/>
    <w:rsid w:val="00447DF2"/>
    <w:rsid w:val="0045063D"/>
    <w:rsid w:val="004509E3"/>
    <w:rsid w:val="00450A88"/>
    <w:rsid w:val="00450BF7"/>
    <w:rsid w:val="00450C67"/>
    <w:rsid w:val="00450D1B"/>
    <w:rsid w:val="00450E51"/>
    <w:rsid w:val="00450E8C"/>
    <w:rsid w:val="00450F89"/>
    <w:rsid w:val="004512D4"/>
    <w:rsid w:val="0045158C"/>
    <w:rsid w:val="00451645"/>
    <w:rsid w:val="004517D5"/>
    <w:rsid w:val="00451A11"/>
    <w:rsid w:val="00451AD9"/>
    <w:rsid w:val="00451B7B"/>
    <w:rsid w:val="00451BC8"/>
    <w:rsid w:val="00451D1B"/>
    <w:rsid w:val="00452090"/>
    <w:rsid w:val="0045255F"/>
    <w:rsid w:val="004525AA"/>
    <w:rsid w:val="004525FD"/>
    <w:rsid w:val="00452743"/>
    <w:rsid w:val="00452929"/>
    <w:rsid w:val="00452A4C"/>
    <w:rsid w:val="00452BA1"/>
    <w:rsid w:val="00452BD2"/>
    <w:rsid w:val="00452E15"/>
    <w:rsid w:val="00452F12"/>
    <w:rsid w:val="00452FDB"/>
    <w:rsid w:val="004531CF"/>
    <w:rsid w:val="0045342E"/>
    <w:rsid w:val="00453633"/>
    <w:rsid w:val="004536EB"/>
    <w:rsid w:val="004539CF"/>
    <w:rsid w:val="00453A28"/>
    <w:rsid w:val="00453AE2"/>
    <w:rsid w:val="00453BBA"/>
    <w:rsid w:val="00453CFF"/>
    <w:rsid w:val="00453F38"/>
    <w:rsid w:val="004540E9"/>
    <w:rsid w:val="00454312"/>
    <w:rsid w:val="00454355"/>
    <w:rsid w:val="00454626"/>
    <w:rsid w:val="004548B2"/>
    <w:rsid w:val="004548C6"/>
    <w:rsid w:val="00454AC6"/>
    <w:rsid w:val="00454C32"/>
    <w:rsid w:val="00454E64"/>
    <w:rsid w:val="00455214"/>
    <w:rsid w:val="004555D0"/>
    <w:rsid w:val="004556E9"/>
    <w:rsid w:val="00455AB2"/>
    <w:rsid w:val="00455B9E"/>
    <w:rsid w:val="00455D5C"/>
    <w:rsid w:val="00455DAC"/>
    <w:rsid w:val="00455EDF"/>
    <w:rsid w:val="00455F40"/>
    <w:rsid w:val="00456198"/>
    <w:rsid w:val="004563C2"/>
    <w:rsid w:val="00456409"/>
    <w:rsid w:val="004565B5"/>
    <w:rsid w:val="004566D9"/>
    <w:rsid w:val="00456B10"/>
    <w:rsid w:val="00456D42"/>
    <w:rsid w:val="0045722C"/>
    <w:rsid w:val="00457467"/>
    <w:rsid w:val="00457938"/>
    <w:rsid w:val="00457B66"/>
    <w:rsid w:val="00457CA9"/>
    <w:rsid w:val="00457EE7"/>
    <w:rsid w:val="004604C4"/>
    <w:rsid w:val="00460628"/>
    <w:rsid w:val="004608EF"/>
    <w:rsid w:val="00460AA0"/>
    <w:rsid w:val="00460AB8"/>
    <w:rsid w:val="00460B41"/>
    <w:rsid w:val="00460D15"/>
    <w:rsid w:val="00461105"/>
    <w:rsid w:val="004611A3"/>
    <w:rsid w:val="00461322"/>
    <w:rsid w:val="004613E0"/>
    <w:rsid w:val="00461654"/>
    <w:rsid w:val="00461AA3"/>
    <w:rsid w:val="00461B47"/>
    <w:rsid w:val="00461C65"/>
    <w:rsid w:val="004627C2"/>
    <w:rsid w:val="00462CBF"/>
    <w:rsid w:val="00462CD5"/>
    <w:rsid w:val="00462D19"/>
    <w:rsid w:val="00462E5A"/>
    <w:rsid w:val="00462E63"/>
    <w:rsid w:val="00462E8F"/>
    <w:rsid w:val="00462F15"/>
    <w:rsid w:val="004633FE"/>
    <w:rsid w:val="004635C6"/>
    <w:rsid w:val="004639F1"/>
    <w:rsid w:val="00463C74"/>
    <w:rsid w:val="00463E67"/>
    <w:rsid w:val="0046403D"/>
    <w:rsid w:val="0046425D"/>
    <w:rsid w:val="004646B3"/>
    <w:rsid w:val="004648F4"/>
    <w:rsid w:val="00464964"/>
    <w:rsid w:val="00464A8A"/>
    <w:rsid w:val="00464B8B"/>
    <w:rsid w:val="00464DFA"/>
    <w:rsid w:val="00464FD2"/>
    <w:rsid w:val="0046535F"/>
    <w:rsid w:val="0046538E"/>
    <w:rsid w:val="00465AC3"/>
    <w:rsid w:val="00465CAA"/>
    <w:rsid w:val="00465CB3"/>
    <w:rsid w:val="00465F1F"/>
    <w:rsid w:val="004660C3"/>
    <w:rsid w:val="00466393"/>
    <w:rsid w:val="004664D7"/>
    <w:rsid w:val="00466D5F"/>
    <w:rsid w:val="00466DCC"/>
    <w:rsid w:val="00466DDB"/>
    <w:rsid w:val="00466E9D"/>
    <w:rsid w:val="004670BC"/>
    <w:rsid w:val="00467634"/>
    <w:rsid w:val="00467653"/>
    <w:rsid w:val="00467D2A"/>
    <w:rsid w:val="004702DF"/>
    <w:rsid w:val="00470A30"/>
    <w:rsid w:val="00470B6A"/>
    <w:rsid w:val="00470C41"/>
    <w:rsid w:val="00470CF6"/>
    <w:rsid w:val="00470EEC"/>
    <w:rsid w:val="00471124"/>
    <w:rsid w:val="0047114C"/>
    <w:rsid w:val="00471425"/>
    <w:rsid w:val="0047149F"/>
    <w:rsid w:val="00471573"/>
    <w:rsid w:val="00471854"/>
    <w:rsid w:val="004719D7"/>
    <w:rsid w:val="00471B05"/>
    <w:rsid w:val="00471D6F"/>
    <w:rsid w:val="0047206D"/>
    <w:rsid w:val="00472670"/>
    <w:rsid w:val="00472723"/>
    <w:rsid w:val="00472850"/>
    <w:rsid w:val="00472A70"/>
    <w:rsid w:val="00472B75"/>
    <w:rsid w:val="00472BD5"/>
    <w:rsid w:val="00472DF3"/>
    <w:rsid w:val="00472F9F"/>
    <w:rsid w:val="004733B3"/>
    <w:rsid w:val="00473459"/>
    <w:rsid w:val="004735C1"/>
    <w:rsid w:val="004735DC"/>
    <w:rsid w:val="00473614"/>
    <w:rsid w:val="0047361E"/>
    <w:rsid w:val="004739FD"/>
    <w:rsid w:val="00473B5D"/>
    <w:rsid w:val="00473C3F"/>
    <w:rsid w:val="00473F69"/>
    <w:rsid w:val="004740EE"/>
    <w:rsid w:val="00474643"/>
    <w:rsid w:val="004748A9"/>
    <w:rsid w:val="00474AF8"/>
    <w:rsid w:val="00474C6B"/>
    <w:rsid w:val="00475301"/>
    <w:rsid w:val="004753A1"/>
    <w:rsid w:val="004753E1"/>
    <w:rsid w:val="00475546"/>
    <w:rsid w:val="004756DA"/>
    <w:rsid w:val="004759E5"/>
    <w:rsid w:val="00475ADE"/>
    <w:rsid w:val="00475F4A"/>
    <w:rsid w:val="00476019"/>
    <w:rsid w:val="004760EA"/>
    <w:rsid w:val="00476101"/>
    <w:rsid w:val="0047625A"/>
    <w:rsid w:val="004762C5"/>
    <w:rsid w:val="0047642E"/>
    <w:rsid w:val="00476817"/>
    <w:rsid w:val="00476C91"/>
    <w:rsid w:val="00476DD8"/>
    <w:rsid w:val="00476F9E"/>
    <w:rsid w:val="004771B2"/>
    <w:rsid w:val="0047721C"/>
    <w:rsid w:val="00477287"/>
    <w:rsid w:val="004773F9"/>
    <w:rsid w:val="0047748F"/>
    <w:rsid w:val="00477632"/>
    <w:rsid w:val="004778C1"/>
    <w:rsid w:val="004778D9"/>
    <w:rsid w:val="00477B9B"/>
    <w:rsid w:val="00477E7B"/>
    <w:rsid w:val="0048037D"/>
    <w:rsid w:val="004805D7"/>
    <w:rsid w:val="00480B26"/>
    <w:rsid w:val="00480D29"/>
    <w:rsid w:val="00480D6F"/>
    <w:rsid w:val="00480E65"/>
    <w:rsid w:val="00480EBC"/>
    <w:rsid w:val="00481074"/>
    <w:rsid w:val="004814F7"/>
    <w:rsid w:val="004815A0"/>
    <w:rsid w:val="00481617"/>
    <w:rsid w:val="00481C0B"/>
    <w:rsid w:val="00481E1B"/>
    <w:rsid w:val="00482102"/>
    <w:rsid w:val="0048237B"/>
    <w:rsid w:val="0048252F"/>
    <w:rsid w:val="004825FE"/>
    <w:rsid w:val="00482A3D"/>
    <w:rsid w:val="00482A49"/>
    <w:rsid w:val="00482ED7"/>
    <w:rsid w:val="0048324A"/>
    <w:rsid w:val="0048344C"/>
    <w:rsid w:val="00483689"/>
    <w:rsid w:val="004836FA"/>
    <w:rsid w:val="00483872"/>
    <w:rsid w:val="00483C15"/>
    <w:rsid w:val="004841CE"/>
    <w:rsid w:val="004841E9"/>
    <w:rsid w:val="00484206"/>
    <w:rsid w:val="0048434E"/>
    <w:rsid w:val="004843A0"/>
    <w:rsid w:val="004843A5"/>
    <w:rsid w:val="004843D6"/>
    <w:rsid w:val="0048493A"/>
    <w:rsid w:val="00484AEE"/>
    <w:rsid w:val="00484B8E"/>
    <w:rsid w:val="00484D11"/>
    <w:rsid w:val="00484F3B"/>
    <w:rsid w:val="0048509C"/>
    <w:rsid w:val="00485183"/>
    <w:rsid w:val="004856AA"/>
    <w:rsid w:val="004858A4"/>
    <w:rsid w:val="00485B6D"/>
    <w:rsid w:val="00485B99"/>
    <w:rsid w:val="00485BC7"/>
    <w:rsid w:val="00485C27"/>
    <w:rsid w:val="00485CE1"/>
    <w:rsid w:val="00485DCB"/>
    <w:rsid w:val="00485FCC"/>
    <w:rsid w:val="00486009"/>
    <w:rsid w:val="004860A3"/>
    <w:rsid w:val="00486125"/>
    <w:rsid w:val="00486204"/>
    <w:rsid w:val="00486212"/>
    <w:rsid w:val="004862D1"/>
    <w:rsid w:val="004862D2"/>
    <w:rsid w:val="00486388"/>
    <w:rsid w:val="004863A5"/>
    <w:rsid w:val="00486736"/>
    <w:rsid w:val="00486851"/>
    <w:rsid w:val="00486B72"/>
    <w:rsid w:val="00486BBA"/>
    <w:rsid w:val="00486F86"/>
    <w:rsid w:val="004870D6"/>
    <w:rsid w:val="004871AA"/>
    <w:rsid w:val="00487251"/>
    <w:rsid w:val="00487312"/>
    <w:rsid w:val="004875CE"/>
    <w:rsid w:val="004876E7"/>
    <w:rsid w:val="00487AF9"/>
    <w:rsid w:val="00487BCE"/>
    <w:rsid w:val="00490418"/>
    <w:rsid w:val="004904C8"/>
    <w:rsid w:val="004907E7"/>
    <w:rsid w:val="00490A87"/>
    <w:rsid w:val="00490B1A"/>
    <w:rsid w:val="00491795"/>
    <w:rsid w:val="00491EC8"/>
    <w:rsid w:val="00492028"/>
    <w:rsid w:val="00492167"/>
    <w:rsid w:val="004921DA"/>
    <w:rsid w:val="004922A4"/>
    <w:rsid w:val="0049277A"/>
    <w:rsid w:val="00492A58"/>
    <w:rsid w:val="00492D11"/>
    <w:rsid w:val="00492D63"/>
    <w:rsid w:val="00492E5D"/>
    <w:rsid w:val="00492F62"/>
    <w:rsid w:val="00493625"/>
    <w:rsid w:val="004938B5"/>
    <w:rsid w:val="0049394E"/>
    <w:rsid w:val="00493ABA"/>
    <w:rsid w:val="00493AF9"/>
    <w:rsid w:val="00493D6B"/>
    <w:rsid w:val="00493EE9"/>
    <w:rsid w:val="00493EF9"/>
    <w:rsid w:val="00493FEB"/>
    <w:rsid w:val="00493FEF"/>
    <w:rsid w:val="00494223"/>
    <w:rsid w:val="00494618"/>
    <w:rsid w:val="00494622"/>
    <w:rsid w:val="00494829"/>
    <w:rsid w:val="00494843"/>
    <w:rsid w:val="004948A6"/>
    <w:rsid w:val="00494D2A"/>
    <w:rsid w:val="00494EC9"/>
    <w:rsid w:val="00495054"/>
    <w:rsid w:val="004952C7"/>
    <w:rsid w:val="0049568A"/>
    <w:rsid w:val="004958DA"/>
    <w:rsid w:val="00495A31"/>
    <w:rsid w:val="00495ABD"/>
    <w:rsid w:val="00495DE9"/>
    <w:rsid w:val="00495E8F"/>
    <w:rsid w:val="00495FFB"/>
    <w:rsid w:val="00496064"/>
    <w:rsid w:val="004964D5"/>
    <w:rsid w:val="00496C1E"/>
    <w:rsid w:val="00496C46"/>
    <w:rsid w:val="00496D4B"/>
    <w:rsid w:val="00497002"/>
    <w:rsid w:val="00497203"/>
    <w:rsid w:val="004972AC"/>
    <w:rsid w:val="0049734C"/>
    <w:rsid w:val="004973A3"/>
    <w:rsid w:val="004973F6"/>
    <w:rsid w:val="00497991"/>
    <w:rsid w:val="00497BCF"/>
    <w:rsid w:val="00497E1B"/>
    <w:rsid w:val="00497E7C"/>
    <w:rsid w:val="004A023F"/>
    <w:rsid w:val="004A03F4"/>
    <w:rsid w:val="004A0465"/>
    <w:rsid w:val="004A04AB"/>
    <w:rsid w:val="004A05F8"/>
    <w:rsid w:val="004A0742"/>
    <w:rsid w:val="004A09D2"/>
    <w:rsid w:val="004A0C5F"/>
    <w:rsid w:val="004A0DCC"/>
    <w:rsid w:val="004A101F"/>
    <w:rsid w:val="004A19FC"/>
    <w:rsid w:val="004A1C7B"/>
    <w:rsid w:val="004A1EAA"/>
    <w:rsid w:val="004A1F31"/>
    <w:rsid w:val="004A26D6"/>
    <w:rsid w:val="004A28E9"/>
    <w:rsid w:val="004A2BCF"/>
    <w:rsid w:val="004A30BC"/>
    <w:rsid w:val="004A315F"/>
    <w:rsid w:val="004A31FC"/>
    <w:rsid w:val="004A33C6"/>
    <w:rsid w:val="004A3568"/>
    <w:rsid w:val="004A35B1"/>
    <w:rsid w:val="004A35BA"/>
    <w:rsid w:val="004A373F"/>
    <w:rsid w:val="004A385E"/>
    <w:rsid w:val="004A3930"/>
    <w:rsid w:val="004A3DE7"/>
    <w:rsid w:val="004A44F5"/>
    <w:rsid w:val="004A4874"/>
    <w:rsid w:val="004A4957"/>
    <w:rsid w:val="004A4A07"/>
    <w:rsid w:val="004A4A48"/>
    <w:rsid w:val="004A4B60"/>
    <w:rsid w:val="004A4B63"/>
    <w:rsid w:val="004A4B88"/>
    <w:rsid w:val="004A4C3F"/>
    <w:rsid w:val="004A4E99"/>
    <w:rsid w:val="004A4FA0"/>
    <w:rsid w:val="004A52F2"/>
    <w:rsid w:val="004A57A8"/>
    <w:rsid w:val="004A5B6A"/>
    <w:rsid w:val="004A5CC3"/>
    <w:rsid w:val="004A5D2D"/>
    <w:rsid w:val="004A5D59"/>
    <w:rsid w:val="004A5E02"/>
    <w:rsid w:val="004A626C"/>
    <w:rsid w:val="004A62D7"/>
    <w:rsid w:val="004A6CBE"/>
    <w:rsid w:val="004A6D09"/>
    <w:rsid w:val="004A6EBA"/>
    <w:rsid w:val="004A6EED"/>
    <w:rsid w:val="004A70D6"/>
    <w:rsid w:val="004A717D"/>
    <w:rsid w:val="004A7262"/>
    <w:rsid w:val="004A738C"/>
    <w:rsid w:val="004A74C9"/>
    <w:rsid w:val="004A7639"/>
    <w:rsid w:val="004A79B2"/>
    <w:rsid w:val="004A7A44"/>
    <w:rsid w:val="004A7DE6"/>
    <w:rsid w:val="004A7FC2"/>
    <w:rsid w:val="004B01C3"/>
    <w:rsid w:val="004B0A61"/>
    <w:rsid w:val="004B0D10"/>
    <w:rsid w:val="004B0DDB"/>
    <w:rsid w:val="004B102C"/>
    <w:rsid w:val="004B12CD"/>
    <w:rsid w:val="004B15AD"/>
    <w:rsid w:val="004B160F"/>
    <w:rsid w:val="004B16BC"/>
    <w:rsid w:val="004B187B"/>
    <w:rsid w:val="004B190E"/>
    <w:rsid w:val="004B1AB5"/>
    <w:rsid w:val="004B2360"/>
    <w:rsid w:val="004B24FD"/>
    <w:rsid w:val="004B2841"/>
    <w:rsid w:val="004B29DD"/>
    <w:rsid w:val="004B2CC0"/>
    <w:rsid w:val="004B2CED"/>
    <w:rsid w:val="004B333E"/>
    <w:rsid w:val="004B340F"/>
    <w:rsid w:val="004B3891"/>
    <w:rsid w:val="004B3AEC"/>
    <w:rsid w:val="004B3BF6"/>
    <w:rsid w:val="004B3DEC"/>
    <w:rsid w:val="004B3FF8"/>
    <w:rsid w:val="004B40A7"/>
    <w:rsid w:val="004B4289"/>
    <w:rsid w:val="004B45A0"/>
    <w:rsid w:val="004B4B32"/>
    <w:rsid w:val="004B4D01"/>
    <w:rsid w:val="004B4F42"/>
    <w:rsid w:val="004B5037"/>
    <w:rsid w:val="004B521C"/>
    <w:rsid w:val="004B5352"/>
    <w:rsid w:val="004B56A5"/>
    <w:rsid w:val="004B5706"/>
    <w:rsid w:val="004B5A13"/>
    <w:rsid w:val="004B5A8D"/>
    <w:rsid w:val="004B5A9C"/>
    <w:rsid w:val="004B5B2A"/>
    <w:rsid w:val="004B5D56"/>
    <w:rsid w:val="004B5E47"/>
    <w:rsid w:val="004B5E4F"/>
    <w:rsid w:val="004B5F80"/>
    <w:rsid w:val="004B5FA5"/>
    <w:rsid w:val="004B5FCB"/>
    <w:rsid w:val="004B61D6"/>
    <w:rsid w:val="004B6258"/>
    <w:rsid w:val="004B6379"/>
    <w:rsid w:val="004B640F"/>
    <w:rsid w:val="004B6997"/>
    <w:rsid w:val="004B6B5C"/>
    <w:rsid w:val="004B73D4"/>
    <w:rsid w:val="004B76B6"/>
    <w:rsid w:val="004B7FED"/>
    <w:rsid w:val="004C0254"/>
    <w:rsid w:val="004C042B"/>
    <w:rsid w:val="004C0430"/>
    <w:rsid w:val="004C05FC"/>
    <w:rsid w:val="004C078F"/>
    <w:rsid w:val="004C0A27"/>
    <w:rsid w:val="004C0B2C"/>
    <w:rsid w:val="004C0CEB"/>
    <w:rsid w:val="004C0D3C"/>
    <w:rsid w:val="004C0DDB"/>
    <w:rsid w:val="004C106C"/>
    <w:rsid w:val="004C10A0"/>
    <w:rsid w:val="004C110E"/>
    <w:rsid w:val="004C1249"/>
    <w:rsid w:val="004C1520"/>
    <w:rsid w:val="004C152B"/>
    <w:rsid w:val="004C162B"/>
    <w:rsid w:val="004C1642"/>
    <w:rsid w:val="004C1692"/>
    <w:rsid w:val="004C1B5E"/>
    <w:rsid w:val="004C1BBA"/>
    <w:rsid w:val="004C204E"/>
    <w:rsid w:val="004C20DC"/>
    <w:rsid w:val="004C21D8"/>
    <w:rsid w:val="004C237A"/>
    <w:rsid w:val="004C2616"/>
    <w:rsid w:val="004C294C"/>
    <w:rsid w:val="004C2AC4"/>
    <w:rsid w:val="004C2B5C"/>
    <w:rsid w:val="004C2B73"/>
    <w:rsid w:val="004C2EAB"/>
    <w:rsid w:val="004C3335"/>
    <w:rsid w:val="004C350D"/>
    <w:rsid w:val="004C35C3"/>
    <w:rsid w:val="004C3B9A"/>
    <w:rsid w:val="004C3CD4"/>
    <w:rsid w:val="004C3CE3"/>
    <w:rsid w:val="004C3DF6"/>
    <w:rsid w:val="004C4346"/>
    <w:rsid w:val="004C44F0"/>
    <w:rsid w:val="004C4618"/>
    <w:rsid w:val="004C4901"/>
    <w:rsid w:val="004C4960"/>
    <w:rsid w:val="004C4AE1"/>
    <w:rsid w:val="004C4D81"/>
    <w:rsid w:val="004C4E1D"/>
    <w:rsid w:val="004C4F12"/>
    <w:rsid w:val="004C5245"/>
    <w:rsid w:val="004C531F"/>
    <w:rsid w:val="004C5386"/>
    <w:rsid w:val="004C53CF"/>
    <w:rsid w:val="004C56EE"/>
    <w:rsid w:val="004C5784"/>
    <w:rsid w:val="004C5998"/>
    <w:rsid w:val="004C5A79"/>
    <w:rsid w:val="004C5B01"/>
    <w:rsid w:val="004C5E68"/>
    <w:rsid w:val="004C6090"/>
    <w:rsid w:val="004C60C6"/>
    <w:rsid w:val="004C61C1"/>
    <w:rsid w:val="004C66C5"/>
    <w:rsid w:val="004C67FE"/>
    <w:rsid w:val="004C6801"/>
    <w:rsid w:val="004C69C0"/>
    <w:rsid w:val="004C69E2"/>
    <w:rsid w:val="004C6AD8"/>
    <w:rsid w:val="004C6C28"/>
    <w:rsid w:val="004C6D7C"/>
    <w:rsid w:val="004C7019"/>
    <w:rsid w:val="004C7033"/>
    <w:rsid w:val="004C716B"/>
    <w:rsid w:val="004C71E2"/>
    <w:rsid w:val="004C7372"/>
    <w:rsid w:val="004C7388"/>
    <w:rsid w:val="004C7684"/>
    <w:rsid w:val="004C7722"/>
    <w:rsid w:val="004C7932"/>
    <w:rsid w:val="004C79E1"/>
    <w:rsid w:val="004C7CAA"/>
    <w:rsid w:val="004C7DDB"/>
    <w:rsid w:val="004D0035"/>
    <w:rsid w:val="004D013B"/>
    <w:rsid w:val="004D018A"/>
    <w:rsid w:val="004D04D9"/>
    <w:rsid w:val="004D072E"/>
    <w:rsid w:val="004D0848"/>
    <w:rsid w:val="004D08C7"/>
    <w:rsid w:val="004D11D0"/>
    <w:rsid w:val="004D1416"/>
    <w:rsid w:val="004D152D"/>
    <w:rsid w:val="004D159E"/>
    <w:rsid w:val="004D192C"/>
    <w:rsid w:val="004D1CC9"/>
    <w:rsid w:val="004D1D3F"/>
    <w:rsid w:val="004D1F04"/>
    <w:rsid w:val="004D1F57"/>
    <w:rsid w:val="004D2166"/>
    <w:rsid w:val="004D2187"/>
    <w:rsid w:val="004D21AC"/>
    <w:rsid w:val="004D21C7"/>
    <w:rsid w:val="004D2260"/>
    <w:rsid w:val="004D24FC"/>
    <w:rsid w:val="004D2558"/>
    <w:rsid w:val="004D27E6"/>
    <w:rsid w:val="004D2AA7"/>
    <w:rsid w:val="004D2D45"/>
    <w:rsid w:val="004D2E2F"/>
    <w:rsid w:val="004D2E49"/>
    <w:rsid w:val="004D364D"/>
    <w:rsid w:val="004D37C0"/>
    <w:rsid w:val="004D38E6"/>
    <w:rsid w:val="004D3B81"/>
    <w:rsid w:val="004D3F8B"/>
    <w:rsid w:val="004D3F8D"/>
    <w:rsid w:val="004D40C6"/>
    <w:rsid w:val="004D40D5"/>
    <w:rsid w:val="004D4340"/>
    <w:rsid w:val="004D43C0"/>
    <w:rsid w:val="004D45B2"/>
    <w:rsid w:val="004D49FC"/>
    <w:rsid w:val="004D4A31"/>
    <w:rsid w:val="004D4FA3"/>
    <w:rsid w:val="004D4FED"/>
    <w:rsid w:val="004D5838"/>
    <w:rsid w:val="004D58D2"/>
    <w:rsid w:val="004D5AE9"/>
    <w:rsid w:val="004D5C14"/>
    <w:rsid w:val="004D5CFF"/>
    <w:rsid w:val="004D5D3B"/>
    <w:rsid w:val="004D6508"/>
    <w:rsid w:val="004D6616"/>
    <w:rsid w:val="004D6661"/>
    <w:rsid w:val="004D6C9E"/>
    <w:rsid w:val="004D6E06"/>
    <w:rsid w:val="004D71A8"/>
    <w:rsid w:val="004D71C2"/>
    <w:rsid w:val="004D72FF"/>
    <w:rsid w:val="004D740F"/>
    <w:rsid w:val="004D74C2"/>
    <w:rsid w:val="004D7739"/>
    <w:rsid w:val="004D78B0"/>
    <w:rsid w:val="004D7A09"/>
    <w:rsid w:val="004D7ADD"/>
    <w:rsid w:val="004D7E8C"/>
    <w:rsid w:val="004D7F0A"/>
    <w:rsid w:val="004D7FD0"/>
    <w:rsid w:val="004E0142"/>
    <w:rsid w:val="004E07C8"/>
    <w:rsid w:val="004E0AA3"/>
    <w:rsid w:val="004E0DA2"/>
    <w:rsid w:val="004E0E1A"/>
    <w:rsid w:val="004E0F7D"/>
    <w:rsid w:val="004E1010"/>
    <w:rsid w:val="004E1093"/>
    <w:rsid w:val="004E13FA"/>
    <w:rsid w:val="004E1683"/>
    <w:rsid w:val="004E18F9"/>
    <w:rsid w:val="004E1A89"/>
    <w:rsid w:val="004E1E44"/>
    <w:rsid w:val="004E2131"/>
    <w:rsid w:val="004E21C0"/>
    <w:rsid w:val="004E21C6"/>
    <w:rsid w:val="004E2482"/>
    <w:rsid w:val="004E25F8"/>
    <w:rsid w:val="004E2739"/>
    <w:rsid w:val="004E2AEB"/>
    <w:rsid w:val="004E2CC9"/>
    <w:rsid w:val="004E2F08"/>
    <w:rsid w:val="004E2F77"/>
    <w:rsid w:val="004E3085"/>
    <w:rsid w:val="004E3120"/>
    <w:rsid w:val="004E31E4"/>
    <w:rsid w:val="004E320F"/>
    <w:rsid w:val="004E3326"/>
    <w:rsid w:val="004E3652"/>
    <w:rsid w:val="004E3BEB"/>
    <w:rsid w:val="004E3EB9"/>
    <w:rsid w:val="004E3EFC"/>
    <w:rsid w:val="004E3F19"/>
    <w:rsid w:val="004E484E"/>
    <w:rsid w:val="004E4CA5"/>
    <w:rsid w:val="004E4E98"/>
    <w:rsid w:val="004E4FB8"/>
    <w:rsid w:val="004E51FD"/>
    <w:rsid w:val="004E547E"/>
    <w:rsid w:val="004E56AF"/>
    <w:rsid w:val="004E5714"/>
    <w:rsid w:val="004E57B9"/>
    <w:rsid w:val="004E5920"/>
    <w:rsid w:val="004E5A5A"/>
    <w:rsid w:val="004E5B39"/>
    <w:rsid w:val="004E5B4E"/>
    <w:rsid w:val="004E6084"/>
    <w:rsid w:val="004E62FA"/>
    <w:rsid w:val="004E637E"/>
    <w:rsid w:val="004E6A61"/>
    <w:rsid w:val="004E6BE4"/>
    <w:rsid w:val="004E7266"/>
    <w:rsid w:val="004E72D7"/>
    <w:rsid w:val="004E77C4"/>
    <w:rsid w:val="004E7921"/>
    <w:rsid w:val="004E796A"/>
    <w:rsid w:val="004E7D8E"/>
    <w:rsid w:val="004F03C6"/>
    <w:rsid w:val="004F08E8"/>
    <w:rsid w:val="004F0BD0"/>
    <w:rsid w:val="004F0C18"/>
    <w:rsid w:val="004F0D02"/>
    <w:rsid w:val="004F0D65"/>
    <w:rsid w:val="004F0E54"/>
    <w:rsid w:val="004F0F9F"/>
    <w:rsid w:val="004F1266"/>
    <w:rsid w:val="004F139C"/>
    <w:rsid w:val="004F154B"/>
    <w:rsid w:val="004F181F"/>
    <w:rsid w:val="004F1874"/>
    <w:rsid w:val="004F194F"/>
    <w:rsid w:val="004F1AED"/>
    <w:rsid w:val="004F2271"/>
    <w:rsid w:val="004F2464"/>
    <w:rsid w:val="004F24DF"/>
    <w:rsid w:val="004F2BA4"/>
    <w:rsid w:val="004F3142"/>
    <w:rsid w:val="004F342E"/>
    <w:rsid w:val="004F348F"/>
    <w:rsid w:val="004F34EB"/>
    <w:rsid w:val="004F3566"/>
    <w:rsid w:val="004F3A7A"/>
    <w:rsid w:val="004F3AE0"/>
    <w:rsid w:val="004F3AEB"/>
    <w:rsid w:val="004F3EDB"/>
    <w:rsid w:val="004F4001"/>
    <w:rsid w:val="004F400B"/>
    <w:rsid w:val="004F4252"/>
    <w:rsid w:val="004F4663"/>
    <w:rsid w:val="004F4664"/>
    <w:rsid w:val="004F4729"/>
    <w:rsid w:val="004F47B2"/>
    <w:rsid w:val="004F47B4"/>
    <w:rsid w:val="004F4A22"/>
    <w:rsid w:val="004F4A4B"/>
    <w:rsid w:val="004F4B34"/>
    <w:rsid w:val="004F4EAF"/>
    <w:rsid w:val="004F5001"/>
    <w:rsid w:val="004F50D5"/>
    <w:rsid w:val="004F527E"/>
    <w:rsid w:val="004F527F"/>
    <w:rsid w:val="004F52AD"/>
    <w:rsid w:val="004F5309"/>
    <w:rsid w:val="004F5346"/>
    <w:rsid w:val="004F5567"/>
    <w:rsid w:val="004F5628"/>
    <w:rsid w:val="004F5714"/>
    <w:rsid w:val="004F5755"/>
    <w:rsid w:val="004F5B3F"/>
    <w:rsid w:val="004F5D27"/>
    <w:rsid w:val="004F6162"/>
    <w:rsid w:val="004F61EA"/>
    <w:rsid w:val="004F626F"/>
    <w:rsid w:val="004F65FA"/>
    <w:rsid w:val="004F678E"/>
    <w:rsid w:val="004F6C9C"/>
    <w:rsid w:val="004F7018"/>
    <w:rsid w:val="004F703F"/>
    <w:rsid w:val="004F7379"/>
    <w:rsid w:val="004F73A7"/>
    <w:rsid w:val="004F7691"/>
    <w:rsid w:val="004F77F0"/>
    <w:rsid w:val="004F79B6"/>
    <w:rsid w:val="004F7A47"/>
    <w:rsid w:val="00500233"/>
    <w:rsid w:val="0050043B"/>
    <w:rsid w:val="005004C0"/>
    <w:rsid w:val="00500525"/>
    <w:rsid w:val="00500571"/>
    <w:rsid w:val="0050075B"/>
    <w:rsid w:val="005009FD"/>
    <w:rsid w:val="00500A12"/>
    <w:rsid w:val="00500A33"/>
    <w:rsid w:val="00500AB7"/>
    <w:rsid w:val="00500AD3"/>
    <w:rsid w:val="00500BB6"/>
    <w:rsid w:val="00500D2A"/>
    <w:rsid w:val="00500DA5"/>
    <w:rsid w:val="00500E60"/>
    <w:rsid w:val="00500E91"/>
    <w:rsid w:val="00501062"/>
    <w:rsid w:val="00501462"/>
    <w:rsid w:val="005015FC"/>
    <w:rsid w:val="005016C7"/>
    <w:rsid w:val="00501820"/>
    <w:rsid w:val="0050193C"/>
    <w:rsid w:val="0050195E"/>
    <w:rsid w:val="00501B9F"/>
    <w:rsid w:val="00501D93"/>
    <w:rsid w:val="00501E49"/>
    <w:rsid w:val="00501EFF"/>
    <w:rsid w:val="005020B4"/>
    <w:rsid w:val="0050212E"/>
    <w:rsid w:val="00502261"/>
    <w:rsid w:val="0050255F"/>
    <w:rsid w:val="005025D8"/>
    <w:rsid w:val="005026B4"/>
    <w:rsid w:val="005027C4"/>
    <w:rsid w:val="00502ACA"/>
    <w:rsid w:val="00502BC0"/>
    <w:rsid w:val="00502EB6"/>
    <w:rsid w:val="00503037"/>
    <w:rsid w:val="005030E8"/>
    <w:rsid w:val="005031A6"/>
    <w:rsid w:val="005031DC"/>
    <w:rsid w:val="00503223"/>
    <w:rsid w:val="005032D8"/>
    <w:rsid w:val="005033F3"/>
    <w:rsid w:val="0050349E"/>
    <w:rsid w:val="0050362E"/>
    <w:rsid w:val="00503829"/>
    <w:rsid w:val="005038E3"/>
    <w:rsid w:val="00503C8C"/>
    <w:rsid w:val="00503F1D"/>
    <w:rsid w:val="005041DD"/>
    <w:rsid w:val="005044B2"/>
    <w:rsid w:val="0050453D"/>
    <w:rsid w:val="005046EE"/>
    <w:rsid w:val="005047B7"/>
    <w:rsid w:val="0050485C"/>
    <w:rsid w:val="005048CF"/>
    <w:rsid w:val="00504D08"/>
    <w:rsid w:val="00504D47"/>
    <w:rsid w:val="0050505F"/>
    <w:rsid w:val="0050523B"/>
    <w:rsid w:val="0050537E"/>
    <w:rsid w:val="005053C4"/>
    <w:rsid w:val="00505606"/>
    <w:rsid w:val="00505622"/>
    <w:rsid w:val="00505667"/>
    <w:rsid w:val="0050577E"/>
    <w:rsid w:val="005057E3"/>
    <w:rsid w:val="00505B87"/>
    <w:rsid w:val="00505BD7"/>
    <w:rsid w:val="00506671"/>
    <w:rsid w:val="005067C7"/>
    <w:rsid w:val="005067ED"/>
    <w:rsid w:val="0050685A"/>
    <w:rsid w:val="00506901"/>
    <w:rsid w:val="00506E1E"/>
    <w:rsid w:val="00506FF1"/>
    <w:rsid w:val="00507049"/>
    <w:rsid w:val="0050766C"/>
    <w:rsid w:val="00507699"/>
    <w:rsid w:val="00507739"/>
    <w:rsid w:val="00507914"/>
    <w:rsid w:val="00507F23"/>
    <w:rsid w:val="005101A7"/>
    <w:rsid w:val="00510497"/>
    <w:rsid w:val="005106F5"/>
    <w:rsid w:val="0051078B"/>
    <w:rsid w:val="005109A1"/>
    <w:rsid w:val="00510B5E"/>
    <w:rsid w:val="00510BE5"/>
    <w:rsid w:val="0051100B"/>
    <w:rsid w:val="0051154E"/>
    <w:rsid w:val="0051186B"/>
    <w:rsid w:val="005118A3"/>
    <w:rsid w:val="00511A95"/>
    <w:rsid w:val="00511C65"/>
    <w:rsid w:val="00511CC1"/>
    <w:rsid w:val="00511D5B"/>
    <w:rsid w:val="00511FCC"/>
    <w:rsid w:val="00511FCE"/>
    <w:rsid w:val="00512035"/>
    <w:rsid w:val="00512339"/>
    <w:rsid w:val="005123FE"/>
    <w:rsid w:val="005124DD"/>
    <w:rsid w:val="00512513"/>
    <w:rsid w:val="00512529"/>
    <w:rsid w:val="0051254C"/>
    <w:rsid w:val="0051254F"/>
    <w:rsid w:val="00512696"/>
    <w:rsid w:val="005127EC"/>
    <w:rsid w:val="005129BA"/>
    <w:rsid w:val="00512A48"/>
    <w:rsid w:val="00512CF1"/>
    <w:rsid w:val="00512D22"/>
    <w:rsid w:val="00512E21"/>
    <w:rsid w:val="00512E63"/>
    <w:rsid w:val="0051338E"/>
    <w:rsid w:val="005133D6"/>
    <w:rsid w:val="00513478"/>
    <w:rsid w:val="005134AC"/>
    <w:rsid w:val="00513541"/>
    <w:rsid w:val="00513747"/>
    <w:rsid w:val="005138E5"/>
    <w:rsid w:val="00513CBA"/>
    <w:rsid w:val="00513D68"/>
    <w:rsid w:val="00513E2A"/>
    <w:rsid w:val="00514098"/>
    <w:rsid w:val="00514312"/>
    <w:rsid w:val="005143A5"/>
    <w:rsid w:val="005143FC"/>
    <w:rsid w:val="00514488"/>
    <w:rsid w:val="005146B3"/>
    <w:rsid w:val="005148EF"/>
    <w:rsid w:val="00514D5C"/>
    <w:rsid w:val="00514E61"/>
    <w:rsid w:val="00514EB7"/>
    <w:rsid w:val="00514FAC"/>
    <w:rsid w:val="00515225"/>
    <w:rsid w:val="00515377"/>
    <w:rsid w:val="005158FD"/>
    <w:rsid w:val="00515D4D"/>
    <w:rsid w:val="00515E30"/>
    <w:rsid w:val="00515EAD"/>
    <w:rsid w:val="005161D5"/>
    <w:rsid w:val="0051637C"/>
    <w:rsid w:val="005165AE"/>
    <w:rsid w:val="00516686"/>
    <w:rsid w:val="005168AB"/>
    <w:rsid w:val="005168BA"/>
    <w:rsid w:val="005168E1"/>
    <w:rsid w:val="0051699B"/>
    <w:rsid w:val="00516B1C"/>
    <w:rsid w:val="00516B56"/>
    <w:rsid w:val="00516C87"/>
    <w:rsid w:val="00516F38"/>
    <w:rsid w:val="00516F97"/>
    <w:rsid w:val="0051736E"/>
    <w:rsid w:val="00517408"/>
    <w:rsid w:val="00517479"/>
    <w:rsid w:val="00517485"/>
    <w:rsid w:val="00517549"/>
    <w:rsid w:val="00517713"/>
    <w:rsid w:val="00517882"/>
    <w:rsid w:val="00520108"/>
    <w:rsid w:val="0052018B"/>
    <w:rsid w:val="005201DF"/>
    <w:rsid w:val="005203A5"/>
    <w:rsid w:val="00520547"/>
    <w:rsid w:val="0052065D"/>
    <w:rsid w:val="00520856"/>
    <w:rsid w:val="00520A85"/>
    <w:rsid w:val="00520F48"/>
    <w:rsid w:val="0052101E"/>
    <w:rsid w:val="00521050"/>
    <w:rsid w:val="0052158E"/>
    <w:rsid w:val="00521594"/>
    <w:rsid w:val="0052159D"/>
    <w:rsid w:val="005215D3"/>
    <w:rsid w:val="005215E1"/>
    <w:rsid w:val="005215F9"/>
    <w:rsid w:val="00521621"/>
    <w:rsid w:val="0052168A"/>
    <w:rsid w:val="005216DE"/>
    <w:rsid w:val="00521FD5"/>
    <w:rsid w:val="005221BB"/>
    <w:rsid w:val="005222B5"/>
    <w:rsid w:val="0052272E"/>
    <w:rsid w:val="005227E9"/>
    <w:rsid w:val="005228A6"/>
    <w:rsid w:val="00522DDE"/>
    <w:rsid w:val="00522E6F"/>
    <w:rsid w:val="00523367"/>
    <w:rsid w:val="0052354E"/>
    <w:rsid w:val="00523591"/>
    <w:rsid w:val="0052388C"/>
    <w:rsid w:val="005238A9"/>
    <w:rsid w:val="00523B66"/>
    <w:rsid w:val="00523C45"/>
    <w:rsid w:val="00523DFB"/>
    <w:rsid w:val="00524119"/>
    <w:rsid w:val="00524222"/>
    <w:rsid w:val="005243D6"/>
    <w:rsid w:val="00524454"/>
    <w:rsid w:val="00524518"/>
    <w:rsid w:val="005246F5"/>
    <w:rsid w:val="0052470A"/>
    <w:rsid w:val="005248B7"/>
    <w:rsid w:val="00524C5D"/>
    <w:rsid w:val="00524F20"/>
    <w:rsid w:val="00525116"/>
    <w:rsid w:val="00525227"/>
    <w:rsid w:val="0052531A"/>
    <w:rsid w:val="0052550E"/>
    <w:rsid w:val="00525662"/>
    <w:rsid w:val="005257DC"/>
    <w:rsid w:val="00525A60"/>
    <w:rsid w:val="00525A9A"/>
    <w:rsid w:val="00525B42"/>
    <w:rsid w:val="00525B8C"/>
    <w:rsid w:val="00525D6B"/>
    <w:rsid w:val="00525E5E"/>
    <w:rsid w:val="00525F8B"/>
    <w:rsid w:val="00526004"/>
    <w:rsid w:val="005260BA"/>
    <w:rsid w:val="005265A9"/>
    <w:rsid w:val="00526863"/>
    <w:rsid w:val="00526911"/>
    <w:rsid w:val="00526D31"/>
    <w:rsid w:val="00527036"/>
    <w:rsid w:val="005270F9"/>
    <w:rsid w:val="0052730A"/>
    <w:rsid w:val="00527346"/>
    <w:rsid w:val="00527475"/>
    <w:rsid w:val="005274C9"/>
    <w:rsid w:val="0052791C"/>
    <w:rsid w:val="0052794E"/>
    <w:rsid w:val="0052797D"/>
    <w:rsid w:val="00527A89"/>
    <w:rsid w:val="00527CC2"/>
    <w:rsid w:val="00527EAD"/>
    <w:rsid w:val="00530112"/>
    <w:rsid w:val="0053017D"/>
    <w:rsid w:val="00530836"/>
    <w:rsid w:val="0053092A"/>
    <w:rsid w:val="00530A3B"/>
    <w:rsid w:val="00530DC0"/>
    <w:rsid w:val="00530ED5"/>
    <w:rsid w:val="0053103F"/>
    <w:rsid w:val="00531476"/>
    <w:rsid w:val="005315D8"/>
    <w:rsid w:val="00531A95"/>
    <w:rsid w:val="00531CD2"/>
    <w:rsid w:val="00531CED"/>
    <w:rsid w:val="00531E84"/>
    <w:rsid w:val="00532093"/>
    <w:rsid w:val="00532139"/>
    <w:rsid w:val="005327BF"/>
    <w:rsid w:val="00532B59"/>
    <w:rsid w:val="00532BF3"/>
    <w:rsid w:val="00532C19"/>
    <w:rsid w:val="00532C73"/>
    <w:rsid w:val="00532EA1"/>
    <w:rsid w:val="00532F11"/>
    <w:rsid w:val="0053331D"/>
    <w:rsid w:val="0053348A"/>
    <w:rsid w:val="00533733"/>
    <w:rsid w:val="00533984"/>
    <w:rsid w:val="00533BAE"/>
    <w:rsid w:val="00533D0B"/>
    <w:rsid w:val="00534099"/>
    <w:rsid w:val="005343AB"/>
    <w:rsid w:val="005343EC"/>
    <w:rsid w:val="0053478A"/>
    <w:rsid w:val="005347A3"/>
    <w:rsid w:val="0053489D"/>
    <w:rsid w:val="00534C37"/>
    <w:rsid w:val="005352E3"/>
    <w:rsid w:val="0053537D"/>
    <w:rsid w:val="005358CE"/>
    <w:rsid w:val="00535B37"/>
    <w:rsid w:val="00535B6A"/>
    <w:rsid w:val="00535B93"/>
    <w:rsid w:val="00535C14"/>
    <w:rsid w:val="00535C16"/>
    <w:rsid w:val="00535C3A"/>
    <w:rsid w:val="00535C44"/>
    <w:rsid w:val="00535CD5"/>
    <w:rsid w:val="00535FE7"/>
    <w:rsid w:val="00536214"/>
    <w:rsid w:val="005368D5"/>
    <w:rsid w:val="00536AB8"/>
    <w:rsid w:val="00536BD8"/>
    <w:rsid w:val="00536FCB"/>
    <w:rsid w:val="005372A2"/>
    <w:rsid w:val="00537487"/>
    <w:rsid w:val="00537812"/>
    <w:rsid w:val="00537E15"/>
    <w:rsid w:val="0054018F"/>
    <w:rsid w:val="00540214"/>
    <w:rsid w:val="0054022F"/>
    <w:rsid w:val="00540246"/>
    <w:rsid w:val="005403E2"/>
    <w:rsid w:val="005404C4"/>
    <w:rsid w:val="00540B0F"/>
    <w:rsid w:val="00540D55"/>
    <w:rsid w:val="00540DA3"/>
    <w:rsid w:val="00541013"/>
    <w:rsid w:val="005411E9"/>
    <w:rsid w:val="0054124A"/>
    <w:rsid w:val="00541284"/>
    <w:rsid w:val="005413B3"/>
    <w:rsid w:val="005414F2"/>
    <w:rsid w:val="0054162B"/>
    <w:rsid w:val="00541EB9"/>
    <w:rsid w:val="005420D1"/>
    <w:rsid w:val="005421F2"/>
    <w:rsid w:val="00542505"/>
    <w:rsid w:val="0054273A"/>
    <w:rsid w:val="005427B7"/>
    <w:rsid w:val="00542880"/>
    <w:rsid w:val="0054315E"/>
    <w:rsid w:val="00543286"/>
    <w:rsid w:val="005432CA"/>
    <w:rsid w:val="005433BE"/>
    <w:rsid w:val="00543767"/>
    <w:rsid w:val="0054386A"/>
    <w:rsid w:val="00543BA8"/>
    <w:rsid w:val="00543C5F"/>
    <w:rsid w:val="00543D65"/>
    <w:rsid w:val="00543FBB"/>
    <w:rsid w:val="00543FED"/>
    <w:rsid w:val="005440FD"/>
    <w:rsid w:val="0054419C"/>
    <w:rsid w:val="005445EB"/>
    <w:rsid w:val="00544AAC"/>
    <w:rsid w:val="00544B99"/>
    <w:rsid w:val="00545113"/>
    <w:rsid w:val="0054536E"/>
    <w:rsid w:val="0054544B"/>
    <w:rsid w:val="0054564E"/>
    <w:rsid w:val="00545ADC"/>
    <w:rsid w:val="00545B6A"/>
    <w:rsid w:val="00545E7A"/>
    <w:rsid w:val="005460BC"/>
    <w:rsid w:val="00546255"/>
    <w:rsid w:val="0054652F"/>
    <w:rsid w:val="0054659C"/>
    <w:rsid w:val="00546737"/>
    <w:rsid w:val="0054676E"/>
    <w:rsid w:val="00546999"/>
    <w:rsid w:val="00546B92"/>
    <w:rsid w:val="00546BA8"/>
    <w:rsid w:val="00547016"/>
    <w:rsid w:val="0054704E"/>
    <w:rsid w:val="005471ED"/>
    <w:rsid w:val="00547726"/>
    <w:rsid w:val="0054778A"/>
    <w:rsid w:val="005478B0"/>
    <w:rsid w:val="00547D2D"/>
    <w:rsid w:val="00550003"/>
    <w:rsid w:val="0055002D"/>
    <w:rsid w:val="00550089"/>
    <w:rsid w:val="00550358"/>
    <w:rsid w:val="00550520"/>
    <w:rsid w:val="00550BA2"/>
    <w:rsid w:val="00550BCA"/>
    <w:rsid w:val="00550C78"/>
    <w:rsid w:val="00551079"/>
    <w:rsid w:val="00551130"/>
    <w:rsid w:val="005513EB"/>
    <w:rsid w:val="0055154E"/>
    <w:rsid w:val="00551654"/>
    <w:rsid w:val="005516ED"/>
    <w:rsid w:val="005517CE"/>
    <w:rsid w:val="00551B62"/>
    <w:rsid w:val="00551C9A"/>
    <w:rsid w:val="00551DF2"/>
    <w:rsid w:val="00551E8A"/>
    <w:rsid w:val="00552057"/>
    <w:rsid w:val="005523C7"/>
    <w:rsid w:val="00552750"/>
    <w:rsid w:val="0055287C"/>
    <w:rsid w:val="0055297F"/>
    <w:rsid w:val="00552B5B"/>
    <w:rsid w:val="00552C74"/>
    <w:rsid w:val="00552E13"/>
    <w:rsid w:val="00552ED1"/>
    <w:rsid w:val="00553343"/>
    <w:rsid w:val="005536C3"/>
    <w:rsid w:val="005537F9"/>
    <w:rsid w:val="00553CC3"/>
    <w:rsid w:val="00553D71"/>
    <w:rsid w:val="00554037"/>
    <w:rsid w:val="005542DC"/>
    <w:rsid w:val="0055439D"/>
    <w:rsid w:val="005545EA"/>
    <w:rsid w:val="00554DEA"/>
    <w:rsid w:val="005555A2"/>
    <w:rsid w:val="00555681"/>
    <w:rsid w:val="005557A7"/>
    <w:rsid w:val="00555972"/>
    <w:rsid w:val="0055598B"/>
    <w:rsid w:val="00555B41"/>
    <w:rsid w:val="00555C8C"/>
    <w:rsid w:val="00555CD9"/>
    <w:rsid w:val="00555E66"/>
    <w:rsid w:val="00555F58"/>
    <w:rsid w:val="00555FAC"/>
    <w:rsid w:val="0055635B"/>
    <w:rsid w:val="005567D9"/>
    <w:rsid w:val="00556911"/>
    <w:rsid w:val="00556A65"/>
    <w:rsid w:val="00556B42"/>
    <w:rsid w:val="00556D3C"/>
    <w:rsid w:val="00556FB1"/>
    <w:rsid w:val="00557109"/>
    <w:rsid w:val="0055751E"/>
    <w:rsid w:val="005575FC"/>
    <w:rsid w:val="00557986"/>
    <w:rsid w:val="00557BD9"/>
    <w:rsid w:val="00557BFF"/>
    <w:rsid w:val="00557DE8"/>
    <w:rsid w:val="00557F2A"/>
    <w:rsid w:val="00560118"/>
    <w:rsid w:val="0056014A"/>
    <w:rsid w:val="0056065B"/>
    <w:rsid w:val="005607F1"/>
    <w:rsid w:val="00560BB3"/>
    <w:rsid w:val="00560D9C"/>
    <w:rsid w:val="00560EF6"/>
    <w:rsid w:val="00561251"/>
    <w:rsid w:val="0056129E"/>
    <w:rsid w:val="005612F0"/>
    <w:rsid w:val="0056141F"/>
    <w:rsid w:val="00561447"/>
    <w:rsid w:val="00561875"/>
    <w:rsid w:val="005621C1"/>
    <w:rsid w:val="00562540"/>
    <w:rsid w:val="005627B8"/>
    <w:rsid w:val="005628BB"/>
    <w:rsid w:val="005628F3"/>
    <w:rsid w:val="00562DB0"/>
    <w:rsid w:val="00562E2A"/>
    <w:rsid w:val="00562EDA"/>
    <w:rsid w:val="00562FA4"/>
    <w:rsid w:val="005630C0"/>
    <w:rsid w:val="005630EB"/>
    <w:rsid w:val="00563148"/>
    <w:rsid w:val="0056341B"/>
    <w:rsid w:val="00563935"/>
    <w:rsid w:val="00563C6F"/>
    <w:rsid w:val="00563D10"/>
    <w:rsid w:val="00564157"/>
    <w:rsid w:val="005643CE"/>
    <w:rsid w:val="005646F0"/>
    <w:rsid w:val="005646F4"/>
    <w:rsid w:val="00564CDE"/>
    <w:rsid w:val="00564D02"/>
    <w:rsid w:val="00564F21"/>
    <w:rsid w:val="00565328"/>
    <w:rsid w:val="0056589F"/>
    <w:rsid w:val="00565902"/>
    <w:rsid w:val="00566070"/>
    <w:rsid w:val="00566120"/>
    <w:rsid w:val="00566370"/>
    <w:rsid w:val="0056654A"/>
    <w:rsid w:val="00566B78"/>
    <w:rsid w:val="00566BAC"/>
    <w:rsid w:val="00566D9C"/>
    <w:rsid w:val="00566EB0"/>
    <w:rsid w:val="00567290"/>
    <w:rsid w:val="00567385"/>
    <w:rsid w:val="00567446"/>
    <w:rsid w:val="00567589"/>
    <w:rsid w:val="00567933"/>
    <w:rsid w:val="0056796B"/>
    <w:rsid w:val="00567FBD"/>
    <w:rsid w:val="005703CD"/>
    <w:rsid w:val="00570400"/>
    <w:rsid w:val="00570849"/>
    <w:rsid w:val="00570885"/>
    <w:rsid w:val="00570B91"/>
    <w:rsid w:val="00570F34"/>
    <w:rsid w:val="00571155"/>
    <w:rsid w:val="005712C5"/>
    <w:rsid w:val="0057152F"/>
    <w:rsid w:val="005716D1"/>
    <w:rsid w:val="00571AE3"/>
    <w:rsid w:val="00571BC3"/>
    <w:rsid w:val="00571CCF"/>
    <w:rsid w:val="00571D9F"/>
    <w:rsid w:val="00571DCC"/>
    <w:rsid w:val="00571FCD"/>
    <w:rsid w:val="0057263E"/>
    <w:rsid w:val="00572A7C"/>
    <w:rsid w:val="00572F60"/>
    <w:rsid w:val="005732D1"/>
    <w:rsid w:val="005732F9"/>
    <w:rsid w:val="0057332F"/>
    <w:rsid w:val="00573556"/>
    <w:rsid w:val="00573713"/>
    <w:rsid w:val="00573CE0"/>
    <w:rsid w:val="00573D2F"/>
    <w:rsid w:val="00573F46"/>
    <w:rsid w:val="0057411A"/>
    <w:rsid w:val="0057414F"/>
    <w:rsid w:val="005743DB"/>
    <w:rsid w:val="005743FD"/>
    <w:rsid w:val="00574615"/>
    <w:rsid w:val="005746FE"/>
    <w:rsid w:val="00574713"/>
    <w:rsid w:val="005747A0"/>
    <w:rsid w:val="00574A4F"/>
    <w:rsid w:val="00574B44"/>
    <w:rsid w:val="00574C5A"/>
    <w:rsid w:val="00575364"/>
    <w:rsid w:val="0057542A"/>
    <w:rsid w:val="00575477"/>
    <w:rsid w:val="0057549E"/>
    <w:rsid w:val="00575591"/>
    <w:rsid w:val="00575DA7"/>
    <w:rsid w:val="00575DC9"/>
    <w:rsid w:val="00575E08"/>
    <w:rsid w:val="00575E4F"/>
    <w:rsid w:val="005763D1"/>
    <w:rsid w:val="00576786"/>
    <w:rsid w:val="005769F7"/>
    <w:rsid w:val="00576E59"/>
    <w:rsid w:val="00576F62"/>
    <w:rsid w:val="0057730B"/>
    <w:rsid w:val="005774FE"/>
    <w:rsid w:val="00577598"/>
    <w:rsid w:val="00577742"/>
    <w:rsid w:val="005778F7"/>
    <w:rsid w:val="00577B43"/>
    <w:rsid w:val="00577F74"/>
    <w:rsid w:val="00577FB3"/>
    <w:rsid w:val="00577FBD"/>
    <w:rsid w:val="0058041F"/>
    <w:rsid w:val="00580A9E"/>
    <w:rsid w:val="00580BA8"/>
    <w:rsid w:val="0058100F"/>
    <w:rsid w:val="00581351"/>
    <w:rsid w:val="00581604"/>
    <w:rsid w:val="005817B8"/>
    <w:rsid w:val="00581833"/>
    <w:rsid w:val="00581898"/>
    <w:rsid w:val="005819C8"/>
    <w:rsid w:val="005819F8"/>
    <w:rsid w:val="00581D5C"/>
    <w:rsid w:val="00581F2E"/>
    <w:rsid w:val="00581F92"/>
    <w:rsid w:val="00582025"/>
    <w:rsid w:val="00582445"/>
    <w:rsid w:val="00582713"/>
    <w:rsid w:val="00582C19"/>
    <w:rsid w:val="00582CF2"/>
    <w:rsid w:val="005830A7"/>
    <w:rsid w:val="0058314D"/>
    <w:rsid w:val="00583302"/>
    <w:rsid w:val="00583446"/>
    <w:rsid w:val="00583481"/>
    <w:rsid w:val="005836BF"/>
    <w:rsid w:val="00583E0B"/>
    <w:rsid w:val="00583FFB"/>
    <w:rsid w:val="005841DD"/>
    <w:rsid w:val="005843DE"/>
    <w:rsid w:val="005844B1"/>
    <w:rsid w:val="0058452B"/>
    <w:rsid w:val="00584899"/>
    <w:rsid w:val="005848BB"/>
    <w:rsid w:val="005848FC"/>
    <w:rsid w:val="00585273"/>
    <w:rsid w:val="005852BD"/>
    <w:rsid w:val="005853D1"/>
    <w:rsid w:val="005859EC"/>
    <w:rsid w:val="00585C0B"/>
    <w:rsid w:val="00585D09"/>
    <w:rsid w:val="00585D88"/>
    <w:rsid w:val="00585EB5"/>
    <w:rsid w:val="00585EE8"/>
    <w:rsid w:val="00586093"/>
    <w:rsid w:val="005860CD"/>
    <w:rsid w:val="005860DB"/>
    <w:rsid w:val="00586455"/>
    <w:rsid w:val="00586610"/>
    <w:rsid w:val="00586733"/>
    <w:rsid w:val="00586A11"/>
    <w:rsid w:val="00586B23"/>
    <w:rsid w:val="00586BCE"/>
    <w:rsid w:val="00586EBC"/>
    <w:rsid w:val="00586F9E"/>
    <w:rsid w:val="00587103"/>
    <w:rsid w:val="0058748C"/>
    <w:rsid w:val="00587596"/>
    <w:rsid w:val="00587C81"/>
    <w:rsid w:val="00587D93"/>
    <w:rsid w:val="00587F23"/>
    <w:rsid w:val="00587F78"/>
    <w:rsid w:val="0059031C"/>
    <w:rsid w:val="005903EF"/>
    <w:rsid w:val="00590436"/>
    <w:rsid w:val="00590483"/>
    <w:rsid w:val="005907F3"/>
    <w:rsid w:val="00590CEB"/>
    <w:rsid w:val="00590D4E"/>
    <w:rsid w:val="00590E6E"/>
    <w:rsid w:val="00590F58"/>
    <w:rsid w:val="0059137D"/>
    <w:rsid w:val="00591406"/>
    <w:rsid w:val="0059155E"/>
    <w:rsid w:val="00591667"/>
    <w:rsid w:val="00591A57"/>
    <w:rsid w:val="00591A66"/>
    <w:rsid w:val="00591A93"/>
    <w:rsid w:val="00591AA0"/>
    <w:rsid w:val="00591C13"/>
    <w:rsid w:val="00591FE8"/>
    <w:rsid w:val="0059248F"/>
    <w:rsid w:val="0059255B"/>
    <w:rsid w:val="005928A2"/>
    <w:rsid w:val="00592B51"/>
    <w:rsid w:val="00592C8B"/>
    <w:rsid w:val="00592D75"/>
    <w:rsid w:val="00592E6C"/>
    <w:rsid w:val="0059311E"/>
    <w:rsid w:val="00593161"/>
    <w:rsid w:val="005931F6"/>
    <w:rsid w:val="00593412"/>
    <w:rsid w:val="005935DC"/>
    <w:rsid w:val="00593627"/>
    <w:rsid w:val="005936E8"/>
    <w:rsid w:val="0059372B"/>
    <w:rsid w:val="00593BF7"/>
    <w:rsid w:val="00593CF1"/>
    <w:rsid w:val="00593E32"/>
    <w:rsid w:val="00593FBE"/>
    <w:rsid w:val="00594025"/>
    <w:rsid w:val="00594052"/>
    <w:rsid w:val="005940DB"/>
    <w:rsid w:val="005942D3"/>
    <w:rsid w:val="005942EF"/>
    <w:rsid w:val="00594302"/>
    <w:rsid w:val="00594753"/>
    <w:rsid w:val="0059495B"/>
    <w:rsid w:val="0059498B"/>
    <w:rsid w:val="00594AB5"/>
    <w:rsid w:val="00594B86"/>
    <w:rsid w:val="00594C0C"/>
    <w:rsid w:val="00594CFD"/>
    <w:rsid w:val="00594D3E"/>
    <w:rsid w:val="00594FFA"/>
    <w:rsid w:val="00595480"/>
    <w:rsid w:val="0059559D"/>
    <w:rsid w:val="005957F6"/>
    <w:rsid w:val="00595812"/>
    <w:rsid w:val="00595A18"/>
    <w:rsid w:val="00595F38"/>
    <w:rsid w:val="00595FAB"/>
    <w:rsid w:val="0059618C"/>
    <w:rsid w:val="00596260"/>
    <w:rsid w:val="005963C3"/>
    <w:rsid w:val="005967D7"/>
    <w:rsid w:val="0059682F"/>
    <w:rsid w:val="005969FB"/>
    <w:rsid w:val="00596A11"/>
    <w:rsid w:val="00596A44"/>
    <w:rsid w:val="00596A4F"/>
    <w:rsid w:val="00596AE3"/>
    <w:rsid w:val="00596BF1"/>
    <w:rsid w:val="00596C8F"/>
    <w:rsid w:val="00596CF7"/>
    <w:rsid w:val="00596E6F"/>
    <w:rsid w:val="00596F65"/>
    <w:rsid w:val="00596FCA"/>
    <w:rsid w:val="005970F2"/>
    <w:rsid w:val="005971BD"/>
    <w:rsid w:val="005971CA"/>
    <w:rsid w:val="005971FB"/>
    <w:rsid w:val="00597219"/>
    <w:rsid w:val="005973E4"/>
    <w:rsid w:val="0059754A"/>
    <w:rsid w:val="005976E2"/>
    <w:rsid w:val="00597808"/>
    <w:rsid w:val="005978AE"/>
    <w:rsid w:val="0059796B"/>
    <w:rsid w:val="005A02F1"/>
    <w:rsid w:val="005A04B2"/>
    <w:rsid w:val="005A055A"/>
    <w:rsid w:val="005A056D"/>
    <w:rsid w:val="005A076C"/>
    <w:rsid w:val="005A0800"/>
    <w:rsid w:val="005A0AE5"/>
    <w:rsid w:val="005A1037"/>
    <w:rsid w:val="005A1386"/>
    <w:rsid w:val="005A14B2"/>
    <w:rsid w:val="005A17EC"/>
    <w:rsid w:val="005A18FB"/>
    <w:rsid w:val="005A1944"/>
    <w:rsid w:val="005A1AE9"/>
    <w:rsid w:val="005A1D39"/>
    <w:rsid w:val="005A1EF6"/>
    <w:rsid w:val="005A1F68"/>
    <w:rsid w:val="005A213F"/>
    <w:rsid w:val="005A2426"/>
    <w:rsid w:val="005A243D"/>
    <w:rsid w:val="005A26E4"/>
    <w:rsid w:val="005A27E3"/>
    <w:rsid w:val="005A2854"/>
    <w:rsid w:val="005A2C49"/>
    <w:rsid w:val="005A2D2B"/>
    <w:rsid w:val="005A2D64"/>
    <w:rsid w:val="005A30CD"/>
    <w:rsid w:val="005A3152"/>
    <w:rsid w:val="005A33B2"/>
    <w:rsid w:val="005A3436"/>
    <w:rsid w:val="005A3506"/>
    <w:rsid w:val="005A351E"/>
    <w:rsid w:val="005A3874"/>
    <w:rsid w:val="005A3B34"/>
    <w:rsid w:val="005A3B90"/>
    <w:rsid w:val="005A3BDA"/>
    <w:rsid w:val="005A3EF5"/>
    <w:rsid w:val="005A4183"/>
    <w:rsid w:val="005A41B4"/>
    <w:rsid w:val="005A43A5"/>
    <w:rsid w:val="005A44F7"/>
    <w:rsid w:val="005A4614"/>
    <w:rsid w:val="005A464F"/>
    <w:rsid w:val="005A46B3"/>
    <w:rsid w:val="005A471C"/>
    <w:rsid w:val="005A4B83"/>
    <w:rsid w:val="005A4BAD"/>
    <w:rsid w:val="005A4BAF"/>
    <w:rsid w:val="005A4BCF"/>
    <w:rsid w:val="005A4D65"/>
    <w:rsid w:val="005A4E04"/>
    <w:rsid w:val="005A4FDE"/>
    <w:rsid w:val="005A504C"/>
    <w:rsid w:val="005A57D3"/>
    <w:rsid w:val="005A5B22"/>
    <w:rsid w:val="005A5B7A"/>
    <w:rsid w:val="005A5DC8"/>
    <w:rsid w:val="005A6078"/>
    <w:rsid w:val="005A60D5"/>
    <w:rsid w:val="005A6766"/>
    <w:rsid w:val="005A679B"/>
    <w:rsid w:val="005A67BC"/>
    <w:rsid w:val="005A6BD7"/>
    <w:rsid w:val="005A71E4"/>
    <w:rsid w:val="005A7346"/>
    <w:rsid w:val="005A75E0"/>
    <w:rsid w:val="005A7950"/>
    <w:rsid w:val="005A7BD7"/>
    <w:rsid w:val="005A7F7E"/>
    <w:rsid w:val="005B00B8"/>
    <w:rsid w:val="005B0331"/>
    <w:rsid w:val="005B044D"/>
    <w:rsid w:val="005B045C"/>
    <w:rsid w:val="005B04FF"/>
    <w:rsid w:val="005B0609"/>
    <w:rsid w:val="005B0A7D"/>
    <w:rsid w:val="005B0C95"/>
    <w:rsid w:val="005B0EB0"/>
    <w:rsid w:val="005B13F4"/>
    <w:rsid w:val="005B1597"/>
    <w:rsid w:val="005B17BB"/>
    <w:rsid w:val="005B17C7"/>
    <w:rsid w:val="005B1890"/>
    <w:rsid w:val="005B1C9C"/>
    <w:rsid w:val="005B1DC4"/>
    <w:rsid w:val="005B2043"/>
    <w:rsid w:val="005B25EF"/>
    <w:rsid w:val="005B2C2E"/>
    <w:rsid w:val="005B2C36"/>
    <w:rsid w:val="005B2C89"/>
    <w:rsid w:val="005B2CB0"/>
    <w:rsid w:val="005B3027"/>
    <w:rsid w:val="005B3033"/>
    <w:rsid w:val="005B3051"/>
    <w:rsid w:val="005B30AD"/>
    <w:rsid w:val="005B3169"/>
    <w:rsid w:val="005B33DF"/>
    <w:rsid w:val="005B3758"/>
    <w:rsid w:val="005B3798"/>
    <w:rsid w:val="005B3B52"/>
    <w:rsid w:val="005B3EEA"/>
    <w:rsid w:val="005B41C1"/>
    <w:rsid w:val="005B4365"/>
    <w:rsid w:val="005B45F3"/>
    <w:rsid w:val="005B4861"/>
    <w:rsid w:val="005B48AF"/>
    <w:rsid w:val="005B4D5D"/>
    <w:rsid w:val="005B4D6E"/>
    <w:rsid w:val="005B4ED4"/>
    <w:rsid w:val="005B4FB3"/>
    <w:rsid w:val="005B5022"/>
    <w:rsid w:val="005B52AC"/>
    <w:rsid w:val="005B5394"/>
    <w:rsid w:val="005B5488"/>
    <w:rsid w:val="005B5610"/>
    <w:rsid w:val="005B582A"/>
    <w:rsid w:val="005B5CCB"/>
    <w:rsid w:val="005B60B5"/>
    <w:rsid w:val="005B6434"/>
    <w:rsid w:val="005B6438"/>
    <w:rsid w:val="005B6575"/>
    <w:rsid w:val="005B65CA"/>
    <w:rsid w:val="005B68D2"/>
    <w:rsid w:val="005B6A98"/>
    <w:rsid w:val="005B6B53"/>
    <w:rsid w:val="005B6DF6"/>
    <w:rsid w:val="005B71B1"/>
    <w:rsid w:val="005B7200"/>
    <w:rsid w:val="005B7395"/>
    <w:rsid w:val="005B761F"/>
    <w:rsid w:val="005B7784"/>
    <w:rsid w:val="005B7CDD"/>
    <w:rsid w:val="005C064F"/>
    <w:rsid w:val="005C0996"/>
    <w:rsid w:val="005C0F28"/>
    <w:rsid w:val="005C1207"/>
    <w:rsid w:val="005C14A4"/>
    <w:rsid w:val="005C1755"/>
    <w:rsid w:val="005C176A"/>
    <w:rsid w:val="005C17D3"/>
    <w:rsid w:val="005C1A49"/>
    <w:rsid w:val="005C1CCF"/>
    <w:rsid w:val="005C1F59"/>
    <w:rsid w:val="005C209A"/>
    <w:rsid w:val="005C212A"/>
    <w:rsid w:val="005C21B5"/>
    <w:rsid w:val="005C22A5"/>
    <w:rsid w:val="005C2545"/>
    <w:rsid w:val="005C2677"/>
    <w:rsid w:val="005C293A"/>
    <w:rsid w:val="005C2B3F"/>
    <w:rsid w:val="005C2BE9"/>
    <w:rsid w:val="005C2C43"/>
    <w:rsid w:val="005C2C7C"/>
    <w:rsid w:val="005C2D65"/>
    <w:rsid w:val="005C33D8"/>
    <w:rsid w:val="005C33F8"/>
    <w:rsid w:val="005C3460"/>
    <w:rsid w:val="005C3494"/>
    <w:rsid w:val="005C362B"/>
    <w:rsid w:val="005C37E1"/>
    <w:rsid w:val="005C384B"/>
    <w:rsid w:val="005C38CB"/>
    <w:rsid w:val="005C3BD7"/>
    <w:rsid w:val="005C3DC9"/>
    <w:rsid w:val="005C41D2"/>
    <w:rsid w:val="005C4202"/>
    <w:rsid w:val="005C4256"/>
    <w:rsid w:val="005C46E8"/>
    <w:rsid w:val="005C4723"/>
    <w:rsid w:val="005C4B91"/>
    <w:rsid w:val="005C4D15"/>
    <w:rsid w:val="005C4FBF"/>
    <w:rsid w:val="005C5466"/>
    <w:rsid w:val="005C5486"/>
    <w:rsid w:val="005C57D2"/>
    <w:rsid w:val="005C59C8"/>
    <w:rsid w:val="005C5B24"/>
    <w:rsid w:val="005C5BCF"/>
    <w:rsid w:val="005C5EC3"/>
    <w:rsid w:val="005C600F"/>
    <w:rsid w:val="005C6107"/>
    <w:rsid w:val="005C6150"/>
    <w:rsid w:val="005C61FF"/>
    <w:rsid w:val="005C6202"/>
    <w:rsid w:val="005C6352"/>
    <w:rsid w:val="005C6369"/>
    <w:rsid w:val="005C6385"/>
    <w:rsid w:val="005C71DD"/>
    <w:rsid w:val="005C7212"/>
    <w:rsid w:val="005C72A9"/>
    <w:rsid w:val="005C7488"/>
    <w:rsid w:val="005C7549"/>
    <w:rsid w:val="005C7815"/>
    <w:rsid w:val="005C785E"/>
    <w:rsid w:val="005C7941"/>
    <w:rsid w:val="005C7A49"/>
    <w:rsid w:val="005C7AE5"/>
    <w:rsid w:val="005C7FDE"/>
    <w:rsid w:val="005D02C4"/>
    <w:rsid w:val="005D04DE"/>
    <w:rsid w:val="005D062D"/>
    <w:rsid w:val="005D07B8"/>
    <w:rsid w:val="005D0827"/>
    <w:rsid w:val="005D0BC1"/>
    <w:rsid w:val="005D0D71"/>
    <w:rsid w:val="005D1096"/>
    <w:rsid w:val="005D122F"/>
    <w:rsid w:val="005D13B5"/>
    <w:rsid w:val="005D1412"/>
    <w:rsid w:val="005D1717"/>
    <w:rsid w:val="005D17A0"/>
    <w:rsid w:val="005D1971"/>
    <w:rsid w:val="005D1C7E"/>
    <w:rsid w:val="005D1CEC"/>
    <w:rsid w:val="005D1FC2"/>
    <w:rsid w:val="005D1FCB"/>
    <w:rsid w:val="005D253A"/>
    <w:rsid w:val="005D2BCD"/>
    <w:rsid w:val="005D2C5C"/>
    <w:rsid w:val="005D2F1C"/>
    <w:rsid w:val="005D33ED"/>
    <w:rsid w:val="005D3605"/>
    <w:rsid w:val="005D386E"/>
    <w:rsid w:val="005D3946"/>
    <w:rsid w:val="005D3A57"/>
    <w:rsid w:val="005D3C40"/>
    <w:rsid w:val="005D3CA2"/>
    <w:rsid w:val="005D3E72"/>
    <w:rsid w:val="005D4785"/>
    <w:rsid w:val="005D4816"/>
    <w:rsid w:val="005D486E"/>
    <w:rsid w:val="005D4915"/>
    <w:rsid w:val="005D4B5D"/>
    <w:rsid w:val="005D4EA2"/>
    <w:rsid w:val="005D5219"/>
    <w:rsid w:val="005D550E"/>
    <w:rsid w:val="005D5512"/>
    <w:rsid w:val="005D57EE"/>
    <w:rsid w:val="005D5809"/>
    <w:rsid w:val="005D5858"/>
    <w:rsid w:val="005D591C"/>
    <w:rsid w:val="005D5943"/>
    <w:rsid w:val="005D5AD4"/>
    <w:rsid w:val="005D5F13"/>
    <w:rsid w:val="005D601D"/>
    <w:rsid w:val="005D63D2"/>
    <w:rsid w:val="005D6648"/>
    <w:rsid w:val="005D6A1B"/>
    <w:rsid w:val="005D6BC4"/>
    <w:rsid w:val="005D6ED5"/>
    <w:rsid w:val="005D6F87"/>
    <w:rsid w:val="005D6F88"/>
    <w:rsid w:val="005D7116"/>
    <w:rsid w:val="005D71E8"/>
    <w:rsid w:val="005D7279"/>
    <w:rsid w:val="005D740F"/>
    <w:rsid w:val="005D77DA"/>
    <w:rsid w:val="005D7803"/>
    <w:rsid w:val="005D79F8"/>
    <w:rsid w:val="005D7B33"/>
    <w:rsid w:val="005E0514"/>
    <w:rsid w:val="005E059D"/>
    <w:rsid w:val="005E0AC4"/>
    <w:rsid w:val="005E0DC9"/>
    <w:rsid w:val="005E0F49"/>
    <w:rsid w:val="005E101A"/>
    <w:rsid w:val="005E116C"/>
    <w:rsid w:val="005E162C"/>
    <w:rsid w:val="005E1670"/>
    <w:rsid w:val="005E171B"/>
    <w:rsid w:val="005E20E1"/>
    <w:rsid w:val="005E22F1"/>
    <w:rsid w:val="005E234F"/>
    <w:rsid w:val="005E25A9"/>
    <w:rsid w:val="005E25C9"/>
    <w:rsid w:val="005E25E8"/>
    <w:rsid w:val="005E2607"/>
    <w:rsid w:val="005E266C"/>
    <w:rsid w:val="005E269B"/>
    <w:rsid w:val="005E2ACE"/>
    <w:rsid w:val="005E2B66"/>
    <w:rsid w:val="005E2CCD"/>
    <w:rsid w:val="005E2D21"/>
    <w:rsid w:val="005E2E6A"/>
    <w:rsid w:val="005E311C"/>
    <w:rsid w:val="005E311F"/>
    <w:rsid w:val="005E3151"/>
    <w:rsid w:val="005E325D"/>
    <w:rsid w:val="005E3260"/>
    <w:rsid w:val="005E3501"/>
    <w:rsid w:val="005E3EF4"/>
    <w:rsid w:val="005E3F8C"/>
    <w:rsid w:val="005E43EF"/>
    <w:rsid w:val="005E47BD"/>
    <w:rsid w:val="005E4AF8"/>
    <w:rsid w:val="005E4B93"/>
    <w:rsid w:val="005E4EE7"/>
    <w:rsid w:val="005E5001"/>
    <w:rsid w:val="005E53BB"/>
    <w:rsid w:val="005E54BE"/>
    <w:rsid w:val="005E5AE2"/>
    <w:rsid w:val="005E5E86"/>
    <w:rsid w:val="005E6166"/>
    <w:rsid w:val="005E6908"/>
    <w:rsid w:val="005E6C17"/>
    <w:rsid w:val="005E6D6D"/>
    <w:rsid w:val="005E6E6E"/>
    <w:rsid w:val="005E713C"/>
    <w:rsid w:val="005E7168"/>
    <w:rsid w:val="005E7198"/>
    <w:rsid w:val="005E7487"/>
    <w:rsid w:val="005E7A8C"/>
    <w:rsid w:val="005F00F1"/>
    <w:rsid w:val="005F02BE"/>
    <w:rsid w:val="005F02DA"/>
    <w:rsid w:val="005F0368"/>
    <w:rsid w:val="005F038A"/>
    <w:rsid w:val="005F0639"/>
    <w:rsid w:val="005F06B0"/>
    <w:rsid w:val="005F0C90"/>
    <w:rsid w:val="005F0C91"/>
    <w:rsid w:val="005F0D66"/>
    <w:rsid w:val="005F0E41"/>
    <w:rsid w:val="005F0E80"/>
    <w:rsid w:val="005F1052"/>
    <w:rsid w:val="005F111D"/>
    <w:rsid w:val="005F1476"/>
    <w:rsid w:val="005F15A2"/>
    <w:rsid w:val="005F1882"/>
    <w:rsid w:val="005F19E8"/>
    <w:rsid w:val="005F1BA2"/>
    <w:rsid w:val="005F1BAC"/>
    <w:rsid w:val="005F1D08"/>
    <w:rsid w:val="005F1FD9"/>
    <w:rsid w:val="005F217A"/>
    <w:rsid w:val="005F2284"/>
    <w:rsid w:val="005F2337"/>
    <w:rsid w:val="005F238E"/>
    <w:rsid w:val="005F2709"/>
    <w:rsid w:val="005F2771"/>
    <w:rsid w:val="005F27B8"/>
    <w:rsid w:val="005F2B84"/>
    <w:rsid w:val="005F2C84"/>
    <w:rsid w:val="005F2D43"/>
    <w:rsid w:val="005F32E0"/>
    <w:rsid w:val="005F32FE"/>
    <w:rsid w:val="005F3379"/>
    <w:rsid w:val="005F3892"/>
    <w:rsid w:val="005F3940"/>
    <w:rsid w:val="005F3BE6"/>
    <w:rsid w:val="005F3C74"/>
    <w:rsid w:val="005F3D7B"/>
    <w:rsid w:val="005F3F0B"/>
    <w:rsid w:val="005F3FBE"/>
    <w:rsid w:val="005F43F1"/>
    <w:rsid w:val="005F4D9B"/>
    <w:rsid w:val="005F507F"/>
    <w:rsid w:val="005F50CD"/>
    <w:rsid w:val="005F51B2"/>
    <w:rsid w:val="005F525A"/>
    <w:rsid w:val="005F54F5"/>
    <w:rsid w:val="005F5518"/>
    <w:rsid w:val="005F56CD"/>
    <w:rsid w:val="005F57A0"/>
    <w:rsid w:val="005F5E14"/>
    <w:rsid w:val="005F5E20"/>
    <w:rsid w:val="005F6104"/>
    <w:rsid w:val="005F65BD"/>
    <w:rsid w:val="005F675D"/>
    <w:rsid w:val="005F689B"/>
    <w:rsid w:val="005F68F3"/>
    <w:rsid w:val="005F68FD"/>
    <w:rsid w:val="005F6BED"/>
    <w:rsid w:val="005F6DBD"/>
    <w:rsid w:val="005F6EF8"/>
    <w:rsid w:val="005F7052"/>
    <w:rsid w:val="005F73BA"/>
    <w:rsid w:val="005F7466"/>
    <w:rsid w:val="005F74C0"/>
    <w:rsid w:val="005F74EB"/>
    <w:rsid w:val="005F7565"/>
    <w:rsid w:val="005F7738"/>
    <w:rsid w:val="005F78DE"/>
    <w:rsid w:val="005F7C6F"/>
    <w:rsid w:val="005F7D5A"/>
    <w:rsid w:val="005F7E3D"/>
    <w:rsid w:val="0060024B"/>
    <w:rsid w:val="00600312"/>
    <w:rsid w:val="00600772"/>
    <w:rsid w:val="00600B28"/>
    <w:rsid w:val="00600B90"/>
    <w:rsid w:val="00600C2D"/>
    <w:rsid w:val="00600E11"/>
    <w:rsid w:val="00600F3A"/>
    <w:rsid w:val="0060106B"/>
    <w:rsid w:val="00601234"/>
    <w:rsid w:val="006014C6"/>
    <w:rsid w:val="006015F8"/>
    <w:rsid w:val="00601619"/>
    <w:rsid w:val="00601792"/>
    <w:rsid w:val="0060197A"/>
    <w:rsid w:val="006019D5"/>
    <w:rsid w:val="00602241"/>
    <w:rsid w:val="006026AD"/>
    <w:rsid w:val="00602A18"/>
    <w:rsid w:val="00602A66"/>
    <w:rsid w:val="00602C26"/>
    <w:rsid w:val="00602CF1"/>
    <w:rsid w:val="0060320D"/>
    <w:rsid w:val="00603288"/>
    <w:rsid w:val="00603292"/>
    <w:rsid w:val="006032A8"/>
    <w:rsid w:val="0060346E"/>
    <w:rsid w:val="006035A5"/>
    <w:rsid w:val="006037A4"/>
    <w:rsid w:val="00603C2A"/>
    <w:rsid w:val="0060412B"/>
    <w:rsid w:val="0060443D"/>
    <w:rsid w:val="00604792"/>
    <w:rsid w:val="0060485B"/>
    <w:rsid w:val="006050FD"/>
    <w:rsid w:val="00605199"/>
    <w:rsid w:val="006053BE"/>
    <w:rsid w:val="00605554"/>
    <w:rsid w:val="006057D8"/>
    <w:rsid w:val="006058ED"/>
    <w:rsid w:val="00605960"/>
    <w:rsid w:val="00605B92"/>
    <w:rsid w:val="00605DBD"/>
    <w:rsid w:val="00605EDE"/>
    <w:rsid w:val="0060611B"/>
    <w:rsid w:val="00606153"/>
    <w:rsid w:val="00606259"/>
    <w:rsid w:val="0060626A"/>
    <w:rsid w:val="00606288"/>
    <w:rsid w:val="00606516"/>
    <w:rsid w:val="0060687F"/>
    <w:rsid w:val="00606ABF"/>
    <w:rsid w:val="00606BF7"/>
    <w:rsid w:val="00606D0F"/>
    <w:rsid w:val="00606D98"/>
    <w:rsid w:val="00606F75"/>
    <w:rsid w:val="00607138"/>
    <w:rsid w:val="0060722E"/>
    <w:rsid w:val="006074A1"/>
    <w:rsid w:val="006076E0"/>
    <w:rsid w:val="00607BA4"/>
    <w:rsid w:val="00607DC5"/>
    <w:rsid w:val="00607DDA"/>
    <w:rsid w:val="00607FF4"/>
    <w:rsid w:val="006100DB"/>
    <w:rsid w:val="006102DF"/>
    <w:rsid w:val="0061032D"/>
    <w:rsid w:val="006103D2"/>
    <w:rsid w:val="006105E5"/>
    <w:rsid w:val="00610642"/>
    <w:rsid w:val="00610BCC"/>
    <w:rsid w:val="00610D4C"/>
    <w:rsid w:val="00610F9D"/>
    <w:rsid w:val="00611130"/>
    <w:rsid w:val="0061130E"/>
    <w:rsid w:val="00611337"/>
    <w:rsid w:val="0061141F"/>
    <w:rsid w:val="00611C19"/>
    <w:rsid w:val="00611CD9"/>
    <w:rsid w:val="00611F49"/>
    <w:rsid w:val="00611FC5"/>
    <w:rsid w:val="0061214B"/>
    <w:rsid w:val="00612211"/>
    <w:rsid w:val="00612671"/>
    <w:rsid w:val="006126B6"/>
    <w:rsid w:val="00612734"/>
    <w:rsid w:val="00612776"/>
    <w:rsid w:val="00612928"/>
    <w:rsid w:val="00612D7A"/>
    <w:rsid w:val="00612FB3"/>
    <w:rsid w:val="00613025"/>
    <w:rsid w:val="006134D8"/>
    <w:rsid w:val="00613751"/>
    <w:rsid w:val="006138A8"/>
    <w:rsid w:val="0061395E"/>
    <w:rsid w:val="00613A08"/>
    <w:rsid w:val="00613A77"/>
    <w:rsid w:val="00613BDA"/>
    <w:rsid w:val="00613EFE"/>
    <w:rsid w:val="0061408E"/>
    <w:rsid w:val="00614162"/>
    <w:rsid w:val="006143B2"/>
    <w:rsid w:val="006144D1"/>
    <w:rsid w:val="006145C0"/>
    <w:rsid w:val="006145F2"/>
    <w:rsid w:val="00614B66"/>
    <w:rsid w:val="006153EE"/>
    <w:rsid w:val="00615DFB"/>
    <w:rsid w:val="00615E90"/>
    <w:rsid w:val="00615F56"/>
    <w:rsid w:val="00616124"/>
    <w:rsid w:val="006161C4"/>
    <w:rsid w:val="006162DA"/>
    <w:rsid w:val="006163E3"/>
    <w:rsid w:val="0061644A"/>
    <w:rsid w:val="00616579"/>
    <w:rsid w:val="00616980"/>
    <w:rsid w:val="00616BD6"/>
    <w:rsid w:val="00616DE6"/>
    <w:rsid w:val="00616E98"/>
    <w:rsid w:val="00616F6D"/>
    <w:rsid w:val="00617016"/>
    <w:rsid w:val="006170AB"/>
    <w:rsid w:val="00617211"/>
    <w:rsid w:val="00617251"/>
    <w:rsid w:val="006172D0"/>
    <w:rsid w:val="00617305"/>
    <w:rsid w:val="006178E1"/>
    <w:rsid w:val="006179DC"/>
    <w:rsid w:val="00617A40"/>
    <w:rsid w:val="00617C05"/>
    <w:rsid w:val="00617C1F"/>
    <w:rsid w:val="00620008"/>
    <w:rsid w:val="006202B1"/>
    <w:rsid w:val="006203A0"/>
    <w:rsid w:val="00620562"/>
    <w:rsid w:val="0062070C"/>
    <w:rsid w:val="0062089C"/>
    <w:rsid w:val="006208A3"/>
    <w:rsid w:val="006209C5"/>
    <w:rsid w:val="00620A7B"/>
    <w:rsid w:val="00620CCA"/>
    <w:rsid w:val="00620F34"/>
    <w:rsid w:val="00621042"/>
    <w:rsid w:val="0062154D"/>
    <w:rsid w:val="006217A9"/>
    <w:rsid w:val="00621928"/>
    <w:rsid w:val="00621B52"/>
    <w:rsid w:val="006220B7"/>
    <w:rsid w:val="0062222D"/>
    <w:rsid w:val="00622449"/>
    <w:rsid w:val="00622476"/>
    <w:rsid w:val="00622B11"/>
    <w:rsid w:val="00622B40"/>
    <w:rsid w:val="00622B52"/>
    <w:rsid w:val="00622E2F"/>
    <w:rsid w:val="00623734"/>
    <w:rsid w:val="0062385A"/>
    <w:rsid w:val="00623868"/>
    <w:rsid w:val="00623939"/>
    <w:rsid w:val="00623ACD"/>
    <w:rsid w:val="00623D73"/>
    <w:rsid w:val="00623E44"/>
    <w:rsid w:val="006240F1"/>
    <w:rsid w:val="0062415C"/>
    <w:rsid w:val="00624260"/>
    <w:rsid w:val="006243AC"/>
    <w:rsid w:val="00624557"/>
    <w:rsid w:val="0062463F"/>
    <w:rsid w:val="00624938"/>
    <w:rsid w:val="00624AE5"/>
    <w:rsid w:val="00624AF0"/>
    <w:rsid w:val="00624BF7"/>
    <w:rsid w:val="00624C5E"/>
    <w:rsid w:val="00625320"/>
    <w:rsid w:val="0062544D"/>
    <w:rsid w:val="006254F8"/>
    <w:rsid w:val="0062582A"/>
    <w:rsid w:val="006258F5"/>
    <w:rsid w:val="00625982"/>
    <w:rsid w:val="00625BFC"/>
    <w:rsid w:val="006260F5"/>
    <w:rsid w:val="0062671A"/>
    <w:rsid w:val="00626937"/>
    <w:rsid w:val="00626A6C"/>
    <w:rsid w:val="00626C2E"/>
    <w:rsid w:val="00626FA9"/>
    <w:rsid w:val="00626FD7"/>
    <w:rsid w:val="00626FD8"/>
    <w:rsid w:val="006270AA"/>
    <w:rsid w:val="006271E4"/>
    <w:rsid w:val="006274C2"/>
    <w:rsid w:val="00627500"/>
    <w:rsid w:val="006277D3"/>
    <w:rsid w:val="00627B84"/>
    <w:rsid w:val="00627C1B"/>
    <w:rsid w:val="00627F13"/>
    <w:rsid w:val="00630012"/>
    <w:rsid w:val="006303FA"/>
    <w:rsid w:val="006303FC"/>
    <w:rsid w:val="006305D1"/>
    <w:rsid w:val="00630718"/>
    <w:rsid w:val="00630B22"/>
    <w:rsid w:val="00630B69"/>
    <w:rsid w:val="00630CD9"/>
    <w:rsid w:val="00630DCD"/>
    <w:rsid w:val="00630F83"/>
    <w:rsid w:val="006311EB"/>
    <w:rsid w:val="00631526"/>
    <w:rsid w:val="0063153B"/>
    <w:rsid w:val="00631620"/>
    <w:rsid w:val="00631665"/>
    <w:rsid w:val="00631698"/>
    <w:rsid w:val="00631C78"/>
    <w:rsid w:val="00632581"/>
    <w:rsid w:val="006326C2"/>
    <w:rsid w:val="00632711"/>
    <w:rsid w:val="006327A0"/>
    <w:rsid w:val="006327E7"/>
    <w:rsid w:val="00632A9B"/>
    <w:rsid w:val="00632B1B"/>
    <w:rsid w:val="00632D26"/>
    <w:rsid w:val="00632F89"/>
    <w:rsid w:val="006332AB"/>
    <w:rsid w:val="00633342"/>
    <w:rsid w:val="0063334A"/>
    <w:rsid w:val="006333DB"/>
    <w:rsid w:val="006335E9"/>
    <w:rsid w:val="00633670"/>
    <w:rsid w:val="0063373C"/>
    <w:rsid w:val="00633D20"/>
    <w:rsid w:val="006340A1"/>
    <w:rsid w:val="0063421D"/>
    <w:rsid w:val="006342A0"/>
    <w:rsid w:val="006342A3"/>
    <w:rsid w:val="006343DC"/>
    <w:rsid w:val="00634550"/>
    <w:rsid w:val="00634674"/>
    <w:rsid w:val="006346E2"/>
    <w:rsid w:val="0063471A"/>
    <w:rsid w:val="0063479D"/>
    <w:rsid w:val="00634852"/>
    <w:rsid w:val="006349AC"/>
    <w:rsid w:val="00634C36"/>
    <w:rsid w:val="00635020"/>
    <w:rsid w:val="0063506C"/>
    <w:rsid w:val="00635355"/>
    <w:rsid w:val="00635421"/>
    <w:rsid w:val="006354B1"/>
    <w:rsid w:val="00635601"/>
    <w:rsid w:val="00635611"/>
    <w:rsid w:val="006356F7"/>
    <w:rsid w:val="0063599E"/>
    <w:rsid w:val="006359FC"/>
    <w:rsid w:val="00635B2C"/>
    <w:rsid w:val="00635D18"/>
    <w:rsid w:val="00635D9D"/>
    <w:rsid w:val="00635DF5"/>
    <w:rsid w:val="006368C8"/>
    <w:rsid w:val="00636C1A"/>
    <w:rsid w:val="00636D5C"/>
    <w:rsid w:val="00636DEE"/>
    <w:rsid w:val="00636E0A"/>
    <w:rsid w:val="00637504"/>
    <w:rsid w:val="006375F0"/>
    <w:rsid w:val="0063764A"/>
    <w:rsid w:val="00637CB4"/>
    <w:rsid w:val="00637F13"/>
    <w:rsid w:val="006400E5"/>
    <w:rsid w:val="006400F0"/>
    <w:rsid w:val="00640240"/>
    <w:rsid w:val="00640490"/>
    <w:rsid w:val="0064056C"/>
    <w:rsid w:val="00640A6D"/>
    <w:rsid w:val="00640BBE"/>
    <w:rsid w:val="00640C86"/>
    <w:rsid w:val="00640DEA"/>
    <w:rsid w:val="00640E29"/>
    <w:rsid w:val="00641010"/>
    <w:rsid w:val="0064117C"/>
    <w:rsid w:val="006417AA"/>
    <w:rsid w:val="006418A0"/>
    <w:rsid w:val="006418A6"/>
    <w:rsid w:val="00641DA1"/>
    <w:rsid w:val="0064219A"/>
    <w:rsid w:val="006424B8"/>
    <w:rsid w:val="006424E2"/>
    <w:rsid w:val="00642809"/>
    <w:rsid w:val="0064287A"/>
    <w:rsid w:val="00642BBA"/>
    <w:rsid w:val="00642DBA"/>
    <w:rsid w:val="00642E09"/>
    <w:rsid w:val="00643363"/>
    <w:rsid w:val="00643804"/>
    <w:rsid w:val="00643A66"/>
    <w:rsid w:val="0064417A"/>
    <w:rsid w:val="0064441D"/>
    <w:rsid w:val="00644616"/>
    <w:rsid w:val="00644640"/>
    <w:rsid w:val="00644974"/>
    <w:rsid w:val="00645586"/>
    <w:rsid w:val="006458F1"/>
    <w:rsid w:val="0064599A"/>
    <w:rsid w:val="006459AA"/>
    <w:rsid w:val="006460CA"/>
    <w:rsid w:val="00646273"/>
    <w:rsid w:val="00646312"/>
    <w:rsid w:val="006463BD"/>
    <w:rsid w:val="006464CD"/>
    <w:rsid w:val="00646796"/>
    <w:rsid w:val="0064692A"/>
    <w:rsid w:val="00646BF1"/>
    <w:rsid w:val="00646D10"/>
    <w:rsid w:val="00646E3C"/>
    <w:rsid w:val="0064738A"/>
    <w:rsid w:val="0064743A"/>
    <w:rsid w:val="00647489"/>
    <w:rsid w:val="0064778C"/>
    <w:rsid w:val="006477D6"/>
    <w:rsid w:val="00647966"/>
    <w:rsid w:val="00647C09"/>
    <w:rsid w:val="00647C64"/>
    <w:rsid w:val="00647C82"/>
    <w:rsid w:val="00647C83"/>
    <w:rsid w:val="00647DD9"/>
    <w:rsid w:val="00647F9A"/>
    <w:rsid w:val="0065027B"/>
    <w:rsid w:val="0065078E"/>
    <w:rsid w:val="006509CC"/>
    <w:rsid w:val="00650A2B"/>
    <w:rsid w:val="00650AFC"/>
    <w:rsid w:val="00650B69"/>
    <w:rsid w:val="00650BB6"/>
    <w:rsid w:val="00650D6D"/>
    <w:rsid w:val="00650D85"/>
    <w:rsid w:val="00650F29"/>
    <w:rsid w:val="00650FCB"/>
    <w:rsid w:val="006512EE"/>
    <w:rsid w:val="0065132D"/>
    <w:rsid w:val="00651359"/>
    <w:rsid w:val="00651441"/>
    <w:rsid w:val="00651CC7"/>
    <w:rsid w:val="00651CD7"/>
    <w:rsid w:val="00651E76"/>
    <w:rsid w:val="006520DF"/>
    <w:rsid w:val="00652121"/>
    <w:rsid w:val="0065225D"/>
    <w:rsid w:val="00652791"/>
    <w:rsid w:val="006528C9"/>
    <w:rsid w:val="00652909"/>
    <w:rsid w:val="006529A8"/>
    <w:rsid w:val="006529D6"/>
    <w:rsid w:val="00652A46"/>
    <w:rsid w:val="00652B2D"/>
    <w:rsid w:val="00652BB7"/>
    <w:rsid w:val="00652C31"/>
    <w:rsid w:val="00652FA0"/>
    <w:rsid w:val="006536EA"/>
    <w:rsid w:val="00653838"/>
    <w:rsid w:val="00653B2F"/>
    <w:rsid w:val="00653CB3"/>
    <w:rsid w:val="0065403B"/>
    <w:rsid w:val="0065404B"/>
    <w:rsid w:val="0065410E"/>
    <w:rsid w:val="00654196"/>
    <w:rsid w:val="006541F2"/>
    <w:rsid w:val="006545CF"/>
    <w:rsid w:val="00654A27"/>
    <w:rsid w:val="00654AE0"/>
    <w:rsid w:val="00654E64"/>
    <w:rsid w:val="00654F63"/>
    <w:rsid w:val="00655132"/>
    <w:rsid w:val="00655189"/>
    <w:rsid w:val="006552FB"/>
    <w:rsid w:val="0065586E"/>
    <w:rsid w:val="0065593E"/>
    <w:rsid w:val="00655BF4"/>
    <w:rsid w:val="00655DE5"/>
    <w:rsid w:val="00656117"/>
    <w:rsid w:val="006561E0"/>
    <w:rsid w:val="006562B0"/>
    <w:rsid w:val="00656308"/>
    <w:rsid w:val="00656345"/>
    <w:rsid w:val="0065648C"/>
    <w:rsid w:val="006565B7"/>
    <w:rsid w:val="00656AE9"/>
    <w:rsid w:val="00656FC3"/>
    <w:rsid w:val="00657223"/>
    <w:rsid w:val="006574B8"/>
    <w:rsid w:val="00657521"/>
    <w:rsid w:val="00657850"/>
    <w:rsid w:val="00657A9C"/>
    <w:rsid w:val="00657BE2"/>
    <w:rsid w:val="00657C25"/>
    <w:rsid w:val="006601D3"/>
    <w:rsid w:val="006606B2"/>
    <w:rsid w:val="006608DA"/>
    <w:rsid w:val="00660951"/>
    <w:rsid w:val="00661039"/>
    <w:rsid w:val="00661047"/>
    <w:rsid w:val="00661372"/>
    <w:rsid w:val="006613F9"/>
    <w:rsid w:val="00661784"/>
    <w:rsid w:val="006617D5"/>
    <w:rsid w:val="00661993"/>
    <w:rsid w:val="00661A95"/>
    <w:rsid w:val="00661C57"/>
    <w:rsid w:val="006620C8"/>
    <w:rsid w:val="0066212E"/>
    <w:rsid w:val="00662399"/>
    <w:rsid w:val="00662729"/>
    <w:rsid w:val="006628B1"/>
    <w:rsid w:val="00662A93"/>
    <w:rsid w:val="00662EEC"/>
    <w:rsid w:val="00662F86"/>
    <w:rsid w:val="00663570"/>
    <w:rsid w:val="006636C4"/>
    <w:rsid w:val="006637A6"/>
    <w:rsid w:val="00663B2D"/>
    <w:rsid w:val="00663DE4"/>
    <w:rsid w:val="00663E45"/>
    <w:rsid w:val="006641F0"/>
    <w:rsid w:val="0066448D"/>
    <w:rsid w:val="00664825"/>
    <w:rsid w:val="00665141"/>
    <w:rsid w:val="006651BD"/>
    <w:rsid w:val="006654AF"/>
    <w:rsid w:val="006656EA"/>
    <w:rsid w:val="0066576F"/>
    <w:rsid w:val="006658A8"/>
    <w:rsid w:val="00666198"/>
    <w:rsid w:val="00666222"/>
    <w:rsid w:val="006662D4"/>
    <w:rsid w:val="00666987"/>
    <w:rsid w:val="00666AA1"/>
    <w:rsid w:val="0066716A"/>
    <w:rsid w:val="00667348"/>
    <w:rsid w:val="006673E8"/>
    <w:rsid w:val="00667592"/>
    <w:rsid w:val="006675A5"/>
    <w:rsid w:val="006679DF"/>
    <w:rsid w:val="00670100"/>
    <w:rsid w:val="0067016A"/>
    <w:rsid w:val="006703D4"/>
    <w:rsid w:val="00670ADF"/>
    <w:rsid w:val="00670AF7"/>
    <w:rsid w:val="00670B9E"/>
    <w:rsid w:val="00671AB9"/>
    <w:rsid w:val="00671DEE"/>
    <w:rsid w:val="00671DEF"/>
    <w:rsid w:val="00671EC0"/>
    <w:rsid w:val="00671EEA"/>
    <w:rsid w:val="00672300"/>
    <w:rsid w:val="0067251D"/>
    <w:rsid w:val="0067274B"/>
    <w:rsid w:val="006727FC"/>
    <w:rsid w:val="0067292D"/>
    <w:rsid w:val="00672D81"/>
    <w:rsid w:val="00672DE7"/>
    <w:rsid w:val="00672F4B"/>
    <w:rsid w:val="0067338C"/>
    <w:rsid w:val="006735E9"/>
    <w:rsid w:val="00673724"/>
    <w:rsid w:val="0067383A"/>
    <w:rsid w:val="006738A3"/>
    <w:rsid w:val="00673966"/>
    <w:rsid w:val="00674075"/>
    <w:rsid w:val="00674125"/>
    <w:rsid w:val="00674568"/>
    <w:rsid w:val="00674628"/>
    <w:rsid w:val="00674721"/>
    <w:rsid w:val="0067496F"/>
    <w:rsid w:val="00674EE7"/>
    <w:rsid w:val="006753ED"/>
    <w:rsid w:val="0067543E"/>
    <w:rsid w:val="006757DB"/>
    <w:rsid w:val="0067581C"/>
    <w:rsid w:val="0067596E"/>
    <w:rsid w:val="00675A61"/>
    <w:rsid w:val="00675AA9"/>
    <w:rsid w:val="0067604B"/>
    <w:rsid w:val="0067607C"/>
    <w:rsid w:val="0067610A"/>
    <w:rsid w:val="006761C8"/>
    <w:rsid w:val="006763BB"/>
    <w:rsid w:val="006766D7"/>
    <w:rsid w:val="00676951"/>
    <w:rsid w:val="00676AB4"/>
    <w:rsid w:val="00676DE4"/>
    <w:rsid w:val="00676EE4"/>
    <w:rsid w:val="00676F48"/>
    <w:rsid w:val="00676F9D"/>
    <w:rsid w:val="00677124"/>
    <w:rsid w:val="006771EE"/>
    <w:rsid w:val="0067741C"/>
    <w:rsid w:val="0067770B"/>
    <w:rsid w:val="0067773E"/>
    <w:rsid w:val="006778FC"/>
    <w:rsid w:val="00677958"/>
    <w:rsid w:val="00677A45"/>
    <w:rsid w:val="00677B7C"/>
    <w:rsid w:val="00677C0C"/>
    <w:rsid w:val="00677F2C"/>
    <w:rsid w:val="00680032"/>
    <w:rsid w:val="0068006D"/>
    <w:rsid w:val="00680155"/>
    <w:rsid w:val="0068032A"/>
    <w:rsid w:val="0068046B"/>
    <w:rsid w:val="00680470"/>
    <w:rsid w:val="006806A2"/>
    <w:rsid w:val="00680744"/>
    <w:rsid w:val="00680786"/>
    <w:rsid w:val="00680CEC"/>
    <w:rsid w:val="00680D94"/>
    <w:rsid w:val="00680DAD"/>
    <w:rsid w:val="00680DF9"/>
    <w:rsid w:val="00680EAE"/>
    <w:rsid w:val="00680F57"/>
    <w:rsid w:val="00680F72"/>
    <w:rsid w:val="00680F81"/>
    <w:rsid w:val="00680F94"/>
    <w:rsid w:val="00680FD5"/>
    <w:rsid w:val="00680FD7"/>
    <w:rsid w:val="006810C1"/>
    <w:rsid w:val="006811F2"/>
    <w:rsid w:val="0068162B"/>
    <w:rsid w:val="006816A1"/>
    <w:rsid w:val="0068188A"/>
    <w:rsid w:val="00681B64"/>
    <w:rsid w:val="00681B93"/>
    <w:rsid w:val="0068219C"/>
    <w:rsid w:val="0068227E"/>
    <w:rsid w:val="0068279C"/>
    <w:rsid w:val="00682823"/>
    <w:rsid w:val="006828D8"/>
    <w:rsid w:val="006829E8"/>
    <w:rsid w:val="00682AA5"/>
    <w:rsid w:val="00683431"/>
    <w:rsid w:val="0068364F"/>
    <w:rsid w:val="00683895"/>
    <w:rsid w:val="00683BD4"/>
    <w:rsid w:val="00683CD4"/>
    <w:rsid w:val="00683DF9"/>
    <w:rsid w:val="00683F15"/>
    <w:rsid w:val="00683F9A"/>
    <w:rsid w:val="00683FB1"/>
    <w:rsid w:val="00684211"/>
    <w:rsid w:val="006845A1"/>
    <w:rsid w:val="0068483E"/>
    <w:rsid w:val="00684D79"/>
    <w:rsid w:val="00685178"/>
    <w:rsid w:val="006853B8"/>
    <w:rsid w:val="0068543D"/>
    <w:rsid w:val="0068544A"/>
    <w:rsid w:val="006854FC"/>
    <w:rsid w:val="00685769"/>
    <w:rsid w:val="0068589A"/>
    <w:rsid w:val="00685E76"/>
    <w:rsid w:val="00685EE8"/>
    <w:rsid w:val="00686056"/>
    <w:rsid w:val="00686260"/>
    <w:rsid w:val="00686A00"/>
    <w:rsid w:val="00686BA4"/>
    <w:rsid w:val="00686C97"/>
    <w:rsid w:val="00686EA3"/>
    <w:rsid w:val="0068737B"/>
    <w:rsid w:val="00687BA6"/>
    <w:rsid w:val="00687DAE"/>
    <w:rsid w:val="00687FA0"/>
    <w:rsid w:val="00687FFA"/>
    <w:rsid w:val="0069003F"/>
    <w:rsid w:val="006904C4"/>
    <w:rsid w:val="0069068C"/>
    <w:rsid w:val="0069079C"/>
    <w:rsid w:val="00690DA9"/>
    <w:rsid w:val="00690EF6"/>
    <w:rsid w:val="00690F10"/>
    <w:rsid w:val="00690FE5"/>
    <w:rsid w:val="006911B2"/>
    <w:rsid w:val="00691905"/>
    <w:rsid w:val="00691956"/>
    <w:rsid w:val="00691C32"/>
    <w:rsid w:val="00691C5C"/>
    <w:rsid w:val="00691E61"/>
    <w:rsid w:val="00691FC7"/>
    <w:rsid w:val="00692244"/>
    <w:rsid w:val="0069243A"/>
    <w:rsid w:val="006924C4"/>
    <w:rsid w:val="006925D6"/>
    <w:rsid w:val="006926B0"/>
    <w:rsid w:val="00692A9F"/>
    <w:rsid w:val="00692BCB"/>
    <w:rsid w:val="00692F3F"/>
    <w:rsid w:val="00692FF3"/>
    <w:rsid w:val="00693181"/>
    <w:rsid w:val="006933D8"/>
    <w:rsid w:val="006938D0"/>
    <w:rsid w:val="00693A77"/>
    <w:rsid w:val="00693A8E"/>
    <w:rsid w:val="00693BF9"/>
    <w:rsid w:val="00693C0B"/>
    <w:rsid w:val="00693CCA"/>
    <w:rsid w:val="00693E45"/>
    <w:rsid w:val="006940AE"/>
    <w:rsid w:val="006942EE"/>
    <w:rsid w:val="00694A59"/>
    <w:rsid w:val="00694A67"/>
    <w:rsid w:val="00694AA2"/>
    <w:rsid w:val="00694EE1"/>
    <w:rsid w:val="0069502F"/>
    <w:rsid w:val="00695081"/>
    <w:rsid w:val="00695123"/>
    <w:rsid w:val="006952B7"/>
    <w:rsid w:val="00695549"/>
    <w:rsid w:val="00695628"/>
    <w:rsid w:val="0069578C"/>
    <w:rsid w:val="00695C39"/>
    <w:rsid w:val="00695E13"/>
    <w:rsid w:val="006961A1"/>
    <w:rsid w:val="00696206"/>
    <w:rsid w:val="0069621A"/>
    <w:rsid w:val="0069622A"/>
    <w:rsid w:val="00696396"/>
    <w:rsid w:val="006963DF"/>
    <w:rsid w:val="00696666"/>
    <w:rsid w:val="006967C4"/>
    <w:rsid w:val="00696875"/>
    <w:rsid w:val="00696914"/>
    <w:rsid w:val="00696943"/>
    <w:rsid w:val="00696961"/>
    <w:rsid w:val="006969E3"/>
    <w:rsid w:val="00696C34"/>
    <w:rsid w:val="00696EC5"/>
    <w:rsid w:val="00696F0A"/>
    <w:rsid w:val="00696F16"/>
    <w:rsid w:val="006970C4"/>
    <w:rsid w:val="006971A0"/>
    <w:rsid w:val="00697435"/>
    <w:rsid w:val="00697486"/>
    <w:rsid w:val="00697887"/>
    <w:rsid w:val="006978BB"/>
    <w:rsid w:val="00697F11"/>
    <w:rsid w:val="006A0023"/>
    <w:rsid w:val="006A0159"/>
    <w:rsid w:val="006A0235"/>
    <w:rsid w:val="006A0426"/>
    <w:rsid w:val="006A0431"/>
    <w:rsid w:val="006A0478"/>
    <w:rsid w:val="006A072F"/>
    <w:rsid w:val="006A0B4C"/>
    <w:rsid w:val="006A0CD0"/>
    <w:rsid w:val="006A0E1D"/>
    <w:rsid w:val="006A0E30"/>
    <w:rsid w:val="006A0EF6"/>
    <w:rsid w:val="006A0FFC"/>
    <w:rsid w:val="006A1183"/>
    <w:rsid w:val="006A1419"/>
    <w:rsid w:val="006A1591"/>
    <w:rsid w:val="006A15EE"/>
    <w:rsid w:val="006A1B96"/>
    <w:rsid w:val="006A1D03"/>
    <w:rsid w:val="006A1DEF"/>
    <w:rsid w:val="006A1F24"/>
    <w:rsid w:val="006A231E"/>
    <w:rsid w:val="006A235F"/>
    <w:rsid w:val="006A271F"/>
    <w:rsid w:val="006A2875"/>
    <w:rsid w:val="006A28E7"/>
    <w:rsid w:val="006A29E3"/>
    <w:rsid w:val="006A2C54"/>
    <w:rsid w:val="006A2CF2"/>
    <w:rsid w:val="006A3148"/>
    <w:rsid w:val="006A3300"/>
    <w:rsid w:val="006A37CA"/>
    <w:rsid w:val="006A39EF"/>
    <w:rsid w:val="006A3A29"/>
    <w:rsid w:val="006A3C0C"/>
    <w:rsid w:val="006A4042"/>
    <w:rsid w:val="006A460C"/>
    <w:rsid w:val="006A473D"/>
    <w:rsid w:val="006A495A"/>
    <w:rsid w:val="006A4EDB"/>
    <w:rsid w:val="006A5009"/>
    <w:rsid w:val="006A54E4"/>
    <w:rsid w:val="006A5644"/>
    <w:rsid w:val="006A59FE"/>
    <w:rsid w:val="006A5C14"/>
    <w:rsid w:val="006A5DF7"/>
    <w:rsid w:val="006A5F28"/>
    <w:rsid w:val="006A6040"/>
    <w:rsid w:val="006A6041"/>
    <w:rsid w:val="006A6096"/>
    <w:rsid w:val="006A6340"/>
    <w:rsid w:val="006A64E5"/>
    <w:rsid w:val="006A6890"/>
    <w:rsid w:val="006A69AD"/>
    <w:rsid w:val="006A6B20"/>
    <w:rsid w:val="006A6B6D"/>
    <w:rsid w:val="006A70D7"/>
    <w:rsid w:val="006A71B0"/>
    <w:rsid w:val="006A726D"/>
    <w:rsid w:val="006A73C6"/>
    <w:rsid w:val="006A75B3"/>
    <w:rsid w:val="006A7774"/>
    <w:rsid w:val="006A7804"/>
    <w:rsid w:val="006A7A81"/>
    <w:rsid w:val="006A7C18"/>
    <w:rsid w:val="006A7C6B"/>
    <w:rsid w:val="006A7CCE"/>
    <w:rsid w:val="006A7D85"/>
    <w:rsid w:val="006A7D89"/>
    <w:rsid w:val="006A7DAA"/>
    <w:rsid w:val="006B0241"/>
    <w:rsid w:val="006B03A9"/>
    <w:rsid w:val="006B0513"/>
    <w:rsid w:val="006B06A6"/>
    <w:rsid w:val="006B0D59"/>
    <w:rsid w:val="006B0E07"/>
    <w:rsid w:val="006B0E37"/>
    <w:rsid w:val="006B0E47"/>
    <w:rsid w:val="006B0E59"/>
    <w:rsid w:val="006B0F82"/>
    <w:rsid w:val="006B1048"/>
    <w:rsid w:val="006B10D5"/>
    <w:rsid w:val="006B1147"/>
    <w:rsid w:val="006B118E"/>
    <w:rsid w:val="006B1382"/>
    <w:rsid w:val="006B14D8"/>
    <w:rsid w:val="006B16E0"/>
    <w:rsid w:val="006B1993"/>
    <w:rsid w:val="006B1ADE"/>
    <w:rsid w:val="006B1C45"/>
    <w:rsid w:val="006B1E8A"/>
    <w:rsid w:val="006B1F0B"/>
    <w:rsid w:val="006B223E"/>
    <w:rsid w:val="006B2451"/>
    <w:rsid w:val="006B24BB"/>
    <w:rsid w:val="006B264F"/>
    <w:rsid w:val="006B2C23"/>
    <w:rsid w:val="006B30D1"/>
    <w:rsid w:val="006B357E"/>
    <w:rsid w:val="006B38B9"/>
    <w:rsid w:val="006B3BCA"/>
    <w:rsid w:val="006B3F27"/>
    <w:rsid w:val="006B4121"/>
    <w:rsid w:val="006B4206"/>
    <w:rsid w:val="006B42DF"/>
    <w:rsid w:val="006B4451"/>
    <w:rsid w:val="006B4816"/>
    <w:rsid w:val="006B4906"/>
    <w:rsid w:val="006B4CC8"/>
    <w:rsid w:val="006B4CFA"/>
    <w:rsid w:val="006B50B2"/>
    <w:rsid w:val="006B51D5"/>
    <w:rsid w:val="006B5580"/>
    <w:rsid w:val="006B56DB"/>
    <w:rsid w:val="006B59D8"/>
    <w:rsid w:val="006B5C13"/>
    <w:rsid w:val="006B5E40"/>
    <w:rsid w:val="006B5EB7"/>
    <w:rsid w:val="006B6060"/>
    <w:rsid w:val="006B6172"/>
    <w:rsid w:val="006B6875"/>
    <w:rsid w:val="006B6906"/>
    <w:rsid w:val="006B6A80"/>
    <w:rsid w:val="006B6C50"/>
    <w:rsid w:val="006B6DE5"/>
    <w:rsid w:val="006B71C1"/>
    <w:rsid w:val="006B72FE"/>
    <w:rsid w:val="006B736E"/>
    <w:rsid w:val="006B75BE"/>
    <w:rsid w:val="006B77E4"/>
    <w:rsid w:val="006B7B9B"/>
    <w:rsid w:val="006B7E4C"/>
    <w:rsid w:val="006C021F"/>
    <w:rsid w:val="006C0263"/>
    <w:rsid w:val="006C02E4"/>
    <w:rsid w:val="006C04DB"/>
    <w:rsid w:val="006C0579"/>
    <w:rsid w:val="006C0DD6"/>
    <w:rsid w:val="006C0ED1"/>
    <w:rsid w:val="006C1683"/>
    <w:rsid w:val="006C172B"/>
    <w:rsid w:val="006C1998"/>
    <w:rsid w:val="006C1B91"/>
    <w:rsid w:val="006C1C42"/>
    <w:rsid w:val="006C1FB3"/>
    <w:rsid w:val="006C20D0"/>
    <w:rsid w:val="006C20D1"/>
    <w:rsid w:val="006C2466"/>
    <w:rsid w:val="006C2515"/>
    <w:rsid w:val="006C27A3"/>
    <w:rsid w:val="006C2AE9"/>
    <w:rsid w:val="006C2E3A"/>
    <w:rsid w:val="006C3101"/>
    <w:rsid w:val="006C3600"/>
    <w:rsid w:val="006C39F7"/>
    <w:rsid w:val="006C3DAC"/>
    <w:rsid w:val="006C3FFE"/>
    <w:rsid w:val="006C406D"/>
    <w:rsid w:val="006C416D"/>
    <w:rsid w:val="006C4240"/>
    <w:rsid w:val="006C42ED"/>
    <w:rsid w:val="006C4378"/>
    <w:rsid w:val="006C448E"/>
    <w:rsid w:val="006C472B"/>
    <w:rsid w:val="006C47DA"/>
    <w:rsid w:val="006C4874"/>
    <w:rsid w:val="006C4AF8"/>
    <w:rsid w:val="006C5106"/>
    <w:rsid w:val="006C53A8"/>
    <w:rsid w:val="006C5A71"/>
    <w:rsid w:val="006C5AD3"/>
    <w:rsid w:val="006C5DD4"/>
    <w:rsid w:val="006C5DDC"/>
    <w:rsid w:val="006C5EAE"/>
    <w:rsid w:val="006C5FD6"/>
    <w:rsid w:val="006C617F"/>
    <w:rsid w:val="006C6534"/>
    <w:rsid w:val="006C6C73"/>
    <w:rsid w:val="006C6D5A"/>
    <w:rsid w:val="006C70B4"/>
    <w:rsid w:val="006C74B8"/>
    <w:rsid w:val="006C7864"/>
    <w:rsid w:val="006C7D81"/>
    <w:rsid w:val="006C7E01"/>
    <w:rsid w:val="006C7FAA"/>
    <w:rsid w:val="006D008A"/>
    <w:rsid w:val="006D00E5"/>
    <w:rsid w:val="006D0476"/>
    <w:rsid w:val="006D0575"/>
    <w:rsid w:val="006D0656"/>
    <w:rsid w:val="006D078A"/>
    <w:rsid w:val="006D08B3"/>
    <w:rsid w:val="006D0C0C"/>
    <w:rsid w:val="006D1220"/>
    <w:rsid w:val="006D126B"/>
    <w:rsid w:val="006D1641"/>
    <w:rsid w:val="006D16A7"/>
    <w:rsid w:val="006D1DBC"/>
    <w:rsid w:val="006D1F0C"/>
    <w:rsid w:val="006D1FF3"/>
    <w:rsid w:val="006D23AB"/>
    <w:rsid w:val="006D2666"/>
    <w:rsid w:val="006D2A5D"/>
    <w:rsid w:val="006D2B5D"/>
    <w:rsid w:val="006D2C67"/>
    <w:rsid w:val="006D2F0B"/>
    <w:rsid w:val="006D34C5"/>
    <w:rsid w:val="006D370C"/>
    <w:rsid w:val="006D3819"/>
    <w:rsid w:val="006D394B"/>
    <w:rsid w:val="006D3C96"/>
    <w:rsid w:val="006D3EE7"/>
    <w:rsid w:val="006D3F64"/>
    <w:rsid w:val="006D3F66"/>
    <w:rsid w:val="006D401F"/>
    <w:rsid w:val="006D413B"/>
    <w:rsid w:val="006D44FA"/>
    <w:rsid w:val="006D4767"/>
    <w:rsid w:val="006D4A36"/>
    <w:rsid w:val="006D4A76"/>
    <w:rsid w:val="006D4CE5"/>
    <w:rsid w:val="006D4E80"/>
    <w:rsid w:val="006D517A"/>
    <w:rsid w:val="006D5351"/>
    <w:rsid w:val="006D5410"/>
    <w:rsid w:val="006D5612"/>
    <w:rsid w:val="006D5C4F"/>
    <w:rsid w:val="006D614A"/>
    <w:rsid w:val="006D614F"/>
    <w:rsid w:val="006D6182"/>
    <w:rsid w:val="006D6A17"/>
    <w:rsid w:val="006D6D42"/>
    <w:rsid w:val="006D720A"/>
    <w:rsid w:val="006D723B"/>
    <w:rsid w:val="006D7625"/>
    <w:rsid w:val="006D783A"/>
    <w:rsid w:val="006D793D"/>
    <w:rsid w:val="006D7977"/>
    <w:rsid w:val="006D7BA9"/>
    <w:rsid w:val="006D7CCD"/>
    <w:rsid w:val="006D7DE7"/>
    <w:rsid w:val="006D7E22"/>
    <w:rsid w:val="006D7EAC"/>
    <w:rsid w:val="006D7ED8"/>
    <w:rsid w:val="006D7F90"/>
    <w:rsid w:val="006E00A2"/>
    <w:rsid w:val="006E00F5"/>
    <w:rsid w:val="006E0197"/>
    <w:rsid w:val="006E01B8"/>
    <w:rsid w:val="006E01FD"/>
    <w:rsid w:val="006E032C"/>
    <w:rsid w:val="006E0451"/>
    <w:rsid w:val="006E086E"/>
    <w:rsid w:val="006E0C77"/>
    <w:rsid w:val="006E1090"/>
    <w:rsid w:val="006E13E6"/>
    <w:rsid w:val="006E167A"/>
    <w:rsid w:val="006E16EE"/>
    <w:rsid w:val="006E19E2"/>
    <w:rsid w:val="006E1CE1"/>
    <w:rsid w:val="006E1D5D"/>
    <w:rsid w:val="006E21E7"/>
    <w:rsid w:val="006E22BE"/>
    <w:rsid w:val="006E231F"/>
    <w:rsid w:val="006E24DF"/>
    <w:rsid w:val="006E29A5"/>
    <w:rsid w:val="006E2B13"/>
    <w:rsid w:val="006E2BBB"/>
    <w:rsid w:val="006E3176"/>
    <w:rsid w:val="006E345E"/>
    <w:rsid w:val="006E34AC"/>
    <w:rsid w:val="006E34FB"/>
    <w:rsid w:val="006E3677"/>
    <w:rsid w:val="006E36D0"/>
    <w:rsid w:val="006E388F"/>
    <w:rsid w:val="006E3B1A"/>
    <w:rsid w:val="006E3CB0"/>
    <w:rsid w:val="006E3DF5"/>
    <w:rsid w:val="006E4463"/>
    <w:rsid w:val="006E454E"/>
    <w:rsid w:val="006E49FA"/>
    <w:rsid w:val="006E49FC"/>
    <w:rsid w:val="006E4ABF"/>
    <w:rsid w:val="006E4ED6"/>
    <w:rsid w:val="006E5134"/>
    <w:rsid w:val="006E531B"/>
    <w:rsid w:val="006E544E"/>
    <w:rsid w:val="006E54F2"/>
    <w:rsid w:val="006E5596"/>
    <w:rsid w:val="006E564A"/>
    <w:rsid w:val="006E5685"/>
    <w:rsid w:val="006E580F"/>
    <w:rsid w:val="006E617C"/>
    <w:rsid w:val="006E64D8"/>
    <w:rsid w:val="006E658E"/>
    <w:rsid w:val="006E67C7"/>
    <w:rsid w:val="006E67FC"/>
    <w:rsid w:val="006E6862"/>
    <w:rsid w:val="006E6AD7"/>
    <w:rsid w:val="006E6CC9"/>
    <w:rsid w:val="006E6D6F"/>
    <w:rsid w:val="006E7052"/>
    <w:rsid w:val="006E70AA"/>
    <w:rsid w:val="006E7127"/>
    <w:rsid w:val="006E738B"/>
    <w:rsid w:val="006E75B5"/>
    <w:rsid w:val="006E774C"/>
    <w:rsid w:val="006E7903"/>
    <w:rsid w:val="006E7C6F"/>
    <w:rsid w:val="006E7F3F"/>
    <w:rsid w:val="006F01B1"/>
    <w:rsid w:val="006F042B"/>
    <w:rsid w:val="006F08F0"/>
    <w:rsid w:val="006F09DD"/>
    <w:rsid w:val="006F0A24"/>
    <w:rsid w:val="006F0BD6"/>
    <w:rsid w:val="006F1462"/>
    <w:rsid w:val="006F14D8"/>
    <w:rsid w:val="006F1782"/>
    <w:rsid w:val="006F17D3"/>
    <w:rsid w:val="006F1BAD"/>
    <w:rsid w:val="006F1C2D"/>
    <w:rsid w:val="006F1DC5"/>
    <w:rsid w:val="006F202D"/>
    <w:rsid w:val="006F224C"/>
    <w:rsid w:val="006F232B"/>
    <w:rsid w:val="006F254D"/>
    <w:rsid w:val="006F262E"/>
    <w:rsid w:val="006F2776"/>
    <w:rsid w:val="006F296B"/>
    <w:rsid w:val="006F2BBA"/>
    <w:rsid w:val="006F2F22"/>
    <w:rsid w:val="006F3144"/>
    <w:rsid w:val="006F3770"/>
    <w:rsid w:val="006F37A1"/>
    <w:rsid w:val="006F3B2E"/>
    <w:rsid w:val="006F3DD6"/>
    <w:rsid w:val="006F3DE9"/>
    <w:rsid w:val="006F3EC3"/>
    <w:rsid w:val="006F3FF9"/>
    <w:rsid w:val="006F42E2"/>
    <w:rsid w:val="006F45F7"/>
    <w:rsid w:val="006F46F1"/>
    <w:rsid w:val="006F47FA"/>
    <w:rsid w:val="006F484A"/>
    <w:rsid w:val="006F4921"/>
    <w:rsid w:val="006F4A63"/>
    <w:rsid w:val="006F4DF5"/>
    <w:rsid w:val="006F5096"/>
    <w:rsid w:val="006F51C7"/>
    <w:rsid w:val="006F51E5"/>
    <w:rsid w:val="006F52AF"/>
    <w:rsid w:val="006F5423"/>
    <w:rsid w:val="006F545F"/>
    <w:rsid w:val="006F54C0"/>
    <w:rsid w:val="006F5775"/>
    <w:rsid w:val="006F5788"/>
    <w:rsid w:val="006F592F"/>
    <w:rsid w:val="006F59BF"/>
    <w:rsid w:val="006F5A24"/>
    <w:rsid w:val="006F5A32"/>
    <w:rsid w:val="006F5A33"/>
    <w:rsid w:val="006F5B0B"/>
    <w:rsid w:val="006F5E00"/>
    <w:rsid w:val="006F60A2"/>
    <w:rsid w:val="006F616D"/>
    <w:rsid w:val="006F61E7"/>
    <w:rsid w:val="006F62EC"/>
    <w:rsid w:val="006F63F3"/>
    <w:rsid w:val="006F6684"/>
    <w:rsid w:val="006F72C9"/>
    <w:rsid w:val="006F737F"/>
    <w:rsid w:val="006F739F"/>
    <w:rsid w:val="006F7B1D"/>
    <w:rsid w:val="006F7D93"/>
    <w:rsid w:val="0070025A"/>
    <w:rsid w:val="00700914"/>
    <w:rsid w:val="007009A6"/>
    <w:rsid w:val="00700EC0"/>
    <w:rsid w:val="00700F68"/>
    <w:rsid w:val="007011D5"/>
    <w:rsid w:val="007012E9"/>
    <w:rsid w:val="00701482"/>
    <w:rsid w:val="007018B2"/>
    <w:rsid w:val="0070193F"/>
    <w:rsid w:val="00701B98"/>
    <w:rsid w:val="00701BFE"/>
    <w:rsid w:val="00701C41"/>
    <w:rsid w:val="00701EDB"/>
    <w:rsid w:val="00701EF3"/>
    <w:rsid w:val="007026FF"/>
    <w:rsid w:val="00702ADE"/>
    <w:rsid w:val="00703339"/>
    <w:rsid w:val="00703B3E"/>
    <w:rsid w:val="00703E00"/>
    <w:rsid w:val="007041C1"/>
    <w:rsid w:val="007044AE"/>
    <w:rsid w:val="00704850"/>
    <w:rsid w:val="00704901"/>
    <w:rsid w:val="0070499F"/>
    <w:rsid w:val="00704CDA"/>
    <w:rsid w:val="00704E17"/>
    <w:rsid w:val="007050CF"/>
    <w:rsid w:val="007054D7"/>
    <w:rsid w:val="00705766"/>
    <w:rsid w:val="00705805"/>
    <w:rsid w:val="007058AB"/>
    <w:rsid w:val="007058FD"/>
    <w:rsid w:val="00705B4F"/>
    <w:rsid w:val="00705BC4"/>
    <w:rsid w:val="00705D08"/>
    <w:rsid w:val="00705D52"/>
    <w:rsid w:val="00705DCE"/>
    <w:rsid w:val="00705DDC"/>
    <w:rsid w:val="007069E0"/>
    <w:rsid w:val="00706C65"/>
    <w:rsid w:val="00706D7A"/>
    <w:rsid w:val="007072AD"/>
    <w:rsid w:val="00707515"/>
    <w:rsid w:val="00707600"/>
    <w:rsid w:val="00707654"/>
    <w:rsid w:val="00707A68"/>
    <w:rsid w:val="00707DA5"/>
    <w:rsid w:val="00707EB0"/>
    <w:rsid w:val="007100A4"/>
    <w:rsid w:val="0071015E"/>
    <w:rsid w:val="0071026E"/>
    <w:rsid w:val="0071038C"/>
    <w:rsid w:val="00710688"/>
    <w:rsid w:val="007106DA"/>
    <w:rsid w:val="00710840"/>
    <w:rsid w:val="0071094B"/>
    <w:rsid w:val="00710B0D"/>
    <w:rsid w:val="00710C90"/>
    <w:rsid w:val="00710FE1"/>
    <w:rsid w:val="00711007"/>
    <w:rsid w:val="0071149C"/>
    <w:rsid w:val="00711558"/>
    <w:rsid w:val="00711995"/>
    <w:rsid w:val="00711D03"/>
    <w:rsid w:val="00711DEC"/>
    <w:rsid w:val="00711FD6"/>
    <w:rsid w:val="00712378"/>
    <w:rsid w:val="007124D4"/>
    <w:rsid w:val="007127F9"/>
    <w:rsid w:val="00712830"/>
    <w:rsid w:val="00712970"/>
    <w:rsid w:val="00712C13"/>
    <w:rsid w:val="00712C1D"/>
    <w:rsid w:val="00712DB6"/>
    <w:rsid w:val="0071334A"/>
    <w:rsid w:val="00713422"/>
    <w:rsid w:val="0071360C"/>
    <w:rsid w:val="00713618"/>
    <w:rsid w:val="0071374B"/>
    <w:rsid w:val="007139AD"/>
    <w:rsid w:val="0071415E"/>
    <w:rsid w:val="00714277"/>
    <w:rsid w:val="007143F3"/>
    <w:rsid w:val="00714567"/>
    <w:rsid w:val="00714778"/>
    <w:rsid w:val="0071496B"/>
    <w:rsid w:val="00714A3D"/>
    <w:rsid w:val="00714B7E"/>
    <w:rsid w:val="007151AE"/>
    <w:rsid w:val="007151D0"/>
    <w:rsid w:val="007152C6"/>
    <w:rsid w:val="00715B9B"/>
    <w:rsid w:val="00715CCE"/>
    <w:rsid w:val="00715FA6"/>
    <w:rsid w:val="007161EC"/>
    <w:rsid w:val="007162C7"/>
    <w:rsid w:val="00716620"/>
    <w:rsid w:val="00716BE7"/>
    <w:rsid w:val="00716E3D"/>
    <w:rsid w:val="00716FDD"/>
    <w:rsid w:val="00717000"/>
    <w:rsid w:val="007172D9"/>
    <w:rsid w:val="007173EB"/>
    <w:rsid w:val="00717473"/>
    <w:rsid w:val="00717621"/>
    <w:rsid w:val="0071766C"/>
    <w:rsid w:val="007176F5"/>
    <w:rsid w:val="00717949"/>
    <w:rsid w:val="00717AB6"/>
    <w:rsid w:val="00717D64"/>
    <w:rsid w:val="00717D6D"/>
    <w:rsid w:val="00717DC5"/>
    <w:rsid w:val="00717E5C"/>
    <w:rsid w:val="007201DC"/>
    <w:rsid w:val="00720290"/>
    <w:rsid w:val="007203F6"/>
    <w:rsid w:val="00720586"/>
    <w:rsid w:val="00720614"/>
    <w:rsid w:val="0072061C"/>
    <w:rsid w:val="0072081C"/>
    <w:rsid w:val="00720888"/>
    <w:rsid w:val="0072094F"/>
    <w:rsid w:val="0072138D"/>
    <w:rsid w:val="007215D2"/>
    <w:rsid w:val="007218C9"/>
    <w:rsid w:val="00721D06"/>
    <w:rsid w:val="0072200A"/>
    <w:rsid w:val="007220B1"/>
    <w:rsid w:val="0072252F"/>
    <w:rsid w:val="00723291"/>
    <w:rsid w:val="007233B9"/>
    <w:rsid w:val="00723716"/>
    <w:rsid w:val="0072371D"/>
    <w:rsid w:val="00723783"/>
    <w:rsid w:val="00723A3A"/>
    <w:rsid w:val="00723DC7"/>
    <w:rsid w:val="00723FFD"/>
    <w:rsid w:val="007242B8"/>
    <w:rsid w:val="007243D5"/>
    <w:rsid w:val="007244BC"/>
    <w:rsid w:val="007246C5"/>
    <w:rsid w:val="00724737"/>
    <w:rsid w:val="007247E1"/>
    <w:rsid w:val="00724871"/>
    <w:rsid w:val="00724A1C"/>
    <w:rsid w:val="00724C80"/>
    <w:rsid w:val="00725088"/>
    <w:rsid w:val="0072518E"/>
    <w:rsid w:val="007251EF"/>
    <w:rsid w:val="0072526E"/>
    <w:rsid w:val="00725855"/>
    <w:rsid w:val="00725C5F"/>
    <w:rsid w:val="007261B4"/>
    <w:rsid w:val="00726254"/>
    <w:rsid w:val="00726B5A"/>
    <w:rsid w:val="0072721B"/>
    <w:rsid w:val="007273C7"/>
    <w:rsid w:val="0072746D"/>
    <w:rsid w:val="007274EE"/>
    <w:rsid w:val="00727519"/>
    <w:rsid w:val="007277BE"/>
    <w:rsid w:val="00727912"/>
    <w:rsid w:val="00727F78"/>
    <w:rsid w:val="00727F84"/>
    <w:rsid w:val="0073014D"/>
    <w:rsid w:val="007303B3"/>
    <w:rsid w:val="007303CA"/>
    <w:rsid w:val="0073063D"/>
    <w:rsid w:val="00730839"/>
    <w:rsid w:val="00730BDA"/>
    <w:rsid w:val="00730C2C"/>
    <w:rsid w:val="00730CAA"/>
    <w:rsid w:val="00730F26"/>
    <w:rsid w:val="0073108B"/>
    <w:rsid w:val="007312AA"/>
    <w:rsid w:val="0073164F"/>
    <w:rsid w:val="00731655"/>
    <w:rsid w:val="00731722"/>
    <w:rsid w:val="00731776"/>
    <w:rsid w:val="0073195D"/>
    <w:rsid w:val="00731A45"/>
    <w:rsid w:val="00731AA3"/>
    <w:rsid w:val="00731D8F"/>
    <w:rsid w:val="00731EA5"/>
    <w:rsid w:val="0073201D"/>
    <w:rsid w:val="00732112"/>
    <w:rsid w:val="00732214"/>
    <w:rsid w:val="00732835"/>
    <w:rsid w:val="0073283E"/>
    <w:rsid w:val="00732EC7"/>
    <w:rsid w:val="00732F71"/>
    <w:rsid w:val="00732FEF"/>
    <w:rsid w:val="00733058"/>
    <w:rsid w:val="00733236"/>
    <w:rsid w:val="007332BF"/>
    <w:rsid w:val="007336C4"/>
    <w:rsid w:val="00733875"/>
    <w:rsid w:val="007338DC"/>
    <w:rsid w:val="00733AFA"/>
    <w:rsid w:val="00733BB1"/>
    <w:rsid w:val="00733D2E"/>
    <w:rsid w:val="00733FDD"/>
    <w:rsid w:val="00734386"/>
    <w:rsid w:val="00734C1B"/>
    <w:rsid w:val="00734E8D"/>
    <w:rsid w:val="00735179"/>
    <w:rsid w:val="007351EC"/>
    <w:rsid w:val="007353B5"/>
    <w:rsid w:val="0073559A"/>
    <w:rsid w:val="0073566D"/>
    <w:rsid w:val="007357D1"/>
    <w:rsid w:val="007358BE"/>
    <w:rsid w:val="00735E14"/>
    <w:rsid w:val="00735F10"/>
    <w:rsid w:val="00735F62"/>
    <w:rsid w:val="007361E8"/>
    <w:rsid w:val="0073650F"/>
    <w:rsid w:val="0073661C"/>
    <w:rsid w:val="00736AC3"/>
    <w:rsid w:val="00736DDA"/>
    <w:rsid w:val="00737001"/>
    <w:rsid w:val="00737239"/>
    <w:rsid w:val="0073727F"/>
    <w:rsid w:val="00737399"/>
    <w:rsid w:val="007376EF"/>
    <w:rsid w:val="00737B8D"/>
    <w:rsid w:val="00737BEA"/>
    <w:rsid w:val="00737EF4"/>
    <w:rsid w:val="00737FE3"/>
    <w:rsid w:val="007402C4"/>
    <w:rsid w:val="0074037B"/>
    <w:rsid w:val="007403FB"/>
    <w:rsid w:val="007404BF"/>
    <w:rsid w:val="00740759"/>
    <w:rsid w:val="00740916"/>
    <w:rsid w:val="007409C0"/>
    <w:rsid w:val="00740E7B"/>
    <w:rsid w:val="00740EB1"/>
    <w:rsid w:val="00740F22"/>
    <w:rsid w:val="00740FD9"/>
    <w:rsid w:val="00740FF5"/>
    <w:rsid w:val="007410CC"/>
    <w:rsid w:val="0074110B"/>
    <w:rsid w:val="007413CC"/>
    <w:rsid w:val="007415E6"/>
    <w:rsid w:val="007416BB"/>
    <w:rsid w:val="00741A06"/>
    <w:rsid w:val="00741A76"/>
    <w:rsid w:val="0074206E"/>
    <w:rsid w:val="0074232B"/>
    <w:rsid w:val="00742347"/>
    <w:rsid w:val="00742801"/>
    <w:rsid w:val="007429B8"/>
    <w:rsid w:val="00742A64"/>
    <w:rsid w:val="00742E47"/>
    <w:rsid w:val="0074343F"/>
    <w:rsid w:val="007434FB"/>
    <w:rsid w:val="007435CF"/>
    <w:rsid w:val="00743716"/>
    <w:rsid w:val="007438A4"/>
    <w:rsid w:val="007438F8"/>
    <w:rsid w:val="00743AAD"/>
    <w:rsid w:val="00743C1D"/>
    <w:rsid w:val="007442D1"/>
    <w:rsid w:val="007444A7"/>
    <w:rsid w:val="007446FB"/>
    <w:rsid w:val="007447EF"/>
    <w:rsid w:val="00744BB7"/>
    <w:rsid w:val="00744F9D"/>
    <w:rsid w:val="00745464"/>
    <w:rsid w:val="0074558A"/>
    <w:rsid w:val="00745779"/>
    <w:rsid w:val="007457E5"/>
    <w:rsid w:val="00745AA2"/>
    <w:rsid w:val="00745F09"/>
    <w:rsid w:val="007460A4"/>
    <w:rsid w:val="00746106"/>
    <w:rsid w:val="0074623A"/>
    <w:rsid w:val="00746441"/>
    <w:rsid w:val="0074652B"/>
    <w:rsid w:val="0074660D"/>
    <w:rsid w:val="00746B93"/>
    <w:rsid w:val="00746DA9"/>
    <w:rsid w:val="00746E1A"/>
    <w:rsid w:val="00746F2E"/>
    <w:rsid w:val="0074729F"/>
    <w:rsid w:val="007472D3"/>
    <w:rsid w:val="007472FF"/>
    <w:rsid w:val="007474E2"/>
    <w:rsid w:val="007477E8"/>
    <w:rsid w:val="00747A14"/>
    <w:rsid w:val="00747F8A"/>
    <w:rsid w:val="00747FCE"/>
    <w:rsid w:val="007500AB"/>
    <w:rsid w:val="00750174"/>
    <w:rsid w:val="007503CC"/>
    <w:rsid w:val="00750864"/>
    <w:rsid w:val="00750D3B"/>
    <w:rsid w:val="00750E71"/>
    <w:rsid w:val="00751357"/>
    <w:rsid w:val="0075139C"/>
    <w:rsid w:val="007514BD"/>
    <w:rsid w:val="00751571"/>
    <w:rsid w:val="00751595"/>
    <w:rsid w:val="007515A8"/>
    <w:rsid w:val="007515B3"/>
    <w:rsid w:val="007516F0"/>
    <w:rsid w:val="0075177F"/>
    <w:rsid w:val="0075191B"/>
    <w:rsid w:val="00751B7E"/>
    <w:rsid w:val="0075210B"/>
    <w:rsid w:val="007522F9"/>
    <w:rsid w:val="00752DB5"/>
    <w:rsid w:val="0075304D"/>
    <w:rsid w:val="00753321"/>
    <w:rsid w:val="00753407"/>
    <w:rsid w:val="00753636"/>
    <w:rsid w:val="0075387E"/>
    <w:rsid w:val="00753A99"/>
    <w:rsid w:val="00753EFA"/>
    <w:rsid w:val="00754030"/>
    <w:rsid w:val="00754241"/>
    <w:rsid w:val="007543C4"/>
    <w:rsid w:val="007546C6"/>
    <w:rsid w:val="00754C0A"/>
    <w:rsid w:val="00754D98"/>
    <w:rsid w:val="00754EE5"/>
    <w:rsid w:val="007550AB"/>
    <w:rsid w:val="00755133"/>
    <w:rsid w:val="007551E0"/>
    <w:rsid w:val="0075552D"/>
    <w:rsid w:val="007556D3"/>
    <w:rsid w:val="00755854"/>
    <w:rsid w:val="00755A90"/>
    <w:rsid w:val="00755AAD"/>
    <w:rsid w:val="00755B70"/>
    <w:rsid w:val="00755CA4"/>
    <w:rsid w:val="00755DF7"/>
    <w:rsid w:val="00755F9C"/>
    <w:rsid w:val="0075600C"/>
    <w:rsid w:val="00756103"/>
    <w:rsid w:val="00756231"/>
    <w:rsid w:val="00756392"/>
    <w:rsid w:val="0075648A"/>
    <w:rsid w:val="00756591"/>
    <w:rsid w:val="00756B48"/>
    <w:rsid w:val="00756EE6"/>
    <w:rsid w:val="00756F57"/>
    <w:rsid w:val="0075749A"/>
    <w:rsid w:val="0075762C"/>
    <w:rsid w:val="00757C54"/>
    <w:rsid w:val="00757D63"/>
    <w:rsid w:val="00757E83"/>
    <w:rsid w:val="00757F14"/>
    <w:rsid w:val="00757F57"/>
    <w:rsid w:val="0076039E"/>
    <w:rsid w:val="00760B72"/>
    <w:rsid w:val="00760C44"/>
    <w:rsid w:val="00761258"/>
    <w:rsid w:val="00761357"/>
    <w:rsid w:val="007615B3"/>
    <w:rsid w:val="007615D5"/>
    <w:rsid w:val="0076178F"/>
    <w:rsid w:val="00761C67"/>
    <w:rsid w:val="00761E1B"/>
    <w:rsid w:val="007620B8"/>
    <w:rsid w:val="0076222A"/>
    <w:rsid w:val="00762416"/>
    <w:rsid w:val="00762512"/>
    <w:rsid w:val="0076259D"/>
    <w:rsid w:val="007629C6"/>
    <w:rsid w:val="00762E74"/>
    <w:rsid w:val="007631B0"/>
    <w:rsid w:val="0076358F"/>
    <w:rsid w:val="007639A5"/>
    <w:rsid w:val="00763A97"/>
    <w:rsid w:val="00763B0E"/>
    <w:rsid w:val="00763DC9"/>
    <w:rsid w:val="00763DEE"/>
    <w:rsid w:val="00763E8A"/>
    <w:rsid w:val="00763EA1"/>
    <w:rsid w:val="00763F81"/>
    <w:rsid w:val="00763FC0"/>
    <w:rsid w:val="00764265"/>
    <w:rsid w:val="00764464"/>
    <w:rsid w:val="00764582"/>
    <w:rsid w:val="00764742"/>
    <w:rsid w:val="00764866"/>
    <w:rsid w:val="007648C9"/>
    <w:rsid w:val="007648D4"/>
    <w:rsid w:val="00764A53"/>
    <w:rsid w:val="00764E7A"/>
    <w:rsid w:val="00764EA1"/>
    <w:rsid w:val="00764FC2"/>
    <w:rsid w:val="00765009"/>
    <w:rsid w:val="00765210"/>
    <w:rsid w:val="007653DA"/>
    <w:rsid w:val="00765408"/>
    <w:rsid w:val="007658A0"/>
    <w:rsid w:val="00765B49"/>
    <w:rsid w:val="0076614E"/>
    <w:rsid w:val="007661A9"/>
    <w:rsid w:val="00766713"/>
    <w:rsid w:val="00766718"/>
    <w:rsid w:val="00766962"/>
    <w:rsid w:val="00766B7D"/>
    <w:rsid w:val="00766E70"/>
    <w:rsid w:val="00767457"/>
    <w:rsid w:val="0076765C"/>
    <w:rsid w:val="007676CB"/>
    <w:rsid w:val="00767A54"/>
    <w:rsid w:val="00767CC2"/>
    <w:rsid w:val="00767CCF"/>
    <w:rsid w:val="00767E41"/>
    <w:rsid w:val="00767F49"/>
    <w:rsid w:val="00767F60"/>
    <w:rsid w:val="00767FFE"/>
    <w:rsid w:val="007700DB"/>
    <w:rsid w:val="0077018A"/>
    <w:rsid w:val="007704D1"/>
    <w:rsid w:val="007706FD"/>
    <w:rsid w:val="00770761"/>
    <w:rsid w:val="00770B96"/>
    <w:rsid w:val="00770D03"/>
    <w:rsid w:val="0077110B"/>
    <w:rsid w:val="00771981"/>
    <w:rsid w:val="007719CF"/>
    <w:rsid w:val="0077216E"/>
    <w:rsid w:val="007724B1"/>
    <w:rsid w:val="007725DC"/>
    <w:rsid w:val="00772ADC"/>
    <w:rsid w:val="00772C65"/>
    <w:rsid w:val="00773498"/>
    <w:rsid w:val="007736FD"/>
    <w:rsid w:val="00773725"/>
    <w:rsid w:val="0077375F"/>
    <w:rsid w:val="00773BB9"/>
    <w:rsid w:val="00773CA9"/>
    <w:rsid w:val="00773EB3"/>
    <w:rsid w:val="00774173"/>
    <w:rsid w:val="0077423C"/>
    <w:rsid w:val="0077423E"/>
    <w:rsid w:val="007743C7"/>
    <w:rsid w:val="00774433"/>
    <w:rsid w:val="007744A3"/>
    <w:rsid w:val="00774572"/>
    <w:rsid w:val="00774698"/>
    <w:rsid w:val="007746C7"/>
    <w:rsid w:val="007747D4"/>
    <w:rsid w:val="0077494E"/>
    <w:rsid w:val="00774A28"/>
    <w:rsid w:val="00774DDA"/>
    <w:rsid w:val="00774F39"/>
    <w:rsid w:val="00774F92"/>
    <w:rsid w:val="007750DA"/>
    <w:rsid w:val="0077527F"/>
    <w:rsid w:val="0077534D"/>
    <w:rsid w:val="0077594B"/>
    <w:rsid w:val="00775965"/>
    <w:rsid w:val="00775A0B"/>
    <w:rsid w:val="00775DDB"/>
    <w:rsid w:val="00775FEA"/>
    <w:rsid w:val="00776590"/>
    <w:rsid w:val="0077662F"/>
    <w:rsid w:val="00776719"/>
    <w:rsid w:val="00776B44"/>
    <w:rsid w:val="00776C32"/>
    <w:rsid w:val="00776C9B"/>
    <w:rsid w:val="00777064"/>
    <w:rsid w:val="0077743C"/>
    <w:rsid w:val="0077774C"/>
    <w:rsid w:val="007777F0"/>
    <w:rsid w:val="0078003F"/>
    <w:rsid w:val="007802EE"/>
    <w:rsid w:val="007806CD"/>
    <w:rsid w:val="0078077D"/>
    <w:rsid w:val="0078086A"/>
    <w:rsid w:val="00780878"/>
    <w:rsid w:val="007809C2"/>
    <w:rsid w:val="00780A29"/>
    <w:rsid w:val="00780C0A"/>
    <w:rsid w:val="00780C41"/>
    <w:rsid w:val="00780D91"/>
    <w:rsid w:val="00780EB6"/>
    <w:rsid w:val="00781117"/>
    <w:rsid w:val="007812A3"/>
    <w:rsid w:val="00781AAB"/>
    <w:rsid w:val="00781AB0"/>
    <w:rsid w:val="00781E19"/>
    <w:rsid w:val="0078201B"/>
    <w:rsid w:val="0078227C"/>
    <w:rsid w:val="00782690"/>
    <w:rsid w:val="00782744"/>
    <w:rsid w:val="007827BA"/>
    <w:rsid w:val="007828E8"/>
    <w:rsid w:val="007828F1"/>
    <w:rsid w:val="00782BA6"/>
    <w:rsid w:val="00782BBB"/>
    <w:rsid w:val="00782BF7"/>
    <w:rsid w:val="00782F23"/>
    <w:rsid w:val="00782F45"/>
    <w:rsid w:val="00782F6F"/>
    <w:rsid w:val="00783575"/>
    <w:rsid w:val="00783624"/>
    <w:rsid w:val="00783651"/>
    <w:rsid w:val="00783B45"/>
    <w:rsid w:val="00783BDE"/>
    <w:rsid w:val="00783BFD"/>
    <w:rsid w:val="00783C7C"/>
    <w:rsid w:val="00783E3A"/>
    <w:rsid w:val="0078408C"/>
    <w:rsid w:val="00784098"/>
    <w:rsid w:val="007840BA"/>
    <w:rsid w:val="007840CE"/>
    <w:rsid w:val="007841EF"/>
    <w:rsid w:val="0078438D"/>
    <w:rsid w:val="007849E0"/>
    <w:rsid w:val="00784A2E"/>
    <w:rsid w:val="00784D2A"/>
    <w:rsid w:val="00785011"/>
    <w:rsid w:val="00785836"/>
    <w:rsid w:val="00785886"/>
    <w:rsid w:val="00786282"/>
    <w:rsid w:val="0078650F"/>
    <w:rsid w:val="0078659C"/>
    <w:rsid w:val="007866FA"/>
    <w:rsid w:val="00786762"/>
    <w:rsid w:val="00786CA2"/>
    <w:rsid w:val="00786CC2"/>
    <w:rsid w:val="00787286"/>
    <w:rsid w:val="007876FD"/>
    <w:rsid w:val="007878CF"/>
    <w:rsid w:val="007878FF"/>
    <w:rsid w:val="00787975"/>
    <w:rsid w:val="00787A91"/>
    <w:rsid w:val="00787ADE"/>
    <w:rsid w:val="00787B5A"/>
    <w:rsid w:val="00787D9E"/>
    <w:rsid w:val="00790019"/>
    <w:rsid w:val="007904E0"/>
    <w:rsid w:val="007904E1"/>
    <w:rsid w:val="00790501"/>
    <w:rsid w:val="00790833"/>
    <w:rsid w:val="00790940"/>
    <w:rsid w:val="00790A7E"/>
    <w:rsid w:val="00790BED"/>
    <w:rsid w:val="00790D05"/>
    <w:rsid w:val="00790F34"/>
    <w:rsid w:val="00790F95"/>
    <w:rsid w:val="00791086"/>
    <w:rsid w:val="00791286"/>
    <w:rsid w:val="007916A3"/>
    <w:rsid w:val="00791928"/>
    <w:rsid w:val="0079196A"/>
    <w:rsid w:val="00791DF5"/>
    <w:rsid w:val="00791ED6"/>
    <w:rsid w:val="007921A7"/>
    <w:rsid w:val="00792570"/>
    <w:rsid w:val="007926DB"/>
    <w:rsid w:val="00792D16"/>
    <w:rsid w:val="00792DA5"/>
    <w:rsid w:val="0079305A"/>
    <w:rsid w:val="0079318E"/>
    <w:rsid w:val="007933B5"/>
    <w:rsid w:val="007934C1"/>
    <w:rsid w:val="007935B3"/>
    <w:rsid w:val="00793B2A"/>
    <w:rsid w:val="00793BD2"/>
    <w:rsid w:val="007940FD"/>
    <w:rsid w:val="0079411A"/>
    <w:rsid w:val="0079417B"/>
    <w:rsid w:val="007942EC"/>
    <w:rsid w:val="00794701"/>
    <w:rsid w:val="00794785"/>
    <w:rsid w:val="00794981"/>
    <w:rsid w:val="007949DD"/>
    <w:rsid w:val="00794B2F"/>
    <w:rsid w:val="00794D8E"/>
    <w:rsid w:val="00794FD7"/>
    <w:rsid w:val="00794FF1"/>
    <w:rsid w:val="0079508E"/>
    <w:rsid w:val="00795594"/>
    <w:rsid w:val="007956C1"/>
    <w:rsid w:val="00795B47"/>
    <w:rsid w:val="00795BA0"/>
    <w:rsid w:val="0079611A"/>
    <w:rsid w:val="007961FE"/>
    <w:rsid w:val="0079629F"/>
    <w:rsid w:val="0079675B"/>
    <w:rsid w:val="007967CD"/>
    <w:rsid w:val="007969FF"/>
    <w:rsid w:val="00796D9D"/>
    <w:rsid w:val="00797011"/>
    <w:rsid w:val="0079770F"/>
    <w:rsid w:val="00797AD9"/>
    <w:rsid w:val="00797BED"/>
    <w:rsid w:val="00797CB0"/>
    <w:rsid w:val="00797CC9"/>
    <w:rsid w:val="00797D20"/>
    <w:rsid w:val="00797D62"/>
    <w:rsid w:val="00797EB5"/>
    <w:rsid w:val="00797FC3"/>
    <w:rsid w:val="007A0000"/>
    <w:rsid w:val="007A0105"/>
    <w:rsid w:val="007A03CD"/>
    <w:rsid w:val="007A040A"/>
    <w:rsid w:val="007A056C"/>
    <w:rsid w:val="007A09BA"/>
    <w:rsid w:val="007A09EB"/>
    <w:rsid w:val="007A0A31"/>
    <w:rsid w:val="007A0A85"/>
    <w:rsid w:val="007A0F6A"/>
    <w:rsid w:val="007A1029"/>
    <w:rsid w:val="007A1257"/>
    <w:rsid w:val="007A1421"/>
    <w:rsid w:val="007A160E"/>
    <w:rsid w:val="007A1697"/>
    <w:rsid w:val="007A17A0"/>
    <w:rsid w:val="007A1B10"/>
    <w:rsid w:val="007A1B3F"/>
    <w:rsid w:val="007A1CFE"/>
    <w:rsid w:val="007A1DA9"/>
    <w:rsid w:val="007A20DB"/>
    <w:rsid w:val="007A2363"/>
    <w:rsid w:val="007A240B"/>
    <w:rsid w:val="007A24A9"/>
    <w:rsid w:val="007A254B"/>
    <w:rsid w:val="007A25B2"/>
    <w:rsid w:val="007A277F"/>
    <w:rsid w:val="007A27BF"/>
    <w:rsid w:val="007A281C"/>
    <w:rsid w:val="007A2B0D"/>
    <w:rsid w:val="007A2C35"/>
    <w:rsid w:val="007A2DFB"/>
    <w:rsid w:val="007A2F12"/>
    <w:rsid w:val="007A3022"/>
    <w:rsid w:val="007A347A"/>
    <w:rsid w:val="007A3499"/>
    <w:rsid w:val="007A37D2"/>
    <w:rsid w:val="007A3A8F"/>
    <w:rsid w:val="007A3B21"/>
    <w:rsid w:val="007A3B89"/>
    <w:rsid w:val="007A3CD5"/>
    <w:rsid w:val="007A3DAF"/>
    <w:rsid w:val="007A3E80"/>
    <w:rsid w:val="007A422D"/>
    <w:rsid w:val="007A4271"/>
    <w:rsid w:val="007A43B9"/>
    <w:rsid w:val="007A444B"/>
    <w:rsid w:val="007A4495"/>
    <w:rsid w:val="007A4572"/>
    <w:rsid w:val="007A46AC"/>
    <w:rsid w:val="007A4F1F"/>
    <w:rsid w:val="007A4F95"/>
    <w:rsid w:val="007A5481"/>
    <w:rsid w:val="007A5C0A"/>
    <w:rsid w:val="007A5C6A"/>
    <w:rsid w:val="007A5E03"/>
    <w:rsid w:val="007A6025"/>
    <w:rsid w:val="007A60CB"/>
    <w:rsid w:val="007A62FB"/>
    <w:rsid w:val="007A638D"/>
    <w:rsid w:val="007A6802"/>
    <w:rsid w:val="007A68B1"/>
    <w:rsid w:val="007A698F"/>
    <w:rsid w:val="007A6DF3"/>
    <w:rsid w:val="007A6E25"/>
    <w:rsid w:val="007A6F5D"/>
    <w:rsid w:val="007A77C6"/>
    <w:rsid w:val="007A79E3"/>
    <w:rsid w:val="007A7A8A"/>
    <w:rsid w:val="007A7B1D"/>
    <w:rsid w:val="007A7BFC"/>
    <w:rsid w:val="007A7FDB"/>
    <w:rsid w:val="007B0203"/>
    <w:rsid w:val="007B0383"/>
    <w:rsid w:val="007B05E9"/>
    <w:rsid w:val="007B06D0"/>
    <w:rsid w:val="007B06FD"/>
    <w:rsid w:val="007B0882"/>
    <w:rsid w:val="007B09E8"/>
    <w:rsid w:val="007B0AA9"/>
    <w:rsid w:val="007B0EE4"/>
    <w:rsid w:val="007B1288"/>
    <w:rsid w:val="007B12D8"/>
    <w:rsid w:val="007B12EC"/>
    <w:rsid w:val="007B155D"/>
    <w:rsid w:val="007B15A8"/>
    <w:rsid w:val="007B164D"/>
    <w:rsid w:val="007B16A9"/>
    <w:rsid w:val="007B16CB"/>
    <w:rsid w:val="007B19BB"/>
    <w:rsid w:val="007B1A5C"/>
    <w:rsid w:val="007B1D05"/>
    <w:rsid w:val="007B221C"/>
    <w:rsid w:val="007B2251"/>
    <w:rsid w:val="007B267B"/>
    <w:rsid w:val="007B2842"/>
    <w:rsid w:val="007B29C4"/>
    <w:rsid w:val="007B2AEE"/>
    <w:rsid w:val="007B2D48"/>
    <w:rsid w:val="007B2E28"/>
    <w:rsid w:val="007B2FB1"/>
    <w:rsid w:val="007B3325"/>
    <w:rsid w:val="007B359A"/>
    <w:rsid w:val="007B3703"/>
    <w:rsid w:val="007B3BF4"/>
    <w:rsid w:val="007B3F68"/>
    <w:rsid w:val="007B4004"/>
    <w:rsid w:val="007B406E"/>
    <w:rsid w:val="007B4261"/>
    <w:rsid w:val="007B4361"/>
    <w:rsid w:val="007B47E6"/>
    <w:rsid w:val="007B49D1"/>
    <w:rsid w:val="007B4D2F"/>
    <w:rsid w:val="007B500A"/>
    <w:rsid w:val="007B500D"/>
    <w:rsid w:val="007B5093"/>
    <w:rsid w:val="007B51A9"/>
    <w:rsid w:val="007B52C5"/>
    <w:rsid w:val="007B5552"/>
    <w:rsid w:val="007B56C0"/>
    <w:rsid w:val="007B5776"/>
    <w:rsid w:val="007B57E6"/>
    <w:rsid w:val="007B5826"/>
    <w:rsid w:val="007B58EE"/>
    <w:rsid w:val="007B5971"/>
    <w:rsid w:val="007B60BB"/>
    <w:rsid w:val="007B6642"/>
    <w:rsid w:val="007B66E2"/>
    <w:rsid w:val="007B67DF"/>
    <w:rsid w:val="007B68B6"/>
    <w:rsid w:val="007B692D"/>
    <w:rsid w:val="007B69CE"/>
    <w:rsid w:val="007B69FD"/>
    <w:rsid w:val="007B6CFB"/>
    <w:rsid w:val="007B7153"/>
    <w:rsid w:val="007B72C4"/>
    <w:rsid w:val="007B732F"/>
    <w:rsid w:val="007B77D6"/>
    <w:rsid w:val="007B7AC2"/>
    <w:rsid w:val="007B7CF7"/>
    <w:rsid w:val="007B7F95"/>
    <w:rsid w:val="007C0004"/>
    <w:rsid w:val="007C008A"/>
    <w:rsid w:val="007C043F"/>
    <w:rsid w:val="007C06B5"/>
    <w:rsid w:val="007C0864"/>
    <w:rsid w:val="007C0B72"/>
    <w:rsid w:val="007C0C20"/>
    <w:rsid w:val="007C0C2F"/>
    <w:rsid w:val="007C0D5E"/>
    <w:rsid w:val="007C10EE"/>
    <w:rsid w:val="007C1289"/>
    <w:rsid w:val="007C1760"/>
    <w:rsid w:val="007C1890"/>
    <w:rsid w:val="007C1927"/>
    <w:rsid w:val="007C1A13"/>
    <w:rsid w:val="007C1B41"/>
    <w:rsid w:val="007C1E9B"/>
    <w:rsid w:val="007C1FD5"/>
    <w:rsid w:val="007C216D"/>
    <w:rsid w:val="007C2520"/>
    <w:rsid w:val="007C28A1"/>
    <w:rsid w:val="007C2DF0"/>
    <w:rsid w:val="007C3322"/>
    <w:rsid w:val="007C35C5"/>
    <w:rsid w:val="007C36DC"/>
    <w:rsid w:val="007C3803"/>
    <w:rsid w:val="007C38D6"/>
    <w:rsid w:val="007C38DF"/>
    <w:rsid w:val="007C3C95"/>
    <w:rsid w:val="007C4171"/>
    <w:rsid w:val="007C418B"/>
    <w:rsid w:val="007C4676"/>
    <w:rsid w:val="007C48AD"/>
    <w:rsid w:val="007C4CD1"/>
    <w:rsid w:val="007C545F"/>
    <w:rsid w:val="007C578E"/>
    <w:rsid w:val="007C5890"/>
    <w:rsid w:val="007C5B08"/>
    <w:rsid w:val="007C5B09"/>
    <w:rsid w:val="007C5B91"/>
    <w:rsid w:val="007C5CB0"/>
    <w:rsid w:val="007C6171"/>
    <w:rsid w:val="007C618F"/>
    <w:rsid w:val="007C6206"/>
    <w:rsid w:val="007C66AD"/>
    <w:rsid w:val="007C67C5"/>
    <w:rsid w:val="007C6973"/>
    <w:rsid w:val="007C6B26"/>
    <w:rsid w:val="007C6B4F"/>
    <w:rsid w:val="007C6C10"/>
    <w:rsid w:val="007C6C65"/>
    <w:rsid w:val="007C6E11"/>
    <w:rsid w:val="007C6E60"/>
    <w:rsid w:val="007C6EF0"/>
    <w:rsid w:val="007C6FDB"/>
    <w:rsid w:val="007C7053"/>
    <w:rsid w:val="007C72BC"/>
    <w:rsid w:val="007C747C"/>
    <w:rsid w:val="007C761D"/>
    <w:rsid w:val="007C768A"/>
    <w:rsid w:val="007C768F"/>
    <w:rsid w:val="007C78B4"/>
    <w:rsid w:val="007C7944"/>
    <w:rsid w:val="007C7965"/>
    <w:rsid w:val="007C7A11"/>
    <w:rsid w:val="007C7AA7"/>
    <w:rsid w:val="007C7C55"/>
    <w:rsid w:val="007C7E77"/>
    <w:rsid w:val="007D0469"/>
    <w:rsid w:val="007D0529"/>
    <w:rsid w:val="007D0574"/>
    <w:rsid w:val="007D07C6"/>
    <w:rsid w:val="007D0970"/>
    <w:rsid w:val="007D0EBE"/>
    <w:rsid w:val="007D12E7"/>
    <w:rsid w:val="007D187F"/>
    <w:rsid w:val="007D1B2B"/>
    <w:rsid w:val="007D1B7E"/>
    <w:rsid w:val="007D1B90"/>
    <w:rsid w:val="007D20E7"/>
    <w:rsid w:val="007D21DE"/>
    <w:rsid w:val="007D22BC"/>
    <w:rsid w:val="007D2576"/>
    <w:rsid w:val="007D2735"/>
    <w:rsid w:val="007D27E3"/>
    <w:rsid w:val="007D2819"/>
    <w:rsid w:val="007D2891"/>
    <w:rsid w:val="007D28DA"/>
    <w:rsid w:val="007D2BED"/>
    <w:rsid w:val="007D30AD"/>
    <w:rsid w:val="007D321D"/>
    <w:rsid w:val="007D3314"/>
    <w:rsid w:val="007D33DE"/>
    <w:rsid w:val="007D3454"/>
    <w:rsid w:val="007D3541"/>
    <w:rsid w:val="007D3811"/>
    <w:rsid w:val="007D399E"/>
    <w:rsid w:val="007D3CDF"/>
    <w:rsid w:val="007D4124"/>
    <w:rsid w:val="007D425B"/>
    <w:rsid w:val="007D44D5"/>
    <w:rsid w:val="007D4539"/>
    <w:rsid w:val="007D46D4"/>
    <w:rsid w:val="007D4961"/>
    <w:rsid w:val="007D4ACF"/>
    <w:rsid w:val="007D4BD0"/>
    <w:rsid w:val="007D4D36"/>
    <w:rsid w:val="007D4DD7"/>
    <w:rsid w:val="007D5299"/>
    <w:rsid w:val="007D52DC"/>
    <w:rsid w:val="007D5A67"/>
    <w:rsid w:val="007D5AD7"/>
    <w:rsid w:val="007D5B1E"/>
    <w:rsid w:val="007D5BAE"/>
    <w:rsid w:val="007D5BC6"/>
    <w:rsid w:val="007D5E45"/>
    <w:rsid w:val="007D5F2F"/>
    <w:rsid w:val="007D5F84"/>
    <w:rsid w:val="007D5FD0"/>
    <w:rsid w:val="007D636C"/>
    <w:rsid w:val="007D6511"/>
    <w:rsid w:val="007D669D"/>
    <w:rsid w:val="007D6767"/>
    <w:rsid w:val="007D693E"/>
    <w:rsid w:val="007D6B6C"/>
    <w:rsid w:val="007D6D86"/>
    <w:rsid w:val="007D731C"/>
    <w:rsid w:val="007D73AB"/>
    <w:rsid w:val="007D7732"/>
    <w:rsid w:val="007D7943"/>
    <w:rsid w:val="007D7F89"/>
    <w:rsid w:val="007E018D"/>
    <w:rsid w:val="007E0320"/>
    <w:rsid w:val="007E038D"/>
    <w:rsid w:val="007E03C0"/>
    <w:rsid w:val="007E0744"/>
    <w:rsid w:val="007E0772"/>
    <w:rsid w:val="007E08B1"/>
    <w:rsid w:val="007E0DAA"/>
    <w:rsid w:val="007E0ED8"/>
    <w:rsid w:val="007E0FBA"/>
    <w:rsid w:val="007E13D8"/>
    <w:rsid w:val="007E1677"/>
    <w:rsid w:val="007E1904"/>
    <w:rsid w:val="007E2019"/>
    <w:rsid w:val="007E2034"/>
    <w:rsid w:val="007E2175"/>
    <w:rsid w:val="007E275B"/>
    <w:rsid w:val="007E2836"/>
    <w:rsid w:val="007E33F4"/>
    <w:rsid w:val="007E39DF"/>
    <w:rsid w:val="007E3B57"/>
    <w:rsid w:val="007E3B63"/>
    <w:rsid w:val="007E40AC"/>
    <w:rsid w:val="007E441E"/>
    <w:rsid w:val="007E448B"/>
    <w:rsid w:val="007E4B61"/>
    <w:rsid w:val="007E4CE6"/>
    <w:rsid w:val="007E4CEE"/>
    <w:rsid w:val="007E4DDA"/>
    <w:rsid w:val="007E5473"/>
    <w:rsid w:val="007E54CC"/>
    <w:rsid w:val="007E562B"/>
    <w:rsid w:val="007E568A"/>
    <w:rsid w:val="007E56F7"/>
    <w:rsid w:val="007E585F"/>
    <w:rsid w:val="007E594C"/>
    <w:rsid w:val="007E5A8B"/>
    <w:rsid w:val="007E5A94"/>
    <w:rsid w:val="007E622D"/>
    <w:rsid w:val="007E62BA"/>
    <w:rsid w:val="007E66D1"/>
    <w:rsid w:val="007E6812"/>
    <w:rsid w:val="007E6B7C"/>
    <w:rsid w:val="007E6C9C"/>
    <w:rsid w:val="007E703D"/>
    <w:rsid w:val="007E7118"/>
    <w:rsid w:val="007E76C6"/>
    <w:rsid w:val="007E7858"/>
    <w:rsid w:val="007E7931"/>
    <w:rsid w:val="007E7B29"/>
    <w:rsid w:val="007E7D93"/>
    <w:rsid w:val="007E7F1F"/>
    <w:rsid w:val="007F019F"/>
    <w:rsid w:val="007F01C4"/>
    <w:rsid w:val="007F0699"/>
    <w:rsid w:val="007F07E6"/>
    <w:rsid w:val="007F08B2"/>
    <w:rsid w:val="007F0AED"/>
    <w:rsid w:val="007F0CF2"/>
    <w:rsid w:val="007F0D03"/>
    <w:rsid w:val="007F0ECF"/>
    <w:rsid w:val="007F0F82"/>
    <w:rsid w:val="007F117F"/>
    <w:rsid w:val="007F1306"/>
    <w:rsid w:val="007F1350"/>
    <w:rsid w:val="007F15AC"/>
    <w:rsid w:val="007F161D"/>
    <w:rsid w:val="007F1699"/>
    <w:rsid w:val="007F1A63"/>
    <w:rsid w:val="007F1A98"/>
    <w:rsid w:val="007F1C92"/>
    <w:rsid w:val="007F21E8"/>
    <w:rsid w:val="007F2616"/>
    <w:rsid w:val="007F26E0"/>
    <w:rsid w:val="007F2ACF"/>
    <w:rsid w:val="007F2D0E"/>
    <w:rsid w:val="007F30BC"/>
    <w:rsid w:val="007F3155"/>
    <w:rsid w:val="007F32AF"/>
    <w:rsid w:val="007F32D1"/>
    <w:rsid w:val="007F33FA"/>
    <w:rsid w:val="007F34C2"/>
    <w:rsid w:val="007F3836"/>
    <w:rsid w:val="007F3975"/>
    <w:rsid w:val="007F3DA6"/>
    <w:rsid w:val="007F3E87"/>
    <w:rsid w:val="007F3F8B"/>
    <w:rsid w:val="007F3FE8"/>
    <w:rsid w:val="007F43A5"/>
    <w:rsid w:val="007F4606"/>
    <w:rsid w:val="007F4828"/>
    <w:rsid w:val="007F4A06"/>
    <w:rsid w:val="007F4DA6"/>
    <w:rsid w:val="007F4DD8"/>
    <w:rsid w:val="007F504B"/>
    <w:rsid w:val="007F51AE"/>
    <w:rsid w:val="007F5349"/>
    <w:rsid w:val="007F61B9"/>
    <w:rsid w:val="007F6547"/>
    <w:rsid w:val="007F65C3"/>
    <w:rsid w:val="007F6627"/>
    <w:rsid w:val="007F6790"/>
    <w:rsid w:val="007F688F"/>
    <w:rsid w:val="007F6A12"/>
    <w:rsid w:val="007F6A19"/>
    <w:rsid w:val="007F6D02"/>
    <w:rsid w:val="007F70EA"/>
    <w:rsid w:val="007F7137"/>
    <w:rsid w:val="007F72D4"/>
    <w:rsid w:val="007F7390"/>
    <w:rsid w:val="007F7A8C"/>
    <w:rsid w:val="007F7D66"/>
    <w:rsid w:val="0080001F"/>
    <w:rsid w:val="008001A6"/>
    <w:rsid w:val="008002F9"/>
    <w:rsid w:val="008002FD"/>
    <w:rsid w:val="008005C8"/>
    <w:rsid w:val="0080060D"/>
    <w:rsid w:val="0080061D"/>
    <w:rsid w:val="008006BE"/>
    <w:rsid w:val="008006F9"/>
    <w:rsid w:val="00800929"/>
    <w:rsid w:val="00800F85"/>
    <w:rsid w:val="00800FA4"/>
    <w:rsid w:val="008011DB"/>
    <w:rsid w:val="00801326"/>
    <w:rsid w:val="008015A2"/>
    <w:rsid w:val="008016E0"/>
    <w:rsid w:val="00801764"/>
    <w:rsid w:val="00801944"/>
    <w:rsid w:val="00801F77"/>
    <w:rsid w:val="00801FDD"/>
    <w:rsid w:val="00802015"/>
    <w:rsid w:val="0080224D"/>
    <w:rsid w:val="00802271"/>
    <w:rsid w:val="00802328"/>
    <w:rsid w:val="008026DB"/>
    <w:rsid w:val="00802A8F"/>
    <w:rsid w:val="00802B2B"/>
    <w:rsid w:val="00802B87"/>
    <w:rsid w:val="00802C4A"/>
    <w:rsid w:val="0080352F"/>
    <w:rsid w:val="0080357F"/>
    <w:rsid w:val="0080358E"/>
    <w:rsid w:val="008036E8"/>
    <w:rsid w:val="008036E9"/>
    <w:rsid w:val="0080397A"/>
    <w:rsid w:val="00803A72"/>
    <w:rsid w:val="00803ABD"/>
    <w:rsid w:val="00803B3C"/>
    <w:rsid w:val="00803BEC"/>
    <w:rsid w:val="00804183"/>
    <w:rsid w:val="008041BD"/>
    <w:rsid w:val="008042D7"/>
    <w:rsid w:val="0080498C"/>
    <w:rsid w:val="00805184"/>
    <w:rsid w:val="00805258"/>
    <w:rsid w:val="00805471"/>
    <w:rsid w:val="0080559E"/>
    <w:rsid w:val="008055B6"/>
    <w:rsid w:val="008056F0"/>
    <w:rsid w:val="008056F1"/>
    <w:rsid w:val="0080583F"/>
    <w:rsid w:val="00805872"/>
    <w:rsid w:val="00805A71"/>
    <w:rsid w:val="00805C3F"/>
    <w:rsid w:val="00805C67"/>
    <w:rsid w:val="00805E02"/>
    <w:rsid w:val="0080619D"/>
    <w:rsid w:val="00806293"/>
    <w:rsid w:val="00806303"/>
    <w:rsid w:val="008066F0"/>
    <w:rsid w:val="008066F3"/>
    <w:rsid w:val="00806868"/>
    <w:rsid w:val="008068F1"/>
    <w:rsid w:val="00806979"/>
    <w:rsid w:val="008069CD"/>
    <w:rsid w:val="00806CEF"/>
    <w:rsid w:val="00807054"/>
    <w:rsid w:val="008070D5"/>
    <w:rsid w:val="0080710D"/>
    <w:rsid w:val="008071E6"/>
    <w:rsid w:val="0080728A"/>
    <w:rsid w:val="00807631"/>
    <w:rsid w:val="00807666"/>
    <w:rsid w:val="00807689"/>
    <w:rsid w:val="008076D7"/>
    <w:rsid w:val="0080778C"/>
    <w:rsid w:val="00807A41"/>
    <w:rsid w:val="00807DA1"/>
    <w:rsid w:val="00807E60"/>
    <w:rsid w:val="00807FF0"/>
    <w:rsid w:val="00810512"/>
    <w:rsid w:val="008109E4"/>
    <w:rsid w:val="00810A8F"/>
    <w:rsid w:val="0081104D"/>
    <w:rsid w:val="008110AD"/>
    <w:rsid w:val="0081130E"/>
    <w:rsid w:val="0081146F"/>
    <w:rsid w:val="008117AA"/>
    <w:rsid w:val="00811942"/>
    <w:rsid w:val="00811A63"/>
    <w:rsid w:val="00811C50"/>
    <w:rsid w:val="00811D95"/>
    <w:rsid w:val="008123E8"/>
    <w:rsid w:val="00812BB9"/>
    <w:rsid w:val="00812BCF"/>
    <w:rsid w:val="00812CA8"/>
    <w:rsid w:val="00812EDD"/>
    <w:rsid w:val="00813058"/>
    <w:rsid w:val="0081307D"/>
    <w:rsid w:val="008130A7"/>
    <w:rsid w:val="008131BF"/>
    <w:rsid w:val="008131C4"/>
    <w:rsid w:val="008135F3"/>
    <w:rsid w:val="008135F5"/>
    <w:rsid w:val="00813694"/>
    <w:rsid w:val="008136BD"/>
    <w:rsid w:val="008139BA"/>
    <w:rsid w:val="00813C24"/>
    <w:rsid w:val="00813CA0"/>
    <w:rsid w:val="00813DBC"/>
    <w:rsid w:val="00813F6B"/>
    <w:rsid w:val="00813F7A"/>
    <w:rsid w:val="00814250"/>
    <w:rsid w:val="00814468"/>
    <w:rsid w:val="00814477"/>
    <w:rsid w:val="0081466C"/>
    <w:rsid w:val="0081485C"/>
    <w:rsid w:val="00814897"/>
    <w:rsid w:val="00814CB7"/>
    <w:rsid w:val="00814CC5"/>
    <w:rsid w:val="008150EB"/>
    <w:rsid w:val="0081510D"/>
    <w:rsid w:val="00815187"/>
    <w:rsid w:val="008151E2"/>
    <w:rsid w:val="008152E5"/>
    <w:rsid w:val="008152FF"/>
    <w:rsid w:val="008156CC"/>
    <w:rsid w:val="00815896"/>
    <w:rsid w:val="00815F3D"/>
    <w:rsid w:val="00815FA2"/>
    <w:rsid w:val="00815FAF"/>
    <w:rsid w:val="0081619C"/>
    <w:rsid w:val="0081625C"/>
    <w:rsid w:val="0081633D"/>
    <w:rsid w:val="008163AF"/>
    <w:rsid w:val="008166C4"/>
    <w:rsid w:val="00816CCA"/>
    <w:rsid w:val="00816D95"/>
    <w:rsid w:val="00816E70"/>
    <w:rsid w:val="00816ED6"/>
    <w:rsid w:val="00817002"/>
    <w:rsid w:val="00817039"/>
    <w:rsid w:val="008170BA"/>
    <w:rsid w:val="008173F2"/>
    <w:rsid w:val="0081748D"/>
    <w:rsid w:val="0081752A"/>
    <w:rsid w:val="0081754A"/>
    <w:rsid w:val="0081757E"/>
    <w:rsid w:val="00817682"/>
    <w:rsid w:val="008176F7"/>
    <w:rsid w:val="00817838"/>
    <w:rsid w:val="00817984"/>
    <w:rsid w:val="00817E76"/>
    <w:rsid w:val="0082016D"/>
    <w:rsid w:val="008201A9"/>
    <w:rsid w:val="00820271"/>
    <w:rsid w:val="0082051D"/>
    <w:rsid w:val="00820559"/>
    <w:rsid w:val="00820574"/>
    <w:rsid w:val="0082072E"/>
    <w:rsid w:val="00820898"/>
    <w:rsid w:val="00820BB4"/>
    <w:rsid w:val="00820D27"/>
    <w:rsid w:val="008210B8"/>
    <w:rsid w:val="008217A1"/>
    <w:rsid w:val="00821C07"/>
    <w:rsid w:val="00821E04"/>
    <w:rsid w:val="00821F18"/>
    <w:rsid w:val="00821FC3"/>
    <w:rsid w:val="0082214E"/>
    <w:rsid w:val="0082219A"/>
    <w:rsid w:val="008223C3"/>
    <w:rsid w:val="008225D4"/>
    <w:rsid w:val="00822732"/>
    <w:rsid w:val="008227BD"/>
    <w:rsid w:val="008228ED"/>
    <w:rsid w:val="00822995"/>
    <w:rsid w:val="00822BEA"/>
    <w:rsid w:val="00822C48"/>
    <w:rsid w:val="00822CDD"/>
    <w:rsid w:val="00822EA5"/>
    <w:rsid w:val="00822EF7"/>
    <w:rsid w:val="00822FC7"/>
    <w:rsid w:val="00823007"/>
    <w:rsid w:val="008230B4"/>
    <w:rsid w:val="008232A6"/>
    <w:rsid w:val="008234AA"/>
    <w:rsid w:val="008236B3"/>
    <w:rsid w:val="0082378D"/>
    <w:rsid w:val="008239DE"/>
    <w:rsid w:val="00823F81"/>
    <w:rsid w:val="0082433A"/>
    <w:rsid w:val="00824452"/>
    <w:rsid w:val="008244DC"/>
    <w:rsid w:val="008246F9"/>
    <w:rsid w:val="00824A79"/>
    <w:rsid w:val="00824FF9"/>
    <w:rsid w:val="00825718"/>
    <w:rsid w:val="008258C0"/>
    <w:rsid w:val="00825986"/>
    <w:rsid w:val="00825A2F"/>
    <w:rsid w:val="00825A79"/>
    <w:rsid w:val="00825CB7"/>
    <w:rsid w:val="00825F42"/>
    <w:rsid w:val="00825FA7"/>
    <w:rsid w:val="00825FB8"/>
    <w:rsid w:val="00826198"/>
    <w:rsid w:val="00826506"/>
    <w:rsid w:val="00826618"/>
    <w:rsid w:val="00826734"/>
    <w:rsid w:val="00826C28"/>
    <w:rsid w:val="00826E79"/>
    <w:rsid w:val="00826E92"/>
    <w:rsid w:val="0082716B"/>
    <w:rsid w:val="00827594"/>
    <w:rsid w:val="00827757"/>
    <w:rsid w:val="0082787B"/>
    <w:rsid w:val="008278FB"/>
    <w:rsid w:val="0082790E"/>
    <w:rsid w:val="008279FE"/>
    <w:rsid w:val="00827BD9"/>
    <w:rsid w:val="00827C96"/>
    <w:rsid w:val="00827EEC"/>
    <w:rsid w:val="008300AB"/>
    <w:rsid w:val="008303E5"/>
    <w:rsid w:val="00830416"/>
    <w:rsid w:val="008304D3"/>
    <w:rsid w:val="008305D1"/>
    <w:rsid w:val="008306AB"/>
    <w:rsid w:val="00830A12"/>
    <w:rsid w:val="00830AE7"/>
    <w:rsid w:val="00830BA4"/>
    <w:rsid w:val="00831011"/>
    <w:rsid w:val="008311A0"/>
    <w:rsid w:val="008312ED"/>
    <w:rsid w:val="0083141F"/>
    <w:rsid w:val="00831537"/>
    <w:rsid w:val="008318AE"/>
    <w:rsid w:val="00831996"/>
    <w:rsid w:val="00831A7A"/>
    <w:rsid w:val="00831AB7"/>
    <w:rsid w:val="00831AC4"/>
    <w:rsid w:val="00831BBA"/>
    <w:rsid w:val="00831EA3"/>
    <w:rsid w:val="00831EE2"/>
    <w:rsid w:val="00832400"/>
    <w:rsid w:val="008328B4"/>
    <w:rsid w:val="00832904"/>
    <w:rsid w:val="00832ACF"/>
    <w:rsid w:val="00832C5A"/>
    <w:rsid w:val="00832E04"/>
    <w:rsid w:val="00832EA1"/>
    <w:rsid w:val="0083320A"/>
    <w:rsid w:val="00833279"/>
    <w:rsid w:val="008332DC"/>
    <w:rsid w:val="008332E0"/>
    <w:rsid w:val="00833420"/>
    <w:rsid w:val="008336E7"/>
    <w:rsid w:val="0083378D"/>
    <w:rsid w:val="0083392A"/>
    <w:rsid w:val="0083392F"/>
    <w:rsid w:val="00833E9A"/>
    <w:rsid w:val="00833EB4"/>
    <w:rsid w:val="00834097"/>
    <w:rsid w:val="00834381"/>
    <w:rsid w:val="008343C9"/>
    <w:rsid w:val="0083449F"/>
    <w:rsid w:val="00834833"/>
    <w:rsid w:val="00834AD5"/>
    <w:rsid w:val="00835256"/>
    <w:rsid w:val="008353B1"/>
    <w:rsid w:val="008355C7"/>
    <w:rsid w:val="008356BB"/>
    <w:rsid w:val="008356F6"/>
    <w:rsid w:val="00835A69"/>
    <w:rsid w:val="00835B5A"/>
    <w:rsid w:val="00835FAB"/>
    <w:rsid w:val="00836033"/>
    <w:rsid w:val="008363D7"/>
    <w:rsid w:val="008365CD"/>
    <w:rsid w:val="008366A6"/>
    <w:rsid w:val="0083684E"/>
    <w:rsid w:val="00836CEA"/>
    <w:rsid w:val="00836D01"/>
    <w:rsid w:val="00836DDB"/>
    <w:rsid w:val="00836E72"/>
    <w:rsid w:val="00837109"/>
    <w:rsid w:val="00837560"/>
    <w:rsid w:val="00837807"/>
    <w:rsid w:val="00837D8D"/>
    <w:rsid w:val="008400DA"/>
    <w:rsid w:val="00840159"/>
    <w:rsid w:val="008401CC"/>
    <w:rsid w:val="008402E5"/>
    <w:rsid w:val="008402FA"/>
    <w:rsid w:val="008406D1"/>
    <w:rsid w:val="00840A9D"/>
    <w:rsid w:val="00840BED"/>
    <w:rsid w:val="008411E4"/>
    <w:rsid w:val="0084125E"/>
    <w:rsid w:val="008415CD"/>
    <w:rsid w:val="00841892"/>
    <w:rsid w:val="00841C53"/>
    <w:rsid w:val="00841CB0"/>
    <w:rsid w:val="00841EA0"/>
    <w:rsid w:val="008421F2"/>
    <w:rsid w:val="008428BF"/>
    <w:rsid w:val="00842B66"/>
    <w:rsid w:val="00842BCA"/>
    <w:rsid w:val="00842D30"/>
    <w:rsid w:val="00842F70"/>
    <w:rsid w:val="0084300F"/>
    <w:rsid w:val="00843469"/>
    <w:rsid w:val="0084363C"/>
    <w:rsid w:val="0084373A"/>
    <w:rsid w:val="00843875"/>
    <w:rsid w:val="0084389C"/>
    <w:rsid w:val="00843BDE"/>
    <w:rsid w:val="00843C7F"/>
    <w:rsid w:val="00843E8F"/>
    <w:rsid w:val="00843EB0"/>
    <w:rsid w:val="00843F27"/>
    <w:rsid w:val="00843FAB"/>
    <w:rsid w:val="00844069"/>
    <w:rsid w:val="0084407B"/>
    <w:rsid w:val="008447CF"/>
    <w:rsid w:val="00844DD5"/>
    <w:rsid w:val="00844F9D"/>
    <w:rsid w:val="0084503F"/>
    <w:rsid w:val="008451AC"/>
    <w:rsid w:val="00845423"/>
    <w:rsid w:val="00845C0D"/>
    <w:rsid w:val="00845D1B"/>
    <w:rsid w:val="00846265"/>
    <w:rsid w:val="008463B1"/>
    <w:rsid w:val="008464BC"/>
    <w:rsid w:val="008465D7"/>
    <w:rsid w:val="00846657"/>
    <w:rsid w:val="008468E3"/>
    <w:rsid w:val="00846D70"/>
    <w:rsid w:val="00846E0F"/>
    <w:rsid w:val="00846E57"/>
    <w:rsid w:val="00847051"/>
    <w:rsid w:val="008470FB"/>
    <w:rsid w:val="0084730A"/>
    <w:rsid w:val="0084732E"/>
    <w:rsid w:val="00847388"/>
    <w:rsid w:val="0084738C"/>
    <w:rsid w:val="00847987"/>
    <w:rsid w:val="00847A37"/>
    <w:rsid w:val="00847DE6"/>
    <w:rsid w:val="00847E64"/>
    <w:rsid w:val="0085024F"/>
    <w:rsid w:val="008503CF"/>
    <w:rsid w:val="008504A9"/>
    <w:rsid w:val="008504C0"/>
    <w:rsid w:val="00850681"/>
    <w:rsid w:val="0085080D"/>
    <w:rsid w:val="008509C8"/>
    <w:rsid w:val="00850B1D"/>
    <w:rsid w:val="00850C5D"/>
    <w:rsid w:val="00850CEB"/>
    <w:rsid w:val="00850F2B"/>
    <w:rsid w:val="00851129"/>
    <w:rsid w:val="00851A29"/>
    <w:rsid w:val="00851FCB"/>
    <w:rsid w:val="008520D8"/>
    <w:rsid w:val="008521F4"/>
    <w:rsid w:val="0085231C"/>
    <w:rsid w:val="008524C7"/>
    <w:rsid w:val="00852650"/>
    <w:rsid w:val="0085271B"/>
    <w:rsid w:val="00852785"/>
    <w:rsid w:val="00852866"/>
    <w:rsid w:val="00852A40"/>
    <w:rsid w:val="00852B23"/>
    <w:rsid w:val="00852BD4"/>
    <w:rsid w:val="00852D51"/>
    <w:rsid w:val="00852DDE"/>
    <w:rsid w:val="00852DE8"/>
    <w:rsid w:val="008530B3"/>
    <w:rsid w:val="00853580"/>
    <w:rsid w:val="00853883"/>
    <w:rsid w:val="008538E5"/>
    <w:rsid w:val="00853926"/>
    <w:rsid w:val="00853B3A"/>
    <w:rsid w:val="00853CE8"/>
    <w:rsid w:val="00853D01"/>
    <w:rsid w:val="00853D09"/>
    <w:rsid w:val="00853F40"/>
    <w:rsid w:val="008540D7"/>
    <w:rsid w:val="0085417F"/>
    <w:rsid w:val="008544F7"/>
    <w:rsid w:val="00854616"/>
    <w:rsid w:val="008549DD"/>
    <w:rsid w:val="00854BEB"/>
    <w:rsid w:val="00854C60"/>
    <w:rsid w:val="00854EEB"/>
    <w:rsid w:val="00854F1D"/>
    <w:rsid w:val="008559D3"/>
    <w:rsid w:val="00855A9A"/>
    <w:rsid w:val="00855E91"/>
    <w:rsid w:val="00855F37"/>
    <w:rsid w:val="0085603B"/>
    <w:rsid w:val="008560C2"/>
    <w:rsid w:val="00856189"/>
    <w:rsid w:val="008563AE"/>
    <w:rsid w:val="0085655D"/>
    <w:rsid w:val="00856572"/>
    <w:rsid w:val="008569CD"/>
    <w:rsid w:val="00856A0E"/>
    <w:rsid w:val="00856B53"/>
    <w:rsid w:val="00856F45"/>
    <w:rsid w:val="0085717A"/>
    <w:rsid w:val="00857537"/>
    <w:rsid w:val="0085758A"/>
    <w:rsid w:val="0085770B"/>
    <w:rsid w:val="00857730"/>
    <w:rsid w:val="00857DA5"/>
    <w:rsid w:val="00857DB8"/>
    <w:rsid w:val="00860378"/>
    <w:rsid w:val="008604CE"/>
    <w:rsid w:val="00860503"/>
    <w:rsid w:val="00860815"/>
    <w:rsid w:val="00860D93"/>
    <w:rsid w:val="0086115C"/>
    <w:rsid w:val="008611C9"/>
    <w:rsid w:val="008614CE"/>
    <w:rsid w:val="008616C3"/>
    <w:rsid w:val="008616FA"/>
    <w:rsid w:val="0086195A"/>
    <w:rsid w:val="00861B5A"/>
    <w:rsid w:val="00861B85"/>
    <w:rsid w:val="00861CAB"/>
    <w:rsid w:val="00862090"/>
    <w:rsid w:val="00862161"/>
    <w:rsid w:val="00862938"/>
    <w:rsid w:val="00862A42"/>
    <w:rsid w:val="00862F40"/>
    <w:rsid w:val="008631CE"/>
    <w:rsid w:val="0086326E"/>
    <w:rsid w:val="0086357B"/>
    <w:rsid w:val="008635B5"/>
    <w:rsid w:val="00863813"/>
    <w:rsid w:val="00863C69"/>
    <w:rsid w:val="00863E53"/>
    <w:rsid w:val="0086443E"/>
    <w:rsid w:val="008645E7"/>
    <w:rsid w:val="00864749"/>
    <w:rsid w:val="00864853"/>
    <w:rsid w:val="00864B7D"/>
    <w:rsid w:val="00864C2B"/>
    <w:rsid w:val="00864DE4"/>
    <w:rsid w:val="008658B7"/>
    <w:rsid w:val="00865BEA"/>
    <w:rsid w:val="00865C25"/>
    <w:rsid w:val="00865F5B"/>
    <w:rsid w:val="00866249"/>
    <w:rsid w:val="008665FE"/>
    <w:rsid w:val="00866858"/>
    <w:rsid w:val="0086688C"/>
    <w:rsid w:val="00866970"/>
    <w:rsid w:val="00866E0C"/>
    <w:rsid w:val="00866EB6"/>
    <w:rsid w:val="0086710B"/>
    <w:rsid w:val="0086745A"/>
    <w:rsid w:val="008674E0"/>
    <w:rsid w:val="00867583"/>
    <w:rsid w:val="008675F4"/>
    <w:rsid w:val="00867D97"/>
    <w:rsid w:val="00867FDB"/>
    <w:rsid w:val="00870025"/>
    <w:rsid w:val="0087031B"/>
    <w:rsid w:val="00870374"/>
    <w:rsid w:val="00870376"/>
    <w:rsid w:val="0087058E"/>
    <w:rsid w:val="0087058F"/>
    <w:rsid w:val="00870AA7"/>
    <w:rsid w:val="00870E0C"/>
    <w:rsid w:val="00870F84"/>
    <w:rsid w:val="00870FF5"/>
    <w:rsid w:val="008710EE"/>
    <w:rsid w:val="00871110"/>
    <w:rsid w:val="0087139F"/>
    <w:rsid w:val="00871416"/>
    <w:rsid w:val="0087155F"/>
    <w:rsid w:val="008715F9"/>
    <w:rsid w:val="00871CBF"/>
    <w:rsid w:val="008720CC"/>
    <w:rsid w:val="0087225D"/>
    <w:rsid w:val="00872311"/>
    <w:rsid w:val="00872416"/>
    <w:rsid w:val="00872488"/>
    <w:rsid w:val="00872551"/>
    <w:rsid w:val="00872915"/>
    <w:rsid w:val="00872943"/>
    <w:rsid w:val="00872A11"/>
    <w:rsid w:val="00872DE1"/>
    <w:rsid w:val="00872F17"/>
    <w:rsid w:val="00872FD2"/>
    <w:rsid w:val="0087303B"/>
    <w:rsid w:val="0087332C"/>
    <w:rsid w:val="008733B6"/>
    <w:rsid w:val="00873619"/>
    <w:rsid w:val="0087367D"/>
    <w:rsid w:val="0087381F"/>
    <w:rsid w:val="00873C1F"/>
    <w:rsid w:val="00873C64"/>
    <w:rsid w:val="00873D35"/>
    <w:rsid w:val="00873DA2"/>
    <w:rsid w:val="00873DAF"/>
    <w:rsid w:val="00873E66"/>
    <w:rsid w:val="00873F95"/>
    <w:rsid w:val="00874095"/>
    <w:rsid w:val="008742C8"/>
    <w:rsid w:val="008746FD"/>
    <w:rsid w:val="00874DB3"/>
    <w:rsid w:val="00874E12"/>
    <w:rsid w:val="00874F61"/>
    <w:rsid w:val="00874F69"/>
    <w:rsid w:val="0087534E"/>
    <w:rsid w:val="008756C4"/>
    <w:rsid w:val="00875810"/>
    <w:rsid w:val="0087588F"/>
    <w:rsid w:val="00875AF9"/>
    <w:rsid w:val="00875B28"/>
    <w:rsid w:val="0087601B"/>
    <w:rsid w:val="00876341"/>
    <w:rsid w:val="008764CD"/>
    <w:rsid w:val="008767AD"/>
    <w:rsid w:val="00876869"/>
    <w:rsid w:val="00876A77"/>
    <w:rsid w:val="00876D44"/>
    <w:rsid w:val="00876EB4"/>
    <w:rsid w:val="00876F80"/>
    <w:rsid w:val="008770B9"/>
    <w:rsid w:val="00877603"/>
    <w:rsid w:val="0087776A"/>
    <w:rsid w:val="00877770"/>
    <w:rsid w:val="00877EFE"/>
    <w:rsid w:val="00877FAF"/>
    <w:rsid w:val="00880151"/>
    <w:rsid w:val="0088017B"/>
    <w:rsid w:val="00880661"/>
    <w:rsid w:val="008806CF"/>
    <w:rsid w:val="00880B5D"/>
    <w:rsid w:val="00880CDD"/>
    <w:rsid w:val="00880D26"/>
    <w:rsid w:val="00881204"/>
    <w:rsid w:val="00881677"/>
    <w:rsid w:val="0088181E"/>
    <w:rsid w:val="0088187D"/>
    <w:rsid w:val="00882354"/>
    <w:rsid w:val="0088237A"/>
    <w:rsid w:val="00882507"/>
    <w:rsid w:val="008827D1"/>
    <w:rsid w:val="00882B79"/>
    <w:rsid w:val="00882C23"/>
    <w:rsid w:val="00882D7F"/>
    <w:rsid w:val="00882E07"/>
    <w:rsid w:val="00883127"/>
    <w:rsid w:val="00883181"/>
    <w:rsid w:val="008832D6"/>
    <w:rsid w:val="00883BE5"/>
    <w:rsid w:val="00883E1D"/>
    <w:rsid w:val="0088426F"/>
    <w:rsid w:val="008842ED"/>
    <w:rsid w:val="008843D8"/>
    <w:rsid w:val="008844AF"/>
    <w:rsid w:val="00884A23"/>
    <w:rsid w:val="00884CDF"/>
    <w:rsid w:val="008851B0"/>
    <w:rsid w:val="00885237"/>
    <w:rsid w:val="00885245"/>
    <w:rsid w:val="008854CC"/>
    <w:rsid w:val="008855E0"/>
    <w:rsid w:val="008859CB"/>
    <w:rsid w:val="008859D1"/>
    <w:rsid w:val="00885BB2"/>
    <w:rsid w:val="00885E76"/>
    <w:rsid w:val="00885E87"/>
    <w:rsid w:val="00886104"/>
    <w:rsid w:val="00886909"/>
    <w:rsid w:val="00887401"/>
    <w:rsid w:val="008874BB"/>
    <w:rsid w:val="00887862"/>
    <w:rsid w:val="00887C1B"/>
    <w:rsid w:val="00887D45"/>
    <w:rsid w:val="00887F73"/>
    <w:rsid w:val="0089001E"/>
    <w:rsid w:val="008901A2"/>
    <w:rsid w:val="008901EB"/>
    <w:rsid w:val="008903BD"/>
    <w:rsid w:val="008906F2"/>
    <w:rsid w:val="0089077B"/>
    <w:rsid w:val="00890CF8"/>
    <w:rsid w:val="00890EA7"/>
    <w:rsid w:val="00890F8A"/>
    <w:rsid w:val="00890FFC"/>
    <w:rsid w:val="008912CC"/>
    <w:rsid w:val="00891543"/>
    <w:rsid w:val="00891688"/>
    <w:rsid w:val="00891794"/>
    <w:rsid w:val="00891908"/>
    <w:rsid w:val="008919C4"/>
    <w:rsid w:val="00891A1B"/>
    <w:rsid w:val="00891A5E"/>
    <w:rsid w:val="0089273A"/>
    <w:rsid w:val="008927BE"/>
    <w:rsid w:val="00892905"/>
    <w:rsid w:val="0089290A"/>
    <w:rsid w:val="0089290E"/>
    <w:rsid w:val="008929E0"/>
    <w:rsid w:val="00892CE2"/>
    <w:rsid w:val="00892DE3"/>
    <w:rsid w:val="00892E65"/>
    <w:rsid w:val="00892F95"/>
    <w:rsid w:val="0089301E"/>
    <w:rsid w:val="00893020"/>
    <w:rsid w:val="00893254"/>
    <w:rsid w:val="008937EE"/>
    <w:rsid w:val="0089390E"/>
    <w:rsid w:val="00893A46"/>
    <w:rsid w:val="00893A4F"/>
    <w:rsid w:val="00893A56"/>
    <w:rsid w:val="00894017"/>
    <w:rsid w:val="00894AB6"/>
    <w:rsid w:val="00894B3A"/>
    <w:rsid w:val="00894C6C"/>
    <w:rsid w:val="00894F9A"/>
    <w:rsid w:val="00895247"/>
    <w:rsid w:val="008952DE"/>
    <w:rsid w:val="0089538D"/>
    <w:rsid w:val="008956B9"/>
    <w:rsid w:val="008956E0"/>
    <w:rsid w:val="00895837"/>
    <w:rsid w:val="0089592E"/>
    <w:rsid w:val="00895B86"/>
    <w:rsid w:val="00895C96"/>
    <w:rsid w:val="0089608A"/>
    <w:rsid w:val="00896174"/>
    <w:rsid w:val="008963ED"/>
    <w:rsid w:val="008963F0"/>
    <w:rsid w:val="008967E1"/>
    <w:rsid w:val="00896A89"/>
    <w:rsid w:val="00896AB2"/>
    <w:rsid w:val="00896BD0"/>
    <w:rsid w:val="00896C2C"/>
    <w:rsid w:val="00896D99"/>
    <w:rsid w:val="008972BD"/>
    <w:rsid w:val="008972F3"/>
    <w:rsid w:val="008973CC"/>
    <w:rsid w:val="008974D2"/>
    <w:rsid w:val="008976BA"/>
    <w:rsid w:val="00897735"/>
    <w:rsid w:val="00897BCF"/>
    <w:rsid w:val="00897E44"/>
    <w:rsid w:val="00897E97"/>
    <w:rsid w:val="00897FC6"/>
    <w:rsid w:val="008A0495"/>
    <w:rsid w:val="008A04A1"/>
    <w:rsid w:val="008A04F2"/>
    <w:rsid w:val="008A0AC6"/>
    <w:rsid w:val="008A0BD4"/>
    <w:rsid w:val="008A0FF0"/>
    <w:rsid w:val="008A10C1"/>
    <w:rsid w:val="008A112D"/>
    <w:rsid w:val="008A128F"/>
    <w:rsid w:val="008A13FC"/>
    <w:rsid w:val="008A14CD"/>
    <w:rsid w:val="008A1560"/>
    <w:rsid w:val="008A1685"/>
    <w:rsid w:val="008A19FA"/>
    <w:rsid w:val="008A1A28"/>
    <w:rsid w:val="008A1A74"/>
    <w:rsid w:val="008A1B2F"/>
    <w:rsid w:val="008A1DE6"/>
    <w:rsid w:val="008A202C"/>
    <w:rsid w:val="008A2138"/>
    <w:rsid w:val="008A2187"/>
    <w:rsid w:val="008A24D8"/>
    <w:rsid w:val="008A25A7"/>
    <w:rsid w:val="008A278A"/>
    <w:rsid w:val="008A29FD"/>
    <w:rsid w:val="008A2A94"/>
    <w:rsid w:val="008A2ADC"/>
    <w:rsid w:val="008A2BDE"/>
    <w:rsid w:val="008A2D17"/>
    <w:rsid w:val="008A3093"/>
    <w:rsid w:val="008A34BA"/>
    <w:rsid w:val="008A34DD"/>
    <w:rsid w:val="008A3A2D"/>
    <w:rsid w:val="008A3B25"/>
    <w:rsid w:val="008A3D61"/>
    <w:rsid w:val="008A3EF6"/>
    <w:rsid w:val="008A41EB"/>
    <w:rsid w:val="008A4483"/>
    <w:rsid w:val="008A47E1"/>
    <w:rsid w:val="008A4920"/>
    <w:rsid w:val="008A4A6E"/>
    <w:rsid w:val="008A4D12"/>
    <w:rsid w:val="008A561B"/>
    <w:rsid w:val="008A5890"/>
    <w:rsid w:val="008A593D"/>
    <w:rsid w:val="008A59CA"/>
    <w:rsid w:val="008A5CF3"/>
    <w:rsid w:val="008A5D6A"/>
    <w:rsid w:val="008A5DDA"/>
    <w:rsid w:val="008A5E6C"/>
    <w:rsid w:val="008A603C"/>
    <w:rsid w:val="008A60CF"/>
    <w:rsid w:val="008A65A7"/>
    <w:rsid w:val="008A66E3"/>
    <w:rsid w:val="008A696C"/>
    <w:rsid w:val="008A6B3D"/>
    <w:rsid w:val="008A6EE9"/>
    <w:rsid w:val="008A71F6"/>
    <w:rsid w:val="008A76BE"/>
    <w:rsid w:val="008A7F32"/>
    <w:rsid w:val="008A7F6E"/>
    <w:rsid w:val="008B0909"/>
    <w:rsid w:val="008B0D39"/>
    <w:rsid w:val="008B0F46"/>
    <w:rsid w:val="008B1172"/>
    <w:rsid w:val="008B120B"/>
    <w:rsid w:val="008B1340"/>
    <w:rsid w:val="008B14D7"/>
    <w:rsid w:val="008B1582"/>
    <w:rsid w:val="008B169F"/>
    <w:rsid w:val="008B1852"/>
    <w:rsid w:val="008B1AA2"/>
    <w:rsid w:val="008B1BE0"/>
    <w:rsid w:val="008B1F88"/>
    <w:rsid w:val="008B2038"/>
    <w:rsid w:val="008B20E8"/>
    <w:rsid w:val="008B223C"/>
    <w:rsid w:val="008B22BC"/>
    <w:rsid w:val="008B2303"/>
    <w:rsid w:val="008B265F"/>
    <w:rsid w:val="008B26FD"/>
    <w:rsid w:val="008B2755"/>
    <w:rsid w:val="008B27E8"/>
    <w:rsid w:val="008B29FA"/>
    <w:rsid w:val="008B2D69"/>
    <w:rsid w:val="008B2DCB"/>
    <w:rsid w:val="008B2DCC"/>
    <w:rsid w:val="008B2E0A"/>
    <w:rsid w:val="008B2E86"/>
    <w:rsid w:val="008B3016"/>
    <w:rsid w:val="008B32F7"/>
    <w:rsid w:val="008B3470"/>
    <w:rsid w:val="008B350D"/>
    <w:rsid w:val="008B3610"/>
    <w:rsid w:val="008B3890"/>
    <w:rsid w:val="008B38E4"/>
    <w:rsid w:val="008B3B4D"/>
    <w:rsid w:val="008B40FD"/>
    <w:rsid w:val="008B436A"/>
    <w:rsid w:val="008B447C"/>
    <w:rsid w:val="008B48C5"/>
    <w:rsid w:val="008B4E7D"/>
    <w:rsid w:val="008B4FFD"/>
    <w:rsid w:val="008B5041"/>
    <w:rsid w:val="008B5215"/>
    <w:rsid w:val="008B5234"/>
    <w:rsid w:val="008B5291"/>
    <w:rsid w:val="008B5B4D"/>
    <w:rsid w:val="008B5B90"/>
    <w:rsid w:val="008B5BE7"/>
    <w:rsid w:val="008B5C5F"/>
    <w:rsid w:val="008B5FF9"/>
    <w:rsid w:val="008B5FFB"/>
    <w:rsid w:val="008B61DE"/>
    <w:rsid w:val="008B6269"/>
    <w:rsid w:val="008B6510"/>
    <w:rsid w:val="008B669B"/>
    <w:rsid w:val="008B6784"/>
    <w:rsid w:val="008B699C"/>
    <w:rsid w:val="008B6A41"/>
    <w:rsid w:val="008B6B22"/>
    <w:rsid w:val="008B6D85"/>
    <w:rsid w:val="008B72B9"/>
    <w:rsid w:val="008B7511"/>
    <w:rsid w:val="008B7661"/>
    <w:rsid w:val="008B76A1"/>
    <w:rsid w:val="008B771D"/>
    <w:rsid w:val="008B780F"/>
    <w:rsid w:val="008B79A4"/>
    <w:rsid w:val="008B7BC3"/>
    <w:rsid w:val="008B7C74"/>
    <w:rsid w:val="008B7D2F"/>
    <w:rsid w:val="008B7F41"/>
    <w:rsid w:val="008C061D"/>
    <w:rsid w:val="008C0A19"/>
    <w:rsid w:val="008C0BA4"/>
    <w:rsid w:val="008C0E0F"/>
    <w:rsid w:val="008C0EAA"/>
    <w:rsid w:val="008C0F1F"/>
    <w:rsid w:val="008C107D"/>
    <w:rsid w:val="008C108B"/>
    <w:rsid w:val="008C12D2"/>
    <w:rsid w:val="008C14FA"/>
    <w:rsid w:val="008C16DC"/>
    <w:rsid w:val="008C16FB"/>
    <w:rsid w:val="008C1940"/>
    <w:rsid w:val="008C19E6"/>
    <w:rsid w:val="008C1BC3"/>
    <w:rsid w:val="008C1D31"/>
    <w:rsid w:val="008C1DA7"/>
    <w:rsid w:val="008C1EDE"/>
    <w:rsid w:val="008C1FEB"/>
    <w:rsid w:val="008C202A"/>
    <w:rsid w:val="008C21ED"/>
    <w:rsid w:val="008C2338"/>
    <w:rsid w:val="008C23E4"/>
    <w:rsid w:val="008C279A"/>
    <w:rsid w:val="008C295E"/>
    <w:rsid w:val="008C29E1"/>
    <w:rsid w:val="008C2BD6"/>
    <w:rsid w:val="008C2CC8"/>
    <w:rsid w:val="008C2EAB"/>
    <w:rsid w:val="008C3255"/>
    <w:rsid w:val="008C3345"/>
    <w:rsid w:val="008C343E"/>
    <w:rsid w:val="008C3464"/>
    <w:rsid w:val="008C362C"/>
    <w:rsid w:val="008C3682"/>
    <w:rsid w:val="008C38AC"/>
    <w:rsid w:val="008C39FA"/>
    <w:rsid w:val="008C3E7C"/>
    <w:rsid w:val="008C3FD9"/>
    <w:rsid w:val="008C40AC"/>
    <w:rsid w:val="008C40E9"/>
    <w:rsid w:val="008C4346"/>
    <w:rsid w:val="008C45B8"/>
    <w:rsid w:val="008C4978"/>
    <w:rsid w:val="008C49C6"/>
    <w:rsid w:val="008C4AB2"/>
    <w:rsid w:val="008C4CE3"/>
    <w:rsid w:val="008C4D64"/>
    <w:rsid w:val="008C4E8A"/>
    <w:rsid w:val="008C4F33"/>
    <w:rsid w:val="008C4F8C"/>
    <w:rsid w:val="008C50D7"/>
    <w:rsid w:val="008C5206"/>
    <w:rsid w:val="008C524C"/>
    <w:rsid w:val="008C5300"/>
    <w:rsid w:val="008C53DA"/>
    <w:rsid w:val="008C5463"/>
    <w:rsid w:val="008C5630"/>
    <w:rsid w:val="008C56BB"/>
    <w:rsid w:val="008C570F"/>
    <w:rsid w:val="008C59B4"/>
    <w:rsid w:val="008C5A91"/>
    <w:rsid w:val="008C5CE1"/>
    <w:rsid w:val="008C5CF4"/>
    <w:rsid w:val="008C5D5B"/>
    <w:rsid w:val="008C6452"/>
    <w:rsid w:val="008C64BE"/>
    <w:rsid w:val="008C66C6"/>
    <w:rsid w:val="008C695D"/>
    <w:rsid w:val="008C6AEB"/>
    <w:rsid w:val="008C6B31"/>
    <w:rsid w:val="008C6D13"/>
    <w:rsid w:val="008C7043"/>
    <w:rsid w:val="008C724F"/>
    <w:rsid w:val="008C731C"/>
    <w:rsid w:val="008C7B50"/>
    <w:rsid w:val="008C7F8E"/>
    <w:rsid w:val="008D0174"/>
    <w:rsid w:val="008D036B"/>
    <w:rsid w:val="008D03B0"/>
    <w:rsid w:val="008D0715"/>
    <w:rsid w:val="008D0730"/>
    <w:rsid w:val="008D0B13"/>
    <w:rsid w:val="008D0BC8"/>
    <w:rsid w:val="008D0F27"/>
    <w:rsid w:val="008D10F0"/>
    <w:rsid w:val="008D13F2"/>
    <w:rsid w:val="008D154E"/>
    <w:rsid w:val="008D16D4"/>
    <w:rsid w:val="008D1929"/>
    <w:rsid w:val="008D19AA"/>
    <w:rsid w:val="008D1B0A"/>
    <w:rsid w:val="008D1B8B"/>
    <w:rsid w:val="008D1C3A"/>
    <w:rsid w:val="008D1EF0"/>
    <w:rsid w:val="008D22C5"/>
    <w:rsid w:val="008D2601"/>
    <w:rsid w:val="008D28BF"/>
    <w:rsid w:val="008D2B55"/>
    <w:rsid w:val="008D2C27"/>
    <w:rsid w:val="008D2E5A"/>
    <w:rsid w:val="008D2FC9"/>
    <w:rsid w:val="008D30D5"/>
    <w:rsid w:val="008D321A"/>
    <w:rsid w:val="008D32D1"/>
    <w:rsid w:val="008D3371"/>
    <w:rsid w:val="008D339E"/>
    <w:rsid w:val="008D3640"/>
    <w:rsid w:val="008D3B8B"/>
    <w:rsid w:val="008D3E15"/>
    <w:rsid w:val="008D4036"/>
    <w:rsid w:val="008D40FD"/>
    <w:rsid w:val="008D4101"/>
    <w:rsid w:val="008D4A0E"/>
    <w:rsid w:val="008D4A36"/>
    <w:rsid w:val="008D4A6B"/>
    <w:rsid w:val="008D4B70"/>
    <w:rsid w:val="008D4BF3"/>
    <w:rsid w:val="008D4F2E"/>
    <w:rsid w:val="008D4FF9"/>
    <w:rsid w:val="008D525B"/>
    <w:rsid w:val="008D5346"/>
    <w:rsid w:val="008D53ED"/>
    <w:rsid w:val="008D549B"/>
    <w:rsid w:val="008D5BBA"/>
    <w:rsid w:val="008D5D4A"/>
    <w:rsid w:val="008D5D72"/>
    <w:rsid w:val="008D5E97"/>
    <w:rsid w:val="008D610A"/>
    <w:rsid w:val="008D613F"/>
    <w:rsid w:val="008D616F"/>
    <w:rsid w:val="008D61BA"/>
    <w:rsid w:val="008D64C1"/>
    <w:rsid w:val="008D670D"/>
    <w:rsid w:val="008D6B91"/>
    <w:rsid w:val="008D75B1"/>
    <w:rsid w:val="008D75FA"/>
    <w:rsid w:val="008D761E"/>
    <w:rsid w:val="008D7C0E"/>
    <w:rsid w:val="008D7D5C"/>
    <w:rsid w:val="008E005D"/>
    <w:rsid w:val="008E00D1"/>
    <w:rsid w:val="008E016E"/>
    <w:rsid w:val="008E02C7"/>
    <w:rsid w:val="008E06C0"/>
    <w:rsid w:val="008E0A75"/>
    <w:rsid w:val="008E0BD1"/>
    <w:rsid w:val="008E0D34"/>
    <w:rsid w:val="008E0D54"/>
    <w:rsid w:val="008E0E2D"/>
    <w:rsid w:val="008E1315"/>
    <w:rsid w:val="008E1341"/>
    <w:rsid w:val="008E16AF"/>
    <w:rsid w:val="008E180B"/>
    <w:rsid w:val="008E1818"/>
    <w:rsid w:val="008E1C28"/>
    <w:rsid w:val="008E1C42"/>
    <w:rsid w:val="008E1D6E"/>
    <w:rsid w:val="008E212B"/>
    <w:rsid w:val="008E21D7"/>
    <w:rsid w:val="008E24A4"/>
    <w:rsid w:val="008E2776"/>
    <w:rsid w:val="008E2842"/>
    <w:rsid w:val="008E2869"/>
    <w:rsid w:val="008E2905"/>
    <w:rsid w:val="008E29E4"/>
    <w:rsid w:val="008E2C6D"/>
    <w:rsid w:val="008E2E10"/>
    <w:rsid w:val="008E2FC7"/>
    <w:rsid w:val="008E30DA"/>
    <w:rsid w:val="008E363C"/>
    <w:rsid w:val="008E36C4"/>
    <w:rsid w:val="008E3702"/>
    <w:rsid w:val="008E38EE"/>
    <w:rsid w:val="008E3B27"/>
    <w:rsid w:val="008E3CE3"/>
    <w:rsid w:val="008E3DE4"/>
    <w:rsid w:val="008E4043"/>
    <w:rsid w:val="008E410F"/>
    <w:rsid w:val="008E4150"/>
    <w:rsid w:val="008E430E"/>
    <w:rsid w:val="008E47CE"/>
    <w:rsid w:val="008E4C7D"/>
    <w:rsid w:val="008E4CF9"/>
    <w:rsid w:val="008E4D8A"/>
    <w:rsid w:val="008E4DD1"/>
    <w:rsid w:val="008E4EF6"/>
    <w:rsid w:val="008E5139"/>
    <w:rsid w:val="008E518E"/>
    <w:rsid w:val="008E5193"/>
    <w:rsid w:val="008E51DE"/>
    <w:rsid w:val="008E571D"/>
    <w:rsid w:val="008E5937"/>
    <w:rsid w:val="008E5AA8"/>
    <w:rsid w:val="008E5E93"/>
    <w:rsid w:val="008E5EE3"/>
    <w:rsid w:val="008E6065"/>
    <w:rsid w:val="008E628B"/>
    <w:rsid w:val="008E6326"/>
    <w:rsid w:val="008E63A6"/>
    <w:rsid w:val="008E63C0"/>
    <w:rsid w:val="008E6503"/>
    <w:rsid w:val="008E6693"/>
    <w:rsid w:val="008E6930"/>
    <w:rsid w:val="008E6986"/>
    <w:rsid w:val="008E69CF"/>
    <w:rsid w:val="008E6B18"/>
    <w:rsid w:val="008E6BC3"/>
    <w:rsid w:val="008E6DF3"/>
    <w:rsid w:val="008E6EED"/>
    <w:rsid w:val="008E6F05"/>
    <w:rsid w:val="008E7013"/>
    <w:rsid w:val="008E70A0"/>
    <w:rsid w:val="008E7157"/>
    <w:rsid w:val="008E742C"/>
    <w:rsid w:val="008E7765"/>
    <w:rsid w:val="008E77DB"/>
    <w:rsid w:val="008E784F"/>
    <w:rsid w:val="008E798A"/>
    <w:rsid w:val="008E7B82"/>
    <w:rsid w:val="008E7B8E"/>
    <w:rsid w:val="008E7D2D"/>
    <w:rsid w:val="008E7DEE"/>
    <w:rsid w:val="008E7E5F"/>
    <w:rsid w:val="008E7ED3"/>
    <w:rsid w:val="008E7F35"/>
    <w:rsid w:val="008F0020"/>
    <w:rsid w:val="008F011F"/>
    <w:rsid w:val="008F0252"/>
    <w:rsid w:val="008F0283"/>
    <w:rsid w:val="008F05E9"/>
    <w:rsid w:val="008F0740"/>
    <w:rsid w:val="008F0F87"/>
    <w:rsid w:val="008F12BD"/>
    <w:rsid w:val="008F132F"/>
    <w:rsid w:val="008F152E"/>
    <w:rsid w:val="008F159B"/>
    <w:rsid w:val="008F1C84"/>
    <w:rsid w:val="008F1E9A"/>
    <w:rsid w:val="008F1F0A"/>
    <w:rsid w:val="008F2148"/>
    <w:rsid w:val="008F272D"/>
    <w:rsid w:val="008F295A"/>
    <w:rsid w:val="008F2B44"/>
    <w:rsid w:val="008F2B50"/>
    <w:rsid w:val="008F2E49"/>
    <w:rsid w:val="008F3170"/>
    <w:rsid w:val="008F31A1"/>
    <w:rsid w:val="008F31BA"/>
    <w:rsid w:val="008F31F5"/>
    <w:rsid w:val="008F335D"/>
    <w:rsid w:val="008F3B02"/>
    <w:rsid w:val="008F3F72"/>
    <w:rsid w:val="008F4055"/>
    <w:rsid w:val="008F45AD"/>
    <w:rsid w:val="008F4755"/>
    <w:rsid w:val="008F4926"/>
    <w:rsid w:val="008F4949"/>
    <w:rsid w:val="008F4B77"/>
    <w:rsid w:val="008F5399"/>
    <w:rsid w:val="008F54D5"/>
    <w:rsid w:val="008F56A6"/>
    <w:rsid w:val="008F570D"/>
    <w:rsid w:val="008F5C8F"/>
    <w:rsid w:val="008F5C96"/>
    <w:rsid w:val="008F5E93"/>
    <w:rsid w:val="008F5EEE"/>
    <w:rsid w:val="008F60F9"/>
    <w:rsid w:val="008F6146"/>
    <w:rsid w:val="008F64E9"/>
    <w:rsid w:val="008F6616"/>
    <w:rsid w:val="008F678C"/>
    <w:rsid w:val="008F685C"/>
    <w:rsid w:val="008F6931"/>
    <w:rsid w:val="008F69C8"/>
    <w:rsid w:val="008F6F8A"/>
    <w:rsid w:val="008F70F7"/>
    <w:rsid w:val="008F7545"/>
    <w:rsid w:val="008F75C2"/>
    <w:rsid w:val="008F780F"/>
    <w:rsid w:val="008F7D39"/>
    <w:rsid w:val="00900141"/>
    <w:rsid w:val="00900357"/>
    <w:rsid w:val="0090035C"/>
    <w:rsid w:val="0090056E"/>
    <w:rsid w:val="0090096A"/>
    <w:rsid w:val="00900A37"/>
    <w:rsid w:val="00901163"/>
    <w:rsid w:val="00901198"/>
    <w:rsid w:val="00901215"/>
    <w:rsid w:val="0090138C"/>
    <w:rsid w:val="009014E9"/>
    <w:rsid w:val="00901A7A"/>
    <w:rsid w:val="00901E8A"/>
    <w:rsid w:val="00901F38"/>
    <w:rsid w:val="00902148"/>
    <w:rsid w:val="0090214C"/>
    <w:rsid w:val="009022A6"/>
    <w:rsid w:val="00902757"/>
    <w:rsid w:val="00902758"/>
    <w:rsid w:val="00902772"/>
    <w:rsid w:val="00902805"/>
    <w:rsid w:val="00902848"/>
    <w:rsid w:val="009028E3"/>
    <w:rsid w:val="00902972"/>
    <w:rsid w:val="00902CBC"/>
    <w:rsid w:val="00902D5E"/>
    <w:rsid w:val="00903106"/>
    <w:rsid w:val="009031B8"/>
    <w:rsid w:val="009031DD"/>
    <w:rsid w:val="00903578"/>
    <w:rsid w:val="00903866"/>
    <w:rsid w:val="00903BC7"/>
    <w:rsid w:val="00903E9B"/>
    <w:rsid w:val="00904097"/>
    <w:rsid w:val="0090429B"/>
    <w:rsid w:val="009042E5"/>
    <w:rsid w:val="00904455"/>
    <w:rsid w:val="00904D32"/>
    <w:rsid w:val="00905083"/>
    <w:rsid w:val="009051B6"/>
    <w:rsid w:val="00905329"/>
    <w:rsid w:val="0090534A"/>
    <w:rsid w:val="009053F7"/>
    <w:rsid w:val="00905422"/>
    <w:rsid w:val="00905722"/>
    <w:rsid w:val="009057B6"/>
    <w:rsid w:val="00905867"/>
    <w:rsid w:val="00905E65"/>
    <w:rsid w:val="00905EA4"/>
    <w:rsid w:val="00905F46"/>
    <w:rsid w:val="00906050"/>
    <w:rsid w:val="0090608E"/>
    <w:rsid w:val="009060E3"/>
    <w:rsid w:val="009068A9"/>
    <w:rsid w:val="009068DB"/>
    <w:rsid w:val="0090694D"/>
    <w:rsid w:val="00906B42"/>
    <w:rsid w:val="00906C36"/>
    <w:rsid w:val="00906E2D"/>
    <w:rsid w:val="00907178"/>
    <w:rsid w:val="009072F0"/>
    <w:rsid w:val="009076B9"/>
    <w:rsid w:val="00907772"/>
    <w:rsid w:val="009078DA"/>
    <w:rsid w:val="00907A5D"/>
    <w:rsid w:val="00907C0C"/>
    <w:rsid w:val="00910010"/>
    <w:rsid w:val="00910012"/>
    <w:rsid w:val="00910579"/>
    <w:rsid w:val="00910585"/>
    <w:rsid w:val="009108EF"/>
    <w:rsid w:val="00910D11"/>
    <w:rsid w:val="00910E15"/>
    <w:rsid w:val="00910F71"/>
    <w:rsid w:val="009115F7"/>
    <w:rsid w:val="009116F0"/>
    <w:rsid w:val="009117F9"/>
    <w:rsid w:val="009119F7"/>
    <w:rsid w:val="00911B24"/>
    <w:rsid w:val="00911B67"/>
    <w:rsid w:val="00911C33"/>
    <w:rsid w:val="00911D4C"/>
    <w:rsid w:val="009120CB"/>
    <w:rsid w:val="0091212E"/>
    <w:rsid w:val="009121A5"/>
    <w:rsid w:val="0091229D"/>
    <w:rsid w:val="009125BE"/>
    <w:rsid w:val="00912B2B"/>
    <w:rsid w:val="00912FBE"/>
    <w:rsid w:val="0091340D"/>
    <w:rsid w:val="0091365E"/>
    <w:rsid w:val="00913790"/>
    <w:rsid w:val="00913B56"/>
    <w:rsid w:val="00913FB2"/>
    <w:rsid w:val="00914057"/>
    <w:rsid w:val="00914133"/>
    <w:rsid w:val="00914594"/>
    <w:rsid w:val="00914914"/>
    <w:rsid w:val="00914B14"/>
    <w:rsid w:val="00914B89"/>
    <w:rsid w:val="00914E50"/>
    <w:rsid w:val="00914F7E"/>
    <w:rsid w:val="00915050"/>
    <w:rsid w:val="00915223"/>
    <w:rsid w:val="00915224"/>
    <w:rsid w:val="009153FE"/>
    <w:rsid w:val="009159AF"/>
    <w:rsid w:val="00915A6B"/>
    <w:rsid w:val="00915AE0"/>
    <w:rsid w:val="00915C06"/>
    <w:rsid w:val="00915D2E"/>
    <w:rsid w:val="0091614A"/>
    <w:rsid w:val="0091655D"/>
    <w:rsid w:val="00916769"/>
    <w:rsid w:val="009168CE"/>
    <w:rsid w:val="00916909"/>
    <w:rsid w:val="0091690E"/>
    <w:rsid w:val="00917094"/>
    <w:rsid w:val="009171B3"/>
    <w:rsid w:val="00917460"/>
    <w:rsid w:val="00917617"/>
    <w:rsid w:val="00917829"/>
    <w:rsid w:val="0091789F"/>
    <w:rsid w:val="009178A8"/>
    <w:rsid w:val="009179CB"/>
    <w:rsid w:val="00917AAF"/>
    <w:rsid w:val="00917BA7"/>
    <w:rsid w:val="00917C07"/>
    <w:rsid w:val="00917E9D"/>
    <w:rsid w:val="00917F57"/>
    <w:rsid w:val="00920000"/>
    <w:rsid w:val="009200AE"/>
    <w:rsid w:val="0092010A"/>
    <w:rsid w:val="0092027A"/>
    <w:rsid w:val="009203D4"/>
    <w:rsid w:val="0092056A"/>
    <w:rsid w:val="00920839"/>
    <w:rsid w:val="009213C9"/>
    <w:rsid w:val="00921835"/>
    <w:rsid w:val="00921848"/>
    <w:rsid w:val="00921A5E"/>
    <w:rsid w:val="00921B0E"/>
    <w:rsid w:val="00921B6C"/>
    <w:rsid w:val="00921F44"/>
    <w:rsid w:val="00921FF9"/>
    <w:rsid w:val="00922193"/>
    <w:rsid w:val="009226D6"/>
    <w:rsid w:val="009227A0"/>
    <w:rsid w:val="009227CF"/>
    <w:rsid w:val="00922806"/>
    <w:rsid w:val="009228B7"/>
    <w:rsid w:val="009228C3"/>
    <w:rsid w:val="00922AC9"/>
    <w:rsid w:val="00922D11"/>
    <w:rsid w:val="00923006"/>
    <w:rsid w:val="00923222"/>
    <w:rsid w:val="00923233"/>
    <w:rsid w:val="00923262"/>
    <w:rsid w:val="009232DC"/>
    <w:rsid w:val="0092340E"/>
    <w:rsid w:val="00923543"/>
    <w:rsid w:val="00923641"/>
    <w:rsid w:val="0092364D"/>
    <w:rsid w:val="00923826"/>
    <w:rsid w:val="009239B6"/>
    <w:rsid w:val="00923A64"/>
    <w:rsid w:val="00923ACD"/>
    <w:rsid w:val="00923BF8"/>
    <w:rsid w:val="00923EFA"/>
    <w:rsid w:val="009243B3"/>
    <w:rsid w:val="009243BA"/>
    <w:rsid w:val="009243DE"/>
    <w:rsid w:val="00924661"/>
    <w:rsid w:val="00924682"/>
    <w:rsid w:val="0092489B"/>
    <w:rsid w:val="00924AF5"/>
    <w:rsid w:val="00924CAE"/>
    <w:rsid w:val="00924E14"/>
    <w:rsid w:val="0092506E"/>
    <w:rsid w:val="00925081"/>
    <w:rsid w:val="0092512C"/>
    <w:rsid w:val="0092529E"/>
    <w:rsid w:val="009257FD"/>
    <w:rsid w:val="0092596F"/>
    <w:rsid w:val="00925A41"/>
    <w:rsid w:val="00925C48"/>
    <w:rsid w:val="00925CDA"/>
    <w:rsid w:val="00925CE7"/>
    <w:rsid w:val="00925D36"/>
    <w:rsid w:val="00925E16"/>
    <w:rsid w:val="00925E91"/>
    <w:rsid w:val="0092605C"/>
    <w:rsid w:val="0092621B"/>
    <w:rsid w:val="009263DC"/>
    <w:rsid w:val="00926597"/>
    <w:rsid w:val="009265D5"/>
    <w:rsid w:val="00926667"/>
    <w:rsid w:val="009266B3"/>
    <w:rsid w:val="0092694D"/>
    <w:rsid w:val="0092700F"/>
    <w:rsid w:val="009270C5"/>
    <w:rsid w:val="009273BE"/>
    <w:rsid w:val="009273C8"/>
    <w:rsid w:val="00927574"/>
    <w:rsid w:val="009275C0"/>
    <w:rsid w:val="009277AB"/>
    <w:rsid w:val="00927813"/>
    <w:rsid w:val="0092795E"/>
    <w:rsid w:val="00927A81"/>
    <w:rsid w:val="00927D7E"/>
    <w:rsid w:val="00927FC2"/>
    <w:rsid w:val="009300D2"/>
    <w:rsid w:val="00930258"/>
    <w:rsid w:val="0093075B"/>
    <w:rsid w:val="00930774"/>
    <w:rsid w:val="009309CA"/>
    <w:rsid w:val="00930A39"/>
    <w:rsid w:val="00930A4D"/>
    <w:rsid w:val="00930B2D"/>
    <w:rsid w:val="0093100D"/>
    <w:rsid w:val="00931180"/>
    <w:rsid w:val="0093136E"/>
    <w:rsid w:val="009316EC"/>
    <w:rsid w:val="00931AEA"/>
    <w:rsid w:val="00931D04"/>
    <w:rsid w:val="009320B7"/>
    <w:rsid w:val="009321B2"/>
    <w:rsid w:val="009323B9"/>
    <w:rsid w:val="00932484"/>
    <w:rsid w:val="0093261B"/>
    <w:rsid w:val="009327E4"/>
    <w:rsid w:val="00932805"/>
    <w:rsid w:val="0093286F"/>
    <w:rsid w:val="00932BC6"/>
    <w:rsid w:val="00932DCD"/>
    <w:rsid w:val="00932E33"/>
    <w:rsid w:val="00933301"/>
    <w:rsid w:val="00933611"/>
    <w:rsid w:val="0093381E"/>
    <w:rsid w:val="00933888"/>
    <w:rsid w:val="00933B00"/>
    <w:rsid w:val="00933B3F"/>
    <w:rsid w:val="00933DB6"/>
    <w:rsid w:val="00933F70"/>
    <w:rsid w:val="00933FB0"/>
    <w:rsid w:val="0093458A"/>
    <w:rsid w:val="0093482D"/>
    <w:rsid w:val="00934B3E"/>
    <w:rsid w:val="00934BB0"/>
    <w:rsid w:val="00934C03"/>
    <w:rsid w:val="00934DC4"/>
    <w:rsid w:val="009350F0"/>
    <w:rsid w:val="0093521A"/>
    <w:rsid w:val="00935364"/>
    <w:rsid w:val="00935369"/>
    <w:rsid w:val="009356EE"/>
    <w:rsid w:val="00935837"/>
    <w:rsid w:val="00935885"/>
    <w:rsid w:val="009359F7"/>
    <w:rsid w:val="00935BA5"/>
    <w:rsid w:val="00935C0B"/>
    <w:rsid w:val="00936277"/>
    <w:rsid w:val="0093694C"/>
    <w:rsid w:val="00936A72"/>
    <w:rsid w:val="00936C44"/>
    <w:rsid w:val="009370CC"/>
    <w:rsid w:val="009375E1"/>
    <w:rsid w:val="00937611"/>
    <w:rsid w:val="00937724"/>
    <w:rsid w:val="0093799D"/>
    <w:rsid w:val="009404FD"/>
    <w:rsid w:val="009405BD"/>
    <w:rsid w:val="00940845"/>
    <w:rsid w:val="00940A0B"/>
    <w:rsid w:val="00940DA7"/>
    <w:rsid w:val="00940E6E"/>
    <w:rsid w:val="0094127B"/>
    <w:rsid w:val="00941901"/>
    <w:rsid w:val="009419A4"/>
    <w:rsid w:val="00941A08"/>
    <w:rsid w:val="00941D80"/>
    <w:rsid w:val="00941DCB"/>
    <w:rsid w:val="00941DF2"/>
    <w:rsid w:val="00941E2B"/>
    <w:rsid w:val="00941E80"/>
    <w:rsid w:val="00941ED7"/>
    <w:rsid w:val="00941F17"/>
    <w:rsid w:val="0094206B"/>
    <w:rsid w:val="0094212A"/>
    <w:rsid w:val="009421DF"/>
    <w:rsid w:val="009421EF"/>
    <w:rsid w:val="00942838"/>
    <w:rsid w:val="00942AED"/>
    <w:rsid w:val="00942BB8"/>
    <w:rsid w:val="0094307A"/>
    <w:rsid w:val="00943396"/>
    <w:rsid w:val="00943619"/>
    <w:rsid w:val="0094363F"/>
    <w:rsid w:val="00943645"/>
    <w:rsid w:val="009437A5"/>
    <w:rsid w:val="00943A31"/>
    <w:rsid w:val="00943A3C"/>
    <w:rsid w:val="00943AD9"/>
    <w:rsid w:val="00943C88"/>
    <w:rsid w:val="00943CDD"/>
    <w:rsid w:val="00944464"/>
    <w:rsid w:val="0094457D"/>
    <w:rsid w:val="00944745"/>
    <w:rsid w:val="0094479A"/>
    <w:rsid w:val="00944809"/>
    <w:rsid w:val="009448DE"/>
    <w:rsid w:val="009449DC"/>
    <w:rsid w:val="00944A65"/>
    <w:rsid w:val="00944B03"/>
    <w:rsid w:val="00944D2B"/>
    <w:rsid w:val="00944ED7"/>
    <w:rsid w:val="00944F1F"/>
    <w:rsid w:val="0094561F"/>
    <w:rsid w:val="009456A6"/>
    <w:rsid w:val="0094591A"/>
    <w:rsid w:val="00945B3F"/>
    <w:rsid w:val="00945B7E"/>
    <w:rsid w:val="00945EDB"/>
    <w:rsid w:val="0094662B"/>
    <w:rsid w:val="00946B43"/>
    <w:rsid w:val="00946DF9"/>
    <w:rsid w:val="00946FBE"/>
    <w:rsid w:val="009476BA"/>
    <w:rsid w:val="0094780E"/>
    <w:rsid w:val="00947C36"/>
    <w:rsid w:val="00947D74"/>
    <w:rsid w:val="00947EC0"/>
    <w:rsid w:val="00947FD5"/>
    <w:rsid w:val="00950084"/>
    <w:rsid w:val="009500F7"/>
    <w:rsid w:val="0095032E"/>
    <w:rsid w:val="00950638"/>
    <w:rsid w:val="009506AF"/>
    <w:rsid w:val="00950839"/>
    <w:rsid w:val="00950908"/>
    <w:rsid w:val="00950A91"/>
    <w:rsid w:val="00950AC9"/>
    <w:rsid w:val="00950CA4"/>
    <w:rsid w:val="00950DA1"/>
    <w:rsid w:val="00950E98"/>
    <w:rsid w:val="00951334"/>
    <w:rsid w:val="00951348"/>
    <w:rsid w:val="00951634"/>
    <w:rsid w:val="00951671"/>
    <w:rsid w:val="0095182A"/>
    <w:rsid w:val="0095187F"/>
    <w:rsid w:val="00951A87"/>
    <w:rsid w:val="00951B18"/>
    <w:rsid w:val="00952302"/>
    <w:rsid w:val="009523F4"/>
    <w:rsid w:val="009525EC"/>
    <w:rsid w:val="0095262E"/>
    <w:rsid w:val="00952CC2"/>
    <w:rsid w:val="00952F58"/>
    <w:rsid w:val="0095347D"/>
    <w:rsid w:val="009534C7"/>
    <w:rsid w:val="009534DE"/>
    <w:rsid w:val="0095355C"/>
    <w:rsid w:val="00953578"/>
    <w:rsid w:val="009537CE"/>
    <w:rsid w:val="00953B5A"/>
    <w:rsid w:val="00953CA7"/>
    <w:rsid w:val="00953D5C"/>
    <w:rsid w:val="00953F2F"/>
    <w:rsid w:val="00954063"/>
    <w:rsid w:val="0095412B"/>
    <w:rsid w:val="009542D2"/>
    <w:rsid w:val="009547AD"/>
    <w:rsid w:val="00954A56"/>
    <w:rsid w:val="00954BDA"/>
    <w:rsid w:val="00955182"/>
    <w:rsid w:val="009551A9"/>
    <w:rsid w:val="0095555C"/>
    <w:rsid w:val="009555B7"/>
    <w:rsid w:val="00955A70"/>
    <w:rsid w:val="00955B3A"/>
    <w:rsid w:val="00955C1F"/>
    <w:rsid w:val="00955F8F"/>
    <w:rsid w:val="0095609A"/>
    <w:rsid w:val="00956155"/>
    <w:rsid w:val="0095632F"/>
    <w:rsid w:val="00956457"/>
    <w:rsid w:val="0095676E"/>
    <w:rsid w:val="00956CB4"/>
    <w:rsid w:val="00956D89"/>
    <w:rsid w:val="009571EE"/>
    <w:rsid w:val="009572AC"/>
    <w:rsid w:val="0095741A"/>
    <w:rsid w:val="00957537"/>
    <w:rsid w:val="00957BA0"/>
    <w:rsid w:val="00957E6A"/>
    <w:rsid w:val="0096032A"/>
    <w:rsid w:val="00960505"/>
    <w:rsid w:val="00960571"/>
    <w:rsid w:val="009606BD"/>
    <w:rsid w:val="009606C1"/>
    <w:rsid w:val="009608B7"/>
    <w:rsid w:val="009608F8"/>
    <w:rsid w:val="00961065"/>
    <w:rsid w:val="009610D5"/>
    <w:rsid w:val="00961640"/>
    <w:rsid w:val="00961776"/>
    <w:rsid w:val="0096189F"/>
    <w:rsid w:val="00961928"/>
    <w:rsid w:val="0096192B"/>
    <w:rsid w:val="00961D24"/>
    <w:rsid w:val="00962133"/>
    <w:rsid w:val="00962142"/>
    <w:rsid w:val="0096225B"/>
    <w:rsid w:val="00962399"/>
    <w:rsid w:val="00962B3B"/>
    <w:rsid w:val="00962BE9"/>
    <w:rsid w:val="00962D35"/>
    <w:rsid w:val="009630BE"/>
    <w:rsid w:val="009630D3"/>
    <w:rsid w:val="0096333F"/>
    <w:rsid w:val="009633E7"/>
    <w:rsid w:val="0096353C"/>
    <w:rsid w:val="00963568"/>
    <w:rsid w:val="00963613"/>
    <w:rsid w:val="00963B9B"/>
    <w:rsid w:val="00963BE2"/>
    <w:rsid w:val="00963CC8"/>
    <w:rsid w:val="00963D60"/>
    <w:rsid w:val="00963DFA"/>
    <w:rsid w:val="009640B5"/>
    <w:rsid w:val="0096428A"/>
    <w:rsid w:val="00964481"/>
    <w:rsid w:val="009644E2"/>
    <w:rsid w:val="00964545"/>
    <w:rsid w:val="00964B77"/>
    <w:rsid w:val="00965043"/>
    <w:rsid w:val="00965136"/>
    <w:rsid w:val="0096513A"/>
    <w:rsid w:val="00965172"/>
    <w:rsid w:val="00965236"/>
    <w:rsid w:val="00965857"/>
    <w:rsid w:val="00965A70"/>
    <w:rsid w:val="00965C7C"/>
    <w:rsid w:val="00966093"/>
    <w:rsid w:val="00966197"/>
    <w:rsid w:val="00966203"/>
    <w:rsid w:val="00966231"/>
    <w:rsid w:val="00966304"/>
    <w:rsid w:val="0096664D"/>
    <w:rsid w:val="00966879"/>
    <w:rsid w:val="009669A0"/>
    <w:rsid w:val="00966A9F"/>
    <w:rsid w:val="00966E16"/>
    <w:rsid w:val="00966F19"/>
    <w:rsid w:val="00966FDC"/>
    <w:rsid w:val="00967258"/>
    <w:rsid w:val="009674D8"/>
    <w:rsid w:val="0096754A"/>
    <w:rsid w:val="009678CA"/>
    <w:rsid w:val="00967919"/>
    <w:rsid w:val="00967BA5"/>
    <w:rsid w:val="00970586"/>
    <w:rsid w:val="009708B2"/>
    <w:rsid w:val="00970A7B"/>
    <w:rsid w:val="00970A92"/>
    <w:rsid w:val="009710E3"/>
    <w:rsid w:val="009711DE"/>
    <w:rsid w:val="009715BE"/>
    <w:rsid w:val="0097166C"/>
    <w:rsid w:val="009718A3"/>
    <w:rsid w:val="00971A6E"/>
    <w:rsid w:val="00971DDA"/>
    <w:rsid w:val="00971DE2"/>
    <w:rsid w:val="00972145"/>
    <w:rsid w:val="009721D5"/>
    <w:rsid w:val="00972421"/>
    <w:rsid w:val="00972440"/>
    <w:rsid w:val="00972A07"/>
    <w:rsid w:val="00972B92"/>
    <w:rsid w:val="00972DE2"/>
    <w:rsid w:val="00972F39"/>
    <w:rsid w:val="00972FA2"/>
    <w:rsid w:val="00973050"/>
    <w:rsid w:val="00973239"/>
    <w:rsid w:val="00973462"/>
    <w:rsid w:val="0097413B"/>
    <w:rsid w:val="00974164"/>
    <w:rsid w:val="00974255"/>
    <w:rsid w:val="0097434D"/>
    <w:rsid w:val="00974563"/>
    <w:rsid w:val="0097475E"/>
    <w:rsid w:val="00974819"/>
    <w:rsid w:val="00974820"/>
    <w:rsid w:val="009748C1"/>
    <w:rsid w:val="00974A0E"/>
    <w:rsid w:val="00974B6B"/>
    <w:rsid w:val="00974DC2"/>
    <w:rsid w:val="00974FE5"/>
    <w:rsid w:val="009751B4"/>
    <w:rsid w:val="00975252"/>
    <w:rsid w:val="0097539D"/>
    <w:rsid w:val="009756C4"/>
    <w:rsid w:val="00975900"/>
    <w:rsid w:val="00975AD1"/>
    <w:rsid w:val="00975C25"/>
    <w:rsid w:val="00975EAC"/>
    <w:rsid w:val="0097607D"/>
    <w:rsid w:val="00976232"/>
    <w:rsid w:val="009763F8"/>
    <w:rsid w:val="009766C6"/>
    <w:rsid w:val="009766EA"/>
    <w:rsid w:val="0097681F"/>
    <w:rsid w:val="0097683C"/>
    <w:rsid w:val="00976857"/>
    <w:rsid w:val="00977028"/>
    <w:rsid w:val="009771CA"/>
    <w:rsid w:val="009778EE"/>
    <w:rsid w:val="00977BE3"/>
    <w:rsid w:val="00977BEA"/>
    <w:rsid w:val="00977D5B"/>
    <w:rsid w:val="00977E1F"/>
    <w:rsid w:val="00980157"/>
    <w:rsid w:val="00980417"/>
    <w:rsid w:val="009805B8"/>
    <w:rsid w:val="00980E75"/>
    <w:rsid w:val="00980FB0"/>
    <w:rsid w:val="00981018"/>
    <w:rsid w:val="009812B2"/>
    <w:rsid w:val="00981491"/>
    <w:rsid w:val="00981525"/>
    <w:rsid w:val="009815D4"/>
    <w:rsid w:val="009818A5"/>
    <w:rsid w:val="00981A6B"/>
    <w:rsid w:val="00981CB0"/>
    <w:rsid w:val="009821DF"/>
    <w:rsid w:val="009822BC"/>
    <w:rsid w:val="00982319"/>
    <w:rsid w:val="00982667"/>
    <w:rsid w:val="009827E6"/>
    <w:rsid w:val="00982E8B"/>
    <w:rsid w:val="00983363"/>
    <w:rsid w:val="00983390"/>
    <w:rsid w:val="009833A1"/>
    <w:rsid w:val="00983929"/>
    <w:rsid w:val="00983A25"/>
    <w:rsid w:val="00983F9D"/>
    <w:rsid w:val="00984072"/>
    <w:rsid w:val="00984458"/>
    <w:rsid w:val="00984560"/>
    <w:rsid w:val="00984632"/>
    <w:rsid w:val="00985035"/>
    <w:rsid w:val="009852C2"/>
    <w:rsid w:val="009853F1"/>
    <w:rsid w:val="0098553B"/>
    <w:rsid w:val="0098556C"/>
    <w:rsid w:val="00985AF4"/>
    <w:rsid w:val="009862DD"/>
    <w:rsid w:val="009863C8"/>
    <w:rsid w:val="009866F6"/>
    <w:rsid w:val="00986EBB"/>
    <w:rsid w:val="00986F62"/>
    <w:rsid w:val="00986FF8"/>
    <w:rsid w:val="0098731A"/>
    <w:rsid w:val="0098786E"/>
    <w:rsid w:val="00987B10"/>
    <w:rsid w:val="00987B9F"/>
    <w:rsid w:val="00987BBC"/>
    <w:rsid w:val="00987FA9"/>
    <w:rsid w:val="00987FF2"/>
    <w:rsid w:val="0099005C"/>
    <w:rsid w:val="009900E3"/>
    <w:rsid w:val="00990416"/>
    <w:rsid w:val="00990AD0"/>
    <w:rsid w:val="00990B65"/>
    <w:rsid w:val="00990F72"/>
    <w:rsid w:val="00990FDE"/>
    <w:rsid w:val="00991538"/>
    <w:rsid w:val="0099157C"/>
    <w:rsid w:val="0099180E"/>
    <w:rsid w:val="00991B9F"/>
    <w:rsid w:val="00991BD2"/>
    <w:rsid w:val="00991DE9"/>
    <w:rsid w:val="00991E2C"/>
    <w:rsid w:val="00991ECF"/>
    <w:rsid w:val="00991F31"/>
    <w:rsid w:val="00992040"/>
    <w:rsid w:val="0099211A"/>
    <w:rsid w:val="0099247B"/>
    <w:rsid w:val="009926BA"/>
    <w:rsid w:val="00992792"/>
    <w:rsid w:val="00992A62"/>
    <w:rsid w:val="00992D11"/>
    <w:rsid w:val="00992E47"/>
    <w:rsid w:val="00992EE3"/>
    <w:rsid w:val="00993050"/>
    <w:rsid w:val="00993062"/>
    <w:rsid w:val="00993427"/>
    <w:rsid w:val="0099372E"/>
    <w:rsid w:val="0099386A"/>
    <w:rsid w:val="00993A4E"/>
    <w:rsid w:val="00993A70"/>
    <w:rsid w:val="00993BCB"/>
    <w:rsid w:val="00993D60"/>
    <w:rsid w:val="00993F19"/>
    <w:rsid w:val="009941F5"/>
    <w:rsid w:val="009942E2"/>
    <w:rsid w:val="009943B2"/>
    <w:rsid w:val="00994436"/>
    <w:rsid w:val="00994B03"/>
    <w:rsid w:val="00994C96"/>
    <w:rsid w:val="00994D21"/>
    <w:rsid w:val="00994E9D"/>
    <w:rsid w:val="009950B7"/>
    <w:rsid w:val="00995104"/>
    <w:rsid w:val="0099557E"/>
    <w:rsid w:val="00995613"/>
    <w:rsid w:val="009956DA"/>
    <w:rsid w:val="00995A54"/>
    <w:rsid w:val="00995A95"/>
    <w:rsid w:val="009960DA"/>
    <w:rsid w:val="009963E7"/>
    <w:rsid w:val="00996660"/>
    <w:rsid w:val="00996691"/>
    <w:rsid w:val="0099699B"/>
    <w:rsid w:val="00996B2E"/>
    <w:rsid w:val="00996CFC"/>
    <w:rsid w:val="009971B9"/>
    <w:rsid w:val="00997323"/>
    <w:rsid w:val="0099740C"/>
    <w:rsid w:val="00997894"/>
    <w:rsid w:val="00997B49"/>
    <w:rsid w:val="00997DEB"/>
    <w:rsid w:val="00997E43"/>
    <w:rsid w:val="009A0464"/>
    <w:rsid w:val="009A0691"/>
    <w:rsid w:val="009A0745"/>
    <w:rsid w:val="009A0A60"/>
    <w:rsid w:val="009A0B7C"/>
    <w:rsid w:val="009A0C93"/>
    <w:rsid w:val="009A0D0B"/>
    <w:rsid w:val="009A0E7B"/>
    <w:rsid w:val="009A1068"/>
    <w:rsid w:val="009A12A7"/>
    <w:rsid w:val="009A12FE"/>
    <w:rsid w:val="009A133D"/>
    <w:rsid w:val="009A142C"/>
    <w:rsid w:val="009A15DF"/>
    <w:rsid w:val="009A164C"/>
    <w:rsid w:val="009A17D8"/>
    <w:rsid w:val="009A1A2D"/>
    <w:rsid w:val="009A1B5E"/>
    <w:rsid w:val="009A216E"/>
    <w:rsid w:val="009A2264"/>
    <w:rsid w:val="009A22DA"/>
    <w:rsid w:val="009A27A5"/>
    <w:rsid w:val="009A2800"/>
    <w:rsid w:val="009A2BE2"/>
    <w:rsid w:val="009A2CA8"/>
    <w:rsid w:val="009A2D07"/>
    <w:rsid w:val="009A2E47"/>
    <w:rsid w:val="009A307E"/>
    <w:rsid w:val="009A3163"/>
    <w:rsid w:val="009A32DD"/>
    <w:rsid w:val="009A3330"/>
    <w:rsid w:val="009A35AF"/>
    <w:rsid w:val="009A36E9"/>
    <w:rsid w:val="009A3791"/>
    <w:rsid w:val="009A3E58"/>
    <w:rsid w:val="009A40F1"/>
    <w:rsid w:val="009A4118"/>
    <w:rsid w:val="009A4471"/>
    <w:rsid w:val="009A4483"/>
    <w:rsid w:val="009A44A5"/>
    <w:rsid w:val="009A45EC"/>
    <w:rsid w:val="009A4717"/>
    <w:rsid w:val="009A48CD"/>
    <w:rsid w:val="009A4BBA"/>
    <w:rsid w:val="009A4C5D"/>
    <w:rsid w:val="009A4C98"/>
    <w:rsid w:val="009A4EF8"/>
    <w:rsid w:val="009A4FD8"/>
    <w:rsid w:val="009A52E9"/>
    <w:rsid w:val="009A53C7"/>
    <w:rsid w:val="009A554C"/>
    <w:rsid w:val="009A5568"/>
    <w:rsid w:val="009A55CC"/>
    <w:rsid w:val="009A569E"/>
    <w:rsid w:val="009A5A1C"/>
    <w:rsid w:val="009A5A8F"/>
    <w:rsid w:val="009A5B04"/>
    <w:rsid w:val="009A5B56"/>
    <w:rsid w:val="009A5BCC"/>
    <w:rsid w:val="009A5F16"/>
    <w:rsid w:val="009A63EA"/>
    <w:rsid w:val="009A64DE"/>
    <w:rsid w:val="009A6505"/>
    <w:rsid w:val="009A66E1"/>
    <w:rsid w:val="009A6708"/>
    <w:rsid w:val="009A673F"/>
    <w:rsid w:val="009A69F2"/>
    <w:rsid w:val="009A6BF3"/>
    <w:rsid w:val="009A6C6F"/>
    <w:rsid w:val="009A6DEA"/>
    <w:rsid w:val="009A73A3"/>
    <w:rsid w:val="009A74DD"/>
    <w:rsid w:val="009A7AF7"/>
    <w:rsid w:val="009A7CE7"/>
    <w:rsid w:val="009B0309"/>
    <w:rsid w:val="009B0318"/>
    <w:rsid w:val="009B058D"/>
    <w:rsid w:val="009B0A97"/>
    <w:rsid w:val="009B0B69"/>
    <w:rsid w:val="009B0D0E"/>
    <w:rsid w:val="009B0D36"/>
    <w:rsid w:val="009B0F4D"/>
    <w:rsid w:val="009B11F2"/>
    <w:rsid w:val="009B139F"/>
    <w:rsid w:val="009B1579"/>
    <w:rsid w:val="009B16B8"/>
    <w:rsid w:val="009B1A28"/>
    <w:rsid w:val="009B1AF6"/>
    <w:rsid w:val="009B1B08"/>
    <w:rsid w:val="009B1CBB"/>
    <w:rsid w:val="009B1E22"/>
    <w:rsid w:val="009B1FC4"/>
    <w:rsid w:val="009B2293"/>
    <w:rsid w:val="009B241C"/>
    <w:rsid w:val="009B2447"/>
    <w:rsid w:val="009B2807"/>
    <w:rsid w:val="009B2840"/>
    <w:rsid w:val="009B2874"/>
    <w:rsid w:val="009B2960"/>
    <w:rsid w:val="009B2B24"/>
    <w:rsid w:val="009B2B8D"/>
    <w:rsid w:val="009B2C72"/>
    <w:rsid w:val="009B2CA2"/>
    <w:rsid w:val="009B2D95"/>
    <w:rsid w:val="009B2E57"/>
    <w:rsid w:val="009B3080"/>
    <w:rsid w:val="009B323D"/>
    <w:rsid w:val="009B32D6"/>
    <w:rsid w:val="009B32FC"/>
    <w:rsid w:val="009B336B"/>
    <w:rsid w:val="009B342A"/>
    <w:rsid w:val="009B3538"/>
    <w:rsid w:val="009B363E"/>
    <w:rsid w:val="009B36B5"/>
    <w:rsid w:val="009B3858"/>
    <w:rsid w:val="009B38DF"/>
    <w:rsid w:val="009B3920"/>
    <w:rsid w:val="009B3C00"/>
    <w:rsid w:val="009B3CA4"/>
    <w:rsid w:val="009B3E90"/>
    <w:rsid w:val="009B4048"/>
    <w:rsid w:val="009B422A"/>
    <w:rsid w:val="009B4334"/>
    <w:rsid w:val="009B4747"/>
    <w:rsid w:val="009B4895"/>
    <w:rsid w:val="009B4A34"/>
    <w:rsid w:val="009B4B47"/>
    <w:rsid w:val="009B4B6D"/>
    <w:rsid w:val="009B4BA5"/>
    <w:rsid w:val="009B4F5A"/>
    <w:rsid w:val="009B51D7"/>
    <w:rsid w:val="009B5345"/>
    <w:rsid w:val="009B535E"/>
    <w:rsid w:val="009B57C7"/>
    <w:rsid w:val="009B5A01"/>
    <w:rsid w:val="009B5A79"/>
    <w:rsid w:val="009B5AAE"/>
    <w:rsid w:val="009B5D72"/>
    <w:rsid w:val="009B5E0C"/>
    <w:rsid w:val="009B5EF0"/>
    <w:rsid w:val="009B5EF4"/>
    <w:rsid w:val="009B6013"/>
    <w:rsid w:val="009B60B8"/>
    <w:rsid w:val="009B611F"/>
    <w:rsid w:val="009B614F"/>
    <w:rsid w:val="009B61DB"/>
    <w:rsid w:val="009B6380"/>
    <w:rsid w:val="009B63BD"/>
    <w:rsid w:val="009B6781"/>
    <w:rsid w:val="009B6905"/>
    <w:rsid w:val="009B6A41"/>
    <w:rsid w:val="009B6A6D"/>
    <w:rsid w:val="009B6BC3"/>
    <w:rsid w:val="009B6D02"/>
    <w:rsid w:val="009B6E9F"/>
    <w:rsid w:val="009B6EDF"/>
    <w:rsid w:val="009B6EFB"/>
    <w:rsid w:val="009B7380"/>
    <w:rsid w:val="009B740C"/>
    <w:rsid w:val="009B75F7"/>
    <w:rsid w:val="009B7D33"/>
    <w:rsid w:val="009B7F20"/>
    <w:rsid w:val="009B7F3A"/>
    <w:rsid w:val="009C0374"/>
    <w:rsid w:val="009C0634"/>
    <w:rsid w:val="009C096A"/>
    <w:rsid w:val="009C0A2A"/>
    <w:rsid w:val="009C0BF2"/>
    <w:rsid w:val="009C0C8E"/>
    <w:rsid w:val="009C0FD8"/>
    <w:rsid w:val="009C1120"/>
    <w:rsid w:val="009C141A"/>
    <w:rsid w:val="009C1468"/>
    <w:rsid w:val="009C1728"/>
    <w:rsid w:val="009C185A"/>
    <w:rsid w:val="009C18B0"/>
    <w:rsid w:val="009C1D99"/>
    <w:rsid w:val="009C1DA8"/>
    <w:rsid w:val="009C1E10"/>
    <w:rsid w:val="009C1F69"/>
    <w:rsid w:val="009C2357"/>
    <w:rsid w:val="009C286A"/>
    <w:rsid w:val="009C33A1"/>
    <w:rsid w:val="009C3647"/>
    <w:rsid w:val="009C3743"/>
    <w:rsid w:val="009C374A"/>
    <w:rsid w:val="009C3833"/>
    <w:rsid w:val="009C38B3"/>
    <w:rsid w:val="009C38FB"/>
    <w:rsid w:val="009C3BB0"/>
    <w:rsid w:val="009C3BD0"/>
    <w:rsid w:val="009C3C68"/>
    <w:rsid w:val="009C3D68"/>
    <w:rsid w:val="009C3E94"/>
    <w:rsid w:val="009C3FEE"/>
    <w:rsid w:val="009C403B"/>
    <w:rsid w:val="009C40A2"/>
    <w:rsid w:val="009C43AC"/>
    <w:rsid w:val="009C458E"/>
    <w:rsid w:val="009C4846"/>
    <w:rsid w:val="009C48E7"/>
    <w:rsid w:val="009C49A5"/>
    <w:rsid w:val="009C4CD2"/>
    <w:rsid w:val="009C4FD7"/>
    <w:rsid w:val="009C5033"/>
    <w:rsid w:val="009C53F3"/>
    <w:rsid w:val="009C57D2"/>
    <w:rsid w:val="009C5B84"/>
    <w:rsid w:val="009C5BC0"/>
    <w:rsid w:val="009C5BE2"/>
    <w:rsid w:val="009C5BE5"/>
    <w:rsid w:val="009C5F76"/>
    <w:rsid w:val="009C5FAA"/>
    <w:rsid w:val="009C6126"/>
    <w:rsid w:val="009C62A1"/>
    <w:rsid w:val="009C63AC"/>
    <w:rsid w:val="009C648A"/>
    <w:rsid w:val="009C655C"/>
    <w:rsid w:val="009C66F1"/>
    <w:rsid w:val="009C6A41"/>
    <w:rsid w:val="009C6B13"/>
    <w:rsid w:val="009C731F"/>
    <w:rsid w:val="009C73DF"/>
    <w:rsid w:val="009C75B0"/>
    <w:rsid w:val="009C7624"/>
    <w:rsid w:val="009C7645"/>
    <w:rsid w:val="009C7649"/>
    <w:rsid w:val="009C7684"/>
    <w:rsid w:val="009C76A9"/>
    <w:rsid w:val="009C7723"/>
    <w:rsid w:val="009C7E6D"/>
    <w:rsid w:val="009C7E8C"/>
    <w:rsid w:val="009D0153"/>
    <w:rsid w:val="009D0158"/>
    <w:rsid w:val="009D029B"/>
    <w:rsid w:val="009D0377"/>
    <w:rsid w:val="009D04EB"/>
    <w:rsid w:val="009D059D"/>
    <w:rsid w:val="009D0709"/>
    <w:rsid w:val="009D0713"/>
    <w:rsid w:val="009D097C"/>
    <w:rsid w:val="009D0A7A"/>
    <w:rsid w:val="009D0C36"/>
    <w:rsid w:val="009D0C60"/>
    <w:rsid w:val="009D0C62"/>
    <w:rsid w:val="009D0D94"/>
    <w:rsid w:val="009D0E19"/>
    <w:rsid w:val="009D0ED3"/>
    <w:rsid w:val="009D113B"/>
    <w:rsid w:val="009D15DF"/>
    <w:rsid w:val="009D18BC"/>
    <w:rsid w:val="009D19C0"/>
    <w:rsid w:val="009D1C88"/>
    <w:rsid w:val="009D22DA"/>
    <w:rsid w:val="009D232A"/>
    <w:rsid w:val="009D24DD"/>
    <w:rsid w:val="009D275A"/>
    <w:rsid w:val="009D2FA3"/>
    <w:rsid w:val="009D346C"/>
    <w:rsid w:val="009D3564"/>
    <w:rsid w:val="009D36D0"/>
    <w:rsid w:val="009D39C0"/>
    <w:rsid w:val="009D3A63"/>
    <w:rsid w:val="009D3C44"/>
    <w:rsid w:val="009D3D3A"/>
    <w:rsid w:val="009D3F9B"/>
    <w:rsid w:val="009D40C8"/>
    <w:rsid w:val="009D4312"/>
    <w:rsid w:val="009D4319"/>
    <w:rsid w:val="009D4FAE"/>
    <w:rsid w:val="009D5174"/>
    <w:rsid w:val="009D5549"/>
    <w:rsid w:val="009D56D9"/>
    <w:rsid w:val="009D57E3"/>
    <w:rsid w:val="009D58E8"/>
    <w:rsid w:val="009D594F"/>
    <w:rsid w:val="009D59F5"/>
    <w:rsid w:val="009D5ACC"/>
    <w:rsid w:val="009D5B2C"/>
    <w:rsid w:val="009D5CD1"/>
    <w:rsid w:val="009D5D0B"/>
    <w:rsid w:val="009D5E5D"/>
    <w:rsid w:val="009D5E6A"/>
    <w:rsid w:val="009D5ECF"/>
    <w:rsid w:val="009D6241"/>
    <w:rsid w:val="009D637A"/>
    <w:rsid w:val="009D6717"/>
    <w:rsid w:val="009D6BC4"/>
    <w:rsid w:val="009D6CE7"/>
    <w:rsid w:val="009D6E85"/>
    <w:rsid w:val="009D6EA5"/>
    <w:rsid w:val="009D6F52"/>
    <w:rsid w:val="009D71FB"/>
    <w:rsid w:val="009D7609"/>
    <w:rsid w:val="009D772F"/>
    <w:rsid w:val="009D7BB7"/>
    <w:rsid w:val="009D7C7B"/>
    <w:rsid w:val="009D7E47"/>
    <w:rsid w:val="009D7E67"/>
    <w:rsid w:val="009D7F58"/>
    <w:rsid w:val="009E006D"/>
    <w:rsid w:val="009E00FF"/>
    <w:rsid w:val="009E0189"/>
    <w:rsid w:val="009E02EE"/>
    <w:rsid w:val="009E0318"/>
    <w:rsid w:val="009E074E"/>
    <w:rsid w:val="009E0A65"/>
    <w:rsid w:val="009E0EDF"/>
    <w:rsid w:val="009E1327"/>
    <w:rsid w:val="009E1367"/>
    <w:rsid w:val="009E164C"/>
    <w:rsid w:val="009E17E6"/>
    <w:rsid w:val="009E1B4E"/>
    <w:rsid w:val="009E1EFA"/>
    <w:rsid w:val="009E1F61"/>
    <w:rsid w:val="009E2074"/>
    <w:rsid w:val="009E24F0"/>
    <w:rsid w:val="009E2BB1"/>
    <w:rsid w:val="009E2F33"/>
    <w:rsid w:val="009E3132"/>
    <w:rsid w:val="009E329C"/>
    <w:rsid w:val="009E3393"/>
    <w:rsid w:val="009E341C"/>
    <w:rsid w:val="009E37E3"/>
    <w:rsid w:val="009E38E4"/>
    <w:rsid w:val="009E3933"/>
    <w:rsid w:val="009E3BDD"/>
    <w:rsid w:val="009E3CF1"/>
    <w:rsid w:val="009E407C"/>
    <w:rsid w:val="009E4358"/>
    <w:rsid w:val="009E449E"/>
    <w:rsid w:val="009E47E5"/>
    <w:rsid w:val="009E4E31"/>
    <w:rsid w:val="009E4ED5"/>
    <w:rsid w:val="009E4F10"/>
    <w:rsid w:val="009E50FA"/>
    <w:rsid w:val="009E5122"/>
    <w:rsid w:val="009E5123"/>
    <w:rsid w:val="009E5134"/>
    <w:rsid w:val="009E51C7"/>
    <w:rsid w:val="009E5284"/>
    <w:rsid w:val="009E5320"/>
    <w:rsid w:val="009E5407"/>
    <w:rsid w:val="009E54A6"/>
    <w:rsid w:val="009E564E"/>
    <w:rsid w:val="009E5914"/>
    <w:rsid w:val="009E5A3A"/>
    <w:rsid w:val="009E5D2C"/>
    <w:rsid w:val="009E5EB5"/>
    <w:rsid w:val="009E5F15"/>
    <w:rsid w:val="009E5F95"/>
    <w:rsid w:val="009E5F9D"/>
    <w:rsid w:val="009E636F"/>
    <w:rsid w:val="009E647D"/>
    <w:rsid w:val="009E6500"/>
    <w:rsid w:val="009E6A69"/>
    <w:rsid w:val="009E6C22"/>
    <w:rsid w:val="009E6C5E"/>
    <w:rsid w:val="009E6CD2"/>
    <w:rsid w:val="009E6E9F"/>
    <w:rsid w:val="009E7171"/>
    <w:rsid w:val="009E740F"/>
    <w:rsid w:val="009E7763"/>
    <w:rsid w:val="009E7A94"/>
    <w:rsid w:val="009E7E40"/>
    <w:rsid w:val="009E7F25"/>
    <w:rsid w:val="009F00A0"/>
    <w:rsid w:val="009F0227"/>
    <w:rsid w:val="009F03A7"/>
    <w:rsid w:val="009F07C6"/>
    <w:rsid w:val="009F09FF"/>
    <w:rsid w:val="009F0D18"/>
    <w:rsid w:val="009F0E34"/>
    <w:rsid w:val="009F115B"/>
    <w:rsid w:val="009F123D"/>
    <w:rsid w:val="009F1846"/>
    <w:rsid w:val="009F1944"/>
    <w:rsid w:val="009F1B8B"/>
    <w:rsid w:val="009F1C02"/>
    <w:rsid w:val="009F1C49"/>
    <w:rsid w:val="009F1FF2"/>
    <w:rsid w:val="009F2100"/>
    <w:rsid w:val="009F22F1"/>
    <w:rsid w:val="009F2351"/>
    <w:rsid w:val="009F26AB"/>
    <w:rsid w:val="009F2A6B"/>
    <w:rsid w:val="009F2C39"/>
    <w:rsid w:val="009F2CCA"/>
    <w:rsid w:val="009F3240"/>
    <w:rsid w:val="009F3473"/>
    <w:rsid w:val="009F35CC"/>
    <w:rsid w:val="009F3832"/>
    <w:rsid w:val="009F395C"/>
    <w:rsid w:val="009F3975"/>
    <w:rsid w:val="009F3C80"/>
    <w:rsid w:val="009F3DBE"/>
    <w:rsid w:val="009F410E"/>
    <w:rsid w:val="009F47F7"/>
    <w:rsid w:val="009F487C"/>
    <w:rsid w:val="009F4C30"/>
    <w:rsid w:val="009F500C"/>
    <w:rsid w:val="009F501A"/>
    <w:rsid w:val="009F5057"/>
    <w:rsid w:val="009F50A4"/>
    <w:rsid w:val="009F518F"/>
    <w:rsid w:val="009F51DB"/>
    <w:rsid w:val="009F536B"/>
    <w:rsid w:val="009F549D"/>
    <w:rsid w:val="009F5526"/>
    <w:rsid w:val="009F5617"/>
    <w:rsid w:val="009F57B4"/>
    <w:rsid w:val="009F5A18"/>
    <w:rsid w:val="009F5B55"/>
    <w:rsid w:val="009F5B9A"/>
    <w:rsid w:val="009F5D63"/>
    <w:rsid w:val="009F600B"/>
    <w:rsid w:val="009F6107"/>
    <w:rsid w:val="009F64F6"/>
    <w:rsid w:val="009F65BC"/>
    <w:rsid w:val="009F6C8D"/>
    <w:rsid w:val="009F708F"/>
    <w:rsid w:val="009F7118"/>
    <w:rsid w:val="009F75B2"/>
    <w:rsid w:val="009F77DD"/>
    <w:rsid w:val="009F793F"/>
    <w:rsid w:val="009F7C39"/>
    <w:rsid w:val="009F7D53"/>
    <w:rsid w:val="009F7D6A"/>
    <w:rsid w:val="00A0006F"/>
    <w:rsid w:val="00A00100"/>
    <w:rsid w:val="00A0039E"/>
    <w:rsid w:val="00A00622"/>
    <w:rsid w:val="00A0064E"/>
    <w:rsid w:val="00A00B68"/>
    <w:rsid w:val="00A00D46"/>
    <w:rsid w:val="00A00D96"/>
    <w:rsid w:val="00A00E5B"/>
    <w:rsid w:val="00A00ECB"/>
    <w:rsid w:val="00A011AC"/>
    <w:rsid w:val="00A013BF"/>
    <w:rsid w:val="00A01737"/>
    <w:rsid w:val="00A0187F"/>
    <w:rsid w:val="00A019F4"/>
    <w:rsid w:val="00A01A6D"/>
    <w:rsid w:val="00A01DA8"/>
    <w:rsid w:val="00A01EE3"/>
    <w:rsid w:val="00A02430"/>
    <w:rsid w:val="00A026DC"/>
    <w:rsid w:val="00A0287D"/>
    <w:rsid w:val="00A02A17"/>
    <w:rsid w:val="00A02C78"/>
    <w:rsid w:val="00A03112"/>
    <w:rsid w:val="00A0331D"/>
    <w:rsid w:val="00A033D6"/>
    <w:rsid w:val="00A0340B"/>
    <w:rsid w:val="00A03590"/>
    <w:rsid w:val="00A03630"/>
    <w:rsid w:val="00A03662"/>
    <w:rsid w:val="00A03A32"/>
    <w:rsid w:val="00A03CFC"/>
    <w:rsid w:val="00A03DE7"/>
    <w:rsid w:val="00A03DF0"/>
    <w:rsid w:val="00A03F07"/>
    <w:rsid w:val="00A0486A"/>
    <w:rsid w:val="00A04AA0"/>
    <w:rsid w:val="00A04AF6"/>
    <w:rsid w:val="00A04C09"/>
    <w:rsid w:val="00A0511E"/>
    <w:rsid w:val="00A05548"/>
    <w:rsid w:val="00A056D3"/>
    <w:rsid w:val="00A05980"/>
    <w:rsid w:val="00A05BB8"/>
    <w:rsid w:val="00A05C86"/>
    <w:rsid w:val="00A05EC3"/>
    <w:rsid w:val="00A05F95"/>
    <w:rsid w:val="00A062B3"/>
    <w:rsid w:val="00A063EE"/>
    <w:rsid w:val="00A06787"/>
    <w:rsid w:val="00A068E8"/>
    <w:rsid w:val="00A06C84"/>
    <w:rsid w:val="00A06E56"/>
    <w:rsid w:val="00A06F78"/>
    <w:rsid w:val="00A0705C"/>
    <w:rsid w:val="00A071A3"/>
    <w:rsid w:val="00A0767A"/>
    <w:rsid w:val="00A07703"/>
    <w:rsid w:val="00A0784A"/>
    <w:rsid w:val="00A079A3"/>
    <w:rsid w:val="00A07D5C"/>
    <w:rsid w:val="00A10C47"/>
    <w:rsid w:val="00A10E61"/>
    <w:rsid w:val="00A11872"/>
    <w:rsid w:val="00A11ACB"/>
    <w:rsid w:val="00A11B54"/>
    <w:rsid w:val="00A11B83"/>
    <w:rsid w:val="00A11BBD"/>
    <w:rsid w:val="00A11CF5"/>
    <w:rsid w:val="00A123A6"/>
    <w:rsid w:val="00A123DA"/>
    <w:rsid w:val="00A12450"/>
    <w:rsid w:val="00A126F1"/>
    <w:rsid w:val="00A12A1E"/>
    <w:rsid w:val="00A12AE0"/>
    <w:rsid w:val="00A12D24"/>
    <w:rsid w:val="00A13002"/>
    <w:rsid w:val="00A13043"/>
    <w:rsid w:val="00A133DD"/>
    <w:rsid w:val="00A13601"/>
    <w:rsid w:val="00A13ADC"/>
    <w:rsid w:val="00A13C49"/>
    <w:rsid w:val="00A13C4E"/>
    <w:rsid w:val="00A1407A"/>
    <w:rsid w:val="00A14270"/>
    <w:rsid w:val="00A14378"/>
    <w:rsid w:val="00A149F2"/>
    <w:rsid w:val="00A14D15"/>
    <w:rsid w:val="00A14F24"/>
    <w:rsid w:val="00A14FF8"/>
    <w:rsid w:val="00A1500B"/>
    <w:rsid w:val="00A15298"/>
    <w:rsid w:val="00A154D4"/>
    <w:rsid w:val="00A15958"/>
    <w:rsid w:val="00A1612B"/>
    <w:rsid w:val="00A161A4"/>
    <w:rsid w:val="00A161F1"/>
    <w:rsid w:val="00A16206"/>
    <w:rsid w:val="00A162A2"/>
    <w:rsid w:val="00A164B7"/>
    <w:rsid w:val="00A16522"/>
    <w:rsid w:val="00A16966"/>
    <w:rsid w:val="00A169FD"/>
    <w:rsid w:val="00A16A08"/>
    <w:rsid w:val="00A16AA5"/>
    <w:rsid w:val="00A16CCC"/>
    <w:rsid w:val="00A16D02"/>
    <w:rsid w:val="00A16D3D"/>
    <w:rsid w:val="00A1700E"/>
    <w:rsid w:val="00A178BE"/>
    <w:rsid w:val="00A17957"/>
    <w:rsid w:val="00A179C9"/>
    <w:rsid w:val="00A179D3"/>
    <w:rsid w:val="00A179F9"/>
    <w:rsid w:val="00A17E73"/>
    <w:rsid w:val="00A20102"/>
    <w:rsid w:val="00A20314"/>
    <w:rsid w:val="00A20360"/>
    <w:rsid w:val="00A203E1"/>
    <w:rsid w:val="00A2041D"/>
    <w:rsid w:val="00A205CC"/>
    <w:rsid w:val="00A2077C"/>
    <w:rsid w:val="00A208E6"/>
    <w:rsid w:val="00A2097A"/>
    <w:rsid w:val="00A20989"/>
    <w:rsid w:val="00A20D59"/>
    <w:rsid w:val="00A210C3"/>
    <w:rsid w:val="00A212C2"/>
    <w:rsid w:val="00A214E5"/>
    <w:rsid w:val="00A2171A"/>
    <w:rsid w:val="00A21968"/>
    <w:rsid w:val="00A219FB"/>
    <w:rsid w:val="00A21B3C"/>
    <w:rsid w:val="00A21C82"/>
    <w:rsid w:val="00A21D92"/>
    <w:rsid w:val="00A22168"/>
    <w:rsid w:val="00A22873"/>
    <w:rsid w:val="00A22C63"/>
    <w:rsid w:val="00A22CB8"/>
    <w:rsid w:val="00A22D1C"/>
    <w:rsid w:val="00A22E81"/>
    <w:rsid w:val="00A22FB1"/>
    <w:rsid w:val="00A232A5"/>
    <w:rsid w:val="00A238AE"/>
    <w:rsid w:val="00A238FA"/>
    <w:rsid w:val="00A23A7A"/>
    <w:rsid w:val="00A23ABD"/>
    <w:rsid w:val="00A23B75"/>
    <w:rsid w:val="00A23CF5"/>
    <w:rsid w:val="00A23D71"/>
    <w:rsid w:val="00A2427E"/>
    <w:rsid w:val="00A242DE"/>
    <w:rsid w:val="00A24338"/>
    <w:rsid w:val="00A2439B"/>
    <w:rsid w:val="00A24693"/>
    <w:rsid w:val="00A24989"/>
    <w:rsid w:val="00A24A13"/>
    <w:rsid w:val="00A24F57"/>
    <w:rsid w:val="00A251EB"/>
    <w:rsid w:val="00A25293"/>
    <w:rsid w:val="00A25356"/>
    <w:rsid w:val="00A255C6"/>
    <w:rsid w:val="00A25C9F"/>
    <w:rsid w:val="00A25EE9"/>
    <w:rsid w:val="00A26205"/>
    <w:rsid w:val="00A26256"/>
    <w:rsid w:val="00A262D3"/>
    <w:rsid w:val="00A262E3"/>
    <w:rsid w:val="00A2649F"/>
    <w:rsid w:val="00A265A5"/>
    <w:rsid w:val="00A2674E"/>
    <w:rsid w:val="00A2675E"/>
    <w:rsid w:val="00A26885"/>
    <w:rsid w:val="00A2688F"/>
    <w:rsid w:val="00A26A0D"/>
    <w:rsid w:val="00A26A73"/>
    <w:rsid w:val="00A26CE3"/>
    <w:rsid w:val="00A26D52"/>
    <w:rsid w:val="00A26E6B"/>
    <w:rsid w:val="00A2703F"/>
    <w:rsid w:val="00A2716B"/>
    <w:rsid w:val="00A276BE"/>
    <w:rsid w:val="00A2780D"/>
    <w:rsid w:val="00A27B6D"/>
    <w:rsid w:val="00A27D62"/>
    <w:rsid w:val="00A27D80"/>
    <w:rsid w:val="00A27DAD"/>
    <w:rsid w:val="00A303B7"/>
    <w:rsid w:val="00A3040C"/>
    <w:rsid w:val="00A30427"/>
    <w:rsid w:val="00A304CE"/>
    <w:rsid w:val="00A309C7"/>
    <w:rsid w:val="00A30E97"/>
    <w:rsid w:val="00A30F55"/>
    <w:rsid w:val="00A316AD"/>
    <w:rsid w:val="00A31780"/>
    <w:rsid w:val="00A31892"/>
    <w:rsid w:val="00A31B01"/>
    <w:rsid w:val="00A31C16"/>
    <w:rsid w:val="00A31CFD"/>
    <w:rsid w:val="00A31EF9"/>
    <w:rsid w:val="00A32258"/>
    <w:rsid w:val="00A3249C"/>
    <w:rsid w:val="00A32815"/>
    <w:rsid w:val="00A32B76"/>
    <w:rsid w:val="00A3308A"/>
    <w:rsid w:val="00A330C8"/>
    <w:rsid w:val="00A33333"/>
    <w:rsid w:val="00A3353E"/>
    <w:rsid w:val="00A335CB"/>
    <w:rsid w:val="00A336E7"/>
    <w:rsid w:val="00A33DB2"/>
    <w:rsid w:val="00A33F08"/>
    <w:rsid w:val="00A33F79"/>
    <w:rsid w:val="00A340FF"/>
    <w:rsid w:val="00A345B6"/>
    <w:rsid w:val="00A34674"/>
    <w:rsid w:val="00A34935"/>
    <w:rsid w:val="00A34966"/>
    <w:rsid w:val="00A34A6D"/>
    <w:rsid w:val="00A34EE8"/>
    <w:rsid w:val="00A35188"/>
    <w:rsid w:val="00A35375"/>
    <w:rsid w:val="00A356B9"/>
    <w:rsid w:val="00A35832"/>
    <w:rsid w:val="00A3589F"/>
    <w:rsid w:val="00A35A93"/>
    <w:rsid w:val="00A35C53"/>
    <w:rsid w:val="00A35D91"/>
    <w:rsid w:val="00A35DCA"/>
    <w:rsid w:val="00A35E16"/>
    <w:rsid w:val="00A35FA0"/>
    <w:rsid w:val="00A36060"/>
    <w:rsid w:val="00A362BE"/>
    <w:rsid w:val="00A3632F"/>
    <w:rsid w:val="00A36371"/>
    <w:rsid w:val="00A3644B"/>
    <w:rsid w:val="00A365E9"/>
    <w:rsid w:val="00A36B1F"/>
    <w:rsid w:val="00A36C24"/>
    <w:rsid w:val="00A36C95"/>
    <w:rsid w:val="00A37264"/>
    <w:rsid w:val="00A372F4"/>
    <w:rsid w:val="00A37554"/>
    <w:rsid w:val="00A376D4"/>
    <w:rsid w:val="00A37989"/>
    <w:rsid w:val="00A37D11"/>
    <w:rsid w:val="00A37DB2"/>
    <w:rsid w:val="00A37FB3"/>
    <w:rsid w:val="00A400F4"/>
    <w:rsid w:val="00A4047A"/>
    <w:rsid w:val="00A40633"/>
    <w:rsid w:val="00A40798"/>
    <w:rsid w:val="00A407C3"/>
    <w:rsid w:val="00A40943"/>
    <w:rsid w:val="00A40EA5"/>
    <w:rsid w:val="00A41028"/>
    <w:rsid w:val="00A41059"/>
    <w:rsid w:val="00A411F4"/>
    <w:rsid w:val="00A4157A"/>
    <w:rsid w:val="00A415E4"/>
    <w:rsid w:val="00A41681"/>
    <w:rsid w:val="00A41753"/>
    <w:rsid w:val="00A417FE"/>
    <w:rsid w:val="00A4180F"/>
    <w:rsid w:val="00A419C1"/>
    <w:rsid w:val="00A41FEC"/>
    <w:rsid w:val="00A42074"/>
    <w:rsid w:val="00A421CA"/>
    <w:rsid w:val="00A423B3"/>
    <w:rsid w:val="00A424A0"/>
    <w:rsid w:val="00A42668"/>
    <w:rsid w:val="00A42681"/>
    <w:rsid w:val="00A4291C"/>
    <w:rsid w:val="00A42A99"/>
    <w:rsid w:val="00A42D66"/>
    <w:rsid w:val="00A43165"/>
    <w:rsid w:val="00A4320C"/>
    <w:rsid w:val="00A43249"/>
    <w:rsid w:val="00A433F9"/>
    <w:rsid w:val="00A434EA"/>
    <w:rsid w:val="00A43758"/>
    <w:rsid w:val="00A438EB"/>
    <w:rsid w:val="00A43B3E"/>
    <w:rsid w:val="00A44266"/>
    <w:rsid w:val="00A449B4"/>
    <w:rsid w:val="00A44B48"/>
    <w:rsid w:val="00A44CE1"/>
    <w:rsid w:val="00A44D2B"/>
    <w:rsid w:val="00A44E42"/>
    <w:rsid w:val="00A451A2"/>
    <w:rsid w:val="00A4538F"/>
    <w:rsid w:val="00A45622"/>
    <w:rsid w:val="00A4564C"/>
    <w:rsid w:val="00A45762"/>
    <w:rsid w:val="00A45BEE"/>
    <w:rsid w:val="00A45CE5"/>
    <w:rsid w:val="00A45D5A"/>
    <w:rsid w:val="00A45D73"/>
    <w:rsid w:val="00A45DA1"/>
    <w:rsid w:val="00A463E6"/>
    <w:rsid w:val="00A46574"/>
    <w:rsid w:val="00A46621"/>
    <w:rsid w:val="00A4669B"/>
    <w:rsid w:val="00A468F0"/>
    <w:rsid w:val="00A4690B"/>
    <w:rsid w:val="00A46973"/>
    <w:rsid w:val="00A46E7B"/>
    <w:rsid w:val="00A46F7B"/>
    <w:rsid w:val="00A47170"/>
    <w:rsid w:val="00A473AF"/>
    <w:rsid w:val="00A473CA"/>
    <w:rsid w:val="00A47769"/>
    <w:rsid w:val="00A4777F"/>
    <w:rsid w:val="00A4785C"/>
    <w:rsid w:val="00A47938"/>
    <w:rsid w:val="00A47AFC"/>
    <w:rsid w:val="00A47CBB"/>
    <w:rsid w:val="00A5034C"/>
    <w:rsid w:val="00A5055C"/>
    <w:rsid w:val="00A50693"/>
    <w:rsid w:val="00A506A8"/>
    <w:rsid w:val="00A508DA"/>
    <w:rsid w:val="00A50996"/>
    <w:rsid w:val="00A50A1F"/>
    <w:rsid w:val="00A50B46"/>
    <w:rsid w:val="00A50D7A"/>
    <w:rsid w:val="00A50D8A"/>
    <w:rsid w:val="00A50F1F"/>
    <w:rsid w:val="00A511A2"/>
    <w:rsid w:val="00A51A0E"/>
    <w:rsid w:val="00A51C59"/>
    <w:rsid w:val="00A51F49"/>
    <w:rsid w:val="00A52152"/>
    <w:rsid w:val="00A5249F"/>
    <w:rsid w:val="00A527C2"/>
    <w:rsid w:val="00A52DD1"/>
    <w:rsid w:val="00A52EA4"/>
    <w:rsid w:val="00A530FE"/>
    <w:rsid w:val="00A53232"/>
    <w:rsid w:val="00A53598"/>
    <w:rsid w:val="00A537DD"/>
    <w:rsid w:val="00A539E8"/>
    <w:rsid w:val="00A539F2"/>
    <w:rsid w:val="00A53E87"/>
    <w:rsid w:val="00A54332"/>
    <w:rsid w:val="00A5489C"/>
    <w:rsid w:val="00A54C0A"/>
    <w:rsid w:val="00A55105"/>
    <w:rsid w:val="00A55137"/>
    <w:rsid w:val="00A553BC"/>
    <w:rsid w:val="00A555F7"/>
    <w:rsid w:val="00A557DB"/>
    <w:rsid w:val="00A55B33"/>
    <w:rsid w:val="00A55DC3"/>
    <w:rsid w:val="00A55FCE"/>
    <w:rsid w:val="00A56049"/>
    <w:rsid w:val="00A56BD4"/>
    <w:rsid w:val="00A56C35"/>
    <w:rsid w:val="00A56C3A"/>
    <w:rsid w:val="00A57241"/>
    <w:rsid w:val="00A57247"/>
    <w:rsid w:val="00A57534"/>
    <w:rsid w:val="00A57966"/>
    <w:rsid w:val="00A6012D"/>
    <w:rsid w:val="00A6016F"/>
    <w:rsid w:val="00A60462"/>
    <w:rsid w:val="00A60538"/>
    <w:rsid w:val="00A605A4"/>
    <w:rsid w:val="00A605CE"/>
    <w:rsid w:val="00A6083D"/>
    <w:rsid w:val="00A60C11"/>
    <w:rsid w:val="00A60D49"/>
    <w:rsid w:val="00A61005"/>
    <w:rsid w:val="00A6148A"/>
    <w:rsid w:val="00A6162F"/>
    <w:rsid w:val="00A61B74"/>
    <w:rsid w:val="00A61BEB"/>
    <w:rsid w:val="00A61F83"/>
    <w:rsid w:val="00A61FCD"/>
    <w:rsid w:val="00A621B7"/>
    <w:rsid w:val="00A62239"/>
    <w:rsid w:val="00A623D9"/>
    <w:rsid w:val="00A62827"/>
    <w:rsid w:val="00A62B70"/>
    <w:rsid w:val="00A62EDC"/>
    <w:rsid w:val="00A62EEF"/>
    <w:rsid w:val="00A631B0"/>
    <w:rsid w:val="00A63386"/>
    <w:rsid w:val="00A637F0"/>
    <w:rsid w:val="00A638A4"/>
    <w:rsid w:val="00A638B7"/>
    <w:rsid w:val="00A63BA0"/>
    <w:rsid w:val="00A63C69"/>
    <w:rsid w:val="00A63C70"/>
    <w:rsid w:val="00A63F47"/>
    <w:rsid w:val="00A6442A"/>
    <w:rsid w:val="00A6449F"/>
    <w:rsid w:val="00A64525"/>
    <w:rsid w:val="00A6455E"/>
    <w:rsid w:val="00A6456F"/>
    <w:rsid w:val="00A64AE5"/>
    <w:rsid w:val="00A64E08"/>
    <w:rsid w:val="00A64E98"/>
    <w:rsid w:val="00A6516F"/>
    <w:rsid w:val="00A653A9"/>
    <w:rsid w:val="00A653CA"/>
    <w:rsid w:val="00A6556C"/>
    <w:rsid w:val="00A6563E"/>
    <w:rsid w:val="00A658C6"/>
    <w:rsid w:val="00A659E1"/>
    <w:rsid w:val="00A65C30"/>
    <w:rsid w:val="00A65C57"/>
    <w:rsid w:val="00A662B6"/>
    <w:rsid w:val="00A663A5"/>
    <w:rsid w:val="00A6665A"/>
    <w:rsid w:val="00A66968"/>
    <w:rsid w:val="00A66D38"/>
    <w:rsid w:val="00A66D9B"/>
    <w:rsid w:val="00A6703D"/>
    <w:rsid w:val="00A6719C"/>
    <w:rsid w:val="00A6731A"/>
    <w:rsid w:val="00A673F7"/>
    <w:rsid w:val="00A67579"/>
    <w:rsid w:val="00A67CB2"/>
    <w:rsid w:val="00A67EBD"/>
    <w:rsid w:val="00A67F64"/>
    <w:rsid w:val="00A700A6"/>
    <w:rsid w:val="00A70422"/>
    <w:rsid w:val="00A70587"/>
    <w:rsid w:val="00A705CD"/>
    <w:rsid w:val="00A70601"/>
    <w:rsid w:val="00A70801"/>
    <w:rsid w:val="00A70C59"/>
    <w:rsid w:val="00A70D94"/>
    <w:rsid w:val="00A70DAA"/>
    <w:rsid w:val="00A70FC3"/>
    <w:rsid w:val="00A71221"/>
    <w:rsid w:val="00A712F6"/>
    <w:rsid w:val="00A7141A"/>
    <w:rsid w:val="00A71C70"/>
    <w:rsid w:val="00A71C7B"/>
    <w:rsid w:val="00A71FED"/>
    <w:rsid w:val="00A72031"/>
    <w:rsid w:val="00A7214D"/>
    <w:rsid w:val="00A722DD"/>
    <w:rsid w:val="00A72535"/>
    <w:rsid w:val="00A7281A"/>
    <w:rsid w:val="00A7285F"/>
    <w:rsid w:val="00A72A5A"/>
    <w:rsid w:val="00A72A81"/>
    <w:rsid w:val="00A72E6C"/>
    <w:rsid w:val="00A7326D"/>
    <w:rsid w:val="00A73554"/>
    <w:rsid w:val="00A73666"/>
    <w:rsid w:val="00A7379E"/>
    <w:rsid w:val="00A739DE"/>
    <w:rsid w:val="00A73A28"/>
    <w:rsid w:val="00A73EBE"/>
    <w:rsid w:val="00A74181"/>
    <w:rsid w:val="00A74401"/>
    <w:rsid w:val="00A745CE"/>
    <w:rsid w:val="00A74B52"/>
    <w:rsid w:val="00A74D01"/>
    <w:rsid w:val="00A75075"/>
    <w:rsid w:val="00A7536A"/>
    <w:rsid w:val="00A75407"/>
    <w:rsid w:val="00A7542A"/>
    <w:rsid w:val="00A75679"/>
    <w:rsid w:val="00A757D8"/>
    <w:rsid w:val="00A75CB3"/>
    <w:rsid w:val="00A75E01"/>
    <w:rsid w:val="00A75EE6"/>
    <w:rsid w:val="00A75FFD"/>
    <w:rsid w:val="00A760D8"/>
    <w:rsid w:val="00A76260"/>
    <w:rsid w:val="00A762EE"/>
    <w:rsid w:val="00A76377"/>
    <w:rsid w:val="00A76560"/>
    <w:rsid w:val="00A765C2"/>
    <w:rsid w:val="00A766D9"/>
    <w:rsid w:val="00A76785"/>
    <w:rsid w:val="00A7694F"/>
    <w:rsid w:val="00A76962"/>
    <w:rsid w:val="00A76A5B"/>
    <w:rsid w:val="00A76EB1"/>
    <w:rsid w:val="00A76EB4"/>
    <w:rsid w:val="00A76F90"/>
    <w:rsid w:val="00A76FD4"/>
    <w:rsid w:val="00A772C0"/>
    <w:rsid w:val="00A772E7"/>
    <w:rsid w:val="00A7757A"/>
    <w:rsid w:val="00A776D0"/>
    <w:rsid w:val="00A7787F"/>
    <w:rsid w:val="00A77A4D"/>
    <w:rsid w:val="00A77D28"/>
    <w:rsid w:val="00A806CE"/>
    <w:rsid w:val="00A80A77"/>
    <w:rsid w:val="00A80BB1"/>
    <w:rsid w:val="00A80E26"/>
    <w:rsid w:val="00A81149"/>
    <w:rsid w:val="00A8118A"/>
    <w:rsid w:val="00A81397"/>
    <w:rsid w:val="00A813E2"/>
    <w:rsid w:val="00A814A2"/>
    <w:rsid w:val="00A8154C"/>
    <w:rsid w:val="00A81693"/>
    <w:rsid w:val="00A81888"/>
    <w:rsid w:val="00A819E3"/>
    <w:rsid w:val="00A81AA7"/>
    <w:rsid w:val="00A81CDB"/>
    <w:rsid w:val="00A82195"/>
    <w:rsid w:val="00A82B6C"/>
    <w:rsid w:val="00A82BBD"/>
    <w:rsid w:val="00A82D46"/>
    <w:rsid w:val="00A82D59"/>
    <w:rsid w:val="00A830E1"/>
    <w:rsid w:val="00A83312"/>
    <w:rsid w:val="00A8384B"/>
    <w:rsid w:val="00A83B2E"/>
    <w:rsid w:val="00A83CCD"/>
    <w:rsid w:val="00A83DF2"/>
    <w:rsid w:val="00A83E77"/>
    <w:rsid w:val="00A83F64"/>
    <w:rsid w:val="00A84211"/>
    <w:rsid w:val="00A842DF"/>
    <w:rsid w:val="00A843C4"/>
    <w:rsid w:val="00A84569"/>
    <w:rsid w:val="00A84BF7"/>
    <w:rsid w:val="00A85293"/>
    <w:rsid w:val="00A85445"/>
    <w:rsid w:val="00A85A3C"/>
    <w:rsid w:val="00A861DC"/>
    <w:rsid w:val="00A86310"/>
    <w:rsid w:val="00A865D6"/>
    <w:rsid w:val="00A869F4"/>
    <w:rsid w:val="00A86C18"/>
    <w:rsid w:val="00A86FAE"/>
    <w:rsid w:val="00A874F4"/>
    <w:rsid w:val="00A87540"/>
    <w:rsid w:val="00A87559"/>
    <w:rsid w:val="00A8780B"/>
    <w:rsid w:val="00A87E41"/>
    <w:rsid w:val="00A90054"/>
    <w:rsid w:val="00A900CC"/>
    <w:rsid w:val="00A90433"/>
    <w:rsid w:val="00A9095F"/>
    <w:rsid w:val="00A90B2E"/>
    <w:rsid w:val="00A90BA6"/>
    <w:rsid w:val="00A90C63"/>
    <w:rsid w:val="00A90E0C"/>
    <w:rsid w:val="00A90FF6"/>
    <w:rsid w:val="00A9100F"/>
    <w:rsid w:val="00A9109B"/>
    <w:rsid w:val="00A913E3"/>
    <w:rsid w:val="00A914F0"/>
    <w:rsid w:val="00A9171C"/>
    <w:rsid w:val="00A917C3"/>
    <w:rsid w:val="00A918CD"/>
    <w:rsid w:val="00A9191D"/>
    <w:rsid w:val="00A919C6"/>
    <w:rsid w:val="00A91D8A"/>
    <w:rsid w:val="00A91DEC"/>
    <w:rsid w:val="00A9207A"/>
    <w:rsid w:val="00A92136"/>
    <w:rsid w:val="00A9231B"/>
    <w:rsid w:val="00A92348"/>
    <w:rsid w:val="00A92985"/>
    <w:rsid w:val="00A929CB"/>
    <w:rsid w:val="00A92D03"/>
    <w:rsid w:val="00A92E91"/>
    <w:rsid w:val="00A92F16"/>
    <w:rsid w:val="00A9312A"/>
    <w:rsid w:val="00A93323"/>
    <w:rsid w:val="00A93630"/>
    <w:rsid w:val="00A938BA"/>
    <w:rsid w:val="00A938E0"/>
    <w:rsid w:val="00A938FD"/>
    <w:rsid w:val="00A93DC1"/>
    <w:rsid w:val="00A93FA0"/>
    <w:rsid w:val="00A93FB4"/>
    <w:rsid w:val="00A94114"/>
    <w:rsid w:val="00A941E8"/>
    <w:rsid w:val="00A946B5"/>
    <w:rsid w:val="00A947A9"/>
    <w:rsid w:val="00A9483B"/>
    <w:rsid w:val="00A94A51"/>
    <w:rsid w:val="00A94E74"/>
    <w:rsid w:val="00A94E75"/>
    <w:rsid w:val="00A94E9D"/>
    <w:rsid w:val="00A95553"/>
    <w:rsid w:val="00A95771"/>
    <w:rsid w:val="00A95B97"/>
    <w:rsid w:val="00A95FB3"/>
    <w:rsid w:val="00A963D5"/>
    <w:rsid w:val="00A96430"/>
    <w:rsid w:val="00A96542"/>
    <w:rsid w:val="00A966B7"/>
    <w:rsid w:val="00A96ADB"/>
    <w:rsid w:val="00A96EC4"/>
    <w:rsid w:val="00A970C3"/>
    <w:rsid w:val="00A9725D"/>
    <w:rsid w:val="00A972FE"/>
    <w:rsid w:val="00A97542"/>
    <w:rsid w:val="00A9769E"/>
    <w:rsid w:val="00A976A8"/>
    <w:rsid w:val="00A97A9E"/>
    <w:rsid w:val="00A97BE4"/>
    <w:rsid w:val="00A97C81"/>
    <w:rsid w:val="00A97DF1"/>
    <w:rsid w:val="00A97EDE"/>
    <w:rsid w:val="00AA01C0"/>
    <w:rsid w:val="00AA0510"/>
    <w:rsid w:val="00AA093C"/>
    <w:rsid w:val="00AA0B29"/>
    <w:rsid w:val="00AA0BDF"/>
    <w:rsid w:val="00AA1244"/>
    <w:rsid w:val="00AA1629"/>
    <w:rsid w:val="00AA1665"/>
    <w:rsid w:val="00AA1AE4"/>
    <w:rsid w:val="00AA1D85"/>
    <w:rsid w:val="00AA21DE"/>
    <w:rsid w:val="00AA22AD"/>
    <w:rsid w:val="00AA24CF"/>
    <w:rsid w:val="00AA2781"/>
    <w:rsid w:val="00AA27C4"/>
    <w:rsid w:val="00AA27F0"/>
    <w:rsid w:val="00AA2AF3"/>
    <w:rsid w:val="00AA2CF3"/>
    <w:rsid w:val="00AA2CF4"/>
    <w:rsid w:val="00AA2F89"/>
    <w:rsid w:val="00AA303B"/>
    <w:rsid w:val="00AA3052"/>
    <w:rsid w:val="00AA30F1"/>
    <w:rsid w:val="00AA32A0"/>
    <w:rsid w:val="00AA34E3"/>
    <w:rsid w:val="00AA3744"/>
    <w:rsid w:val="00AA392A"/>
    <w:rsid w:val="00AA3A8A"/>
    <w:rsid w:val="00AA3DD4"/>
    <w:rsid w:val="00AA3EE4"/>
    <w:rsid w:val="00AA3FED"/>
    <w:rsid w:val="00AA4032"/>
    <w:rsid w:val="00AA406F"/>
    <w:rsid w:val="00AA4086"/>
    <w:rsid w:val="00AA4183"/>
    <w:rsid w:val="00AA4325"/>
    <w:rsid w:val="00AA43A6"/>
    <w:rsid w:val="00AA4548"/>
    <w:rsid w:val="00AA4739"/>
    <w:rsid w:val="00AA484E"/>
    <w:rsid w:val="00AA4905"/>
    <w:rsid w:val="00AA4A6B"/>
    <w:rsid w:val="00AA4B64"/>
    <w:rsid w:val="00AA4B75"/>
    <w:rsid w:val="00AA5131"/>
    <w:rsid w:val="00AA5385"/>
    <w:rsid w:val="00AA56F1"/>
    <w:rsid w:val="00AA5AE5"/>
    <w:rsid w:val="00AA5BD9"/>
    <w:rsid w:val="00AA5E8B"/>
    <w:rsid w:val="00AA6061"/>
    <w:rsid w:val="00AA64A0"/>
    <w:rsid w:val="00AA660F"/>
    <w:rsid w:val="00AA6B04"/>
    <w:rsid w:val="00AA6DEF"/>
    <w:rsid w:val="00AA6F38"/>
    <w:rsid w:val="00AA715B"/>
    <w:rsid w:val="00AA71B0"/>
    <w:rsid w:val="00AA7379"/>
    <w:rsid w:val="00AA78F3"/>
    <w:rsid w:val="00AA79B7"/>
    <w:rsid w:val="00AA7EB0"/>
    <w:rsid w:val="00AB033A"/>
    <w:rsid w:val="00AB03E9"/>
    <w:rsid w:val="00AB066C"/>
    <w:rsid w:val="00AB06C4"/>
    <w:rsid w:val="00AB0742"/>
    <w:rsid w:val="00AB0D78"/>
    <w:rsid w:val="00AB0DB0"/>
    <w:rsid w:val="00AB0E89"/>
    <w:rsid w:val="00AB131C"/>
    <w:rsid w:val="00AB1609"/>
    <w:rsid w:val="00AB166B"/>
    <w:rsid w:val="00AB19FC"/>
    <w:rsid w:val="00AB1AA1"/>
    <w:rsid w:val="00AB25D6"/>
    <w:rsid w:val="00AB29C2"/>
    <w:rsid w:val="00AB2B82"/>
    <w:rsid w:val="00AB2DE8"/>
    <w:rsid w:val="00AB3234"/>
    <w:rsid w:val="00AB32A9"/>
    <w:rsid w:val="00AB32B8"/>
    <w:rsid w:val="00AB33D9"/>
    <w:rsid w:val="00AB3446"/>
    <w:rsid w:val="00AB3AD1"/>
    <w:rsid w:val="00AB3CED"/>
    <w:rsid w:val="00AB3D73"/>
    <w:rsid w:val="00AB3DD5"/>
    <w:rsid w:val="00AB4048"/>
    <w:rsid w:val="00AB44F6"/>
    <w:rsid w:val="00AB454F"/>
    <w:rsid w:val="00AB471E"/>
    <w:rsid w:val="00AB4C8D"/>
    <w:rsid w:val="00AB4EAB"/>
    <w:rsid w:val="00AB4F3D"/>
    <w:rsid w:val="00AB50C5"/>
    <w:rsid w:val="00AB5199"/>
    <w:rsid w:val="00AB56FD"/>
    <w:rsid w:val="00AB5910"/>
    <w:rsid w:val="00AB5984"/>
    <w:rsid w:val="00AB5ADE"/>
    <w:rsid w:val="00AB5E59"/>
    <w:rsid w:val="00AB5F44"/>
    <w:rsid w:val="00AB5FA0"/>
    <w:rsid w:val="00AB61CA"/>
    <w:rsid w:val="00AB634C"/>
    <w:rsid w:val="00AB63F5"/>
    <w:rsid w:val="00AB647B"/>
    <w:rsid w:val="00AB6518"/>
    <w:rsid w:val="00AB6564"/>
    <w:rsid w:val="00AB680B"/>
    <w:rsid w:val="00AB697D"/>
    <w:rsid w:val="00AB69FC"/>
    <w:rsid w:val="00AB6B06"/>
    <w:rsid w:val="00AB6C41"/>
    <w:rsid w:val="00AB6EB8"/>
    <w:rsid w:val="00AB711D"/>
    <w:rsid w:val="00AB7225"/>
    <w:rsid w:val="00AB77D4"/>
    <w:rsid w:val="00AB7C7E"/>
    <w:rsid w:val="00AB7ECF"/>
    <w:rsid w:val="00AC00A7"/>
    <w:rsid w:val="00AC00AB"/>
    <w:rsid w:val="00AC02AA"/>
    <w:rsid w:val="00AC02E9"/>
    <w:rsid w:val="00AC056F"/>
    <w:rsid w:val="00AC0690"/>
    <w:rsid w:val="00AC06C1"/>
    <w:rsid w:val="00AC07B7"/>
    <w:rsid w:val="00AC0A79"/>
    <w:rsid w:val="00AC0AA8"/>
    <w:rsid w:val="00AC10E3"/>
    <w:rsid w:val="00AC1492"/>
    <w:rsid w:val="00AC1844"/>
    <w:rsid w:val="00AC1D94"/>
    <w:rsid w:val="00AC1EB9"/>
    <w:rsid w:val="00AC1F03"/>
    <w:rsid w:val="00AC1FBF"/>
    <w:rsid w:val="00AC2081"/>
    <w:rsid w:val="00AC21AD"/>
    <w:rsid w:val="00AC22A8"/>
    <w:rsid w:val="00AC2679"/>
    <w:rsid w:val="00AC278F"/>
    <w:rsid w:val="00AC28D5"/>
    <w:rsid w:val="00AC30C9"/>
    <w:rsid w:val="00AC327E"/>
    <w:rsid w:val="00AC3586"/>
    <w:rsid w:val="00AC358A"/>
    <w:rsid w:val="00AC3774"/>
    <w:rsid w:val="00AC3D46"/>
    <w:rsid w:val="00AC3F02"/>
    <w:rsid w:val="00AC4001"/>
    <w:rsid w:val="00AC41C6"/>
    <w:rsid w:val="00AC42E5"/>
    <w:rsid w:val="00AC48D1"/>
    <w:rsid w:val="00AC4BB3"/>
    <w:rsid w:val="00AC4BBF"/>
    <w:rsid w:val="00AC4C45"/>
    <w:rsid w:val="00AC4E44"/>
    <w:rsid w:val="00AC5090"/>
    <w:rsid w:val="00AC5113"/>
    <w:rsid w:val="00AC52F9"/>
    <w:rsid w:val="00AC5702"/>
    <w:rsid w:val="00AC6125"/>
    <w:rsid w:val="00AC640B"/>
    <w:rsid w:val="00AC64EA"/>
    <w:rsid w:val="00AC666A"/>
    <w:rsid w:val="00AC67DE"/>
    <w:rsid w:val="00AC67EB"/>
    <w:rsid w:val="00AC6855"/>
    <w:rsid w:val="00AC687E"/>
    <w:rsid w:val="00AC68D4"/>
    <w:rsid w:val="00AC6936"/>
    <w:rsid w:val="00AC6A70"/>
    <w:rsid w:val="00AC6C02"/>
    <w:rsid w:val="00AC6D72"/>
    <w:rsid w:val="00AC6FD5"/>
    <w:rsid w:val="00AC6FFB"/>
    <w:rsid w:val="00AC70DB"/>
    <w:rsid w:val="00AC72C4"/>
    <w:rsid w:val="00AC7B8F"/>
    <w:rsid w:val="00AC7C2E"/>
    <w:rsid w:val="00AC7E12"/>
    <w:rsid w:val="00AD0014"/>
    <w:rsid w:val="00AD003F"/>
    <w:rsid w:val="00AD02DA"/>
    <w:rsid w:val="00AD0494"/>
    <w:rsid w:val="00AD05BB"/>
    <w:rsid w:val="00AD0AF1"/>
    <w:rsid w:val="00AD0C15"/>
    <w:rsid w:val="00AD1042"/>
    <w:rsid w:val="00AD104F"/>
    <w:rsid w:val="00AD106E"/>
    <w:rsid w:val="00AD113A"/>
    <w:rsid w:val="00AD1188"/>
    <w:rsid w:val="00AD1592"/>
    <w:rsid w:val="00AD187F"/>
    <w:rsid w:val="00AD18B1"/>
    <w:rsid w:val="00AD1916"/>
    <w:rsid w:val="00AD1995"/>
    <w:rsid w:val="00AD1A41"/>
    <w:rsid w:val="00AD1C37"/>
    <w:rsid w:val="00AD1D24"/>
    <w:rsid w:val="00AD1FE9"/>
    <w:rsid w:val="00AD2111"/>
    <w:rsid w:val="00AD22F8"/>
    <w:rsid w:val="00AD2358"/>
    <w:rsid w:val="00AD2392"/>
    <w:rsid w:val="00AD23D9"/>
    <w:rsid w:val="00AD2485"/>
    <w:rsid w:val="00AD265B"/>
    <w:rsid w:val="00AD2729"/>
    <w:rsid w:val="00AD2821"/>
    <w:rsid w:val="00AD29CF"/>
    <w:rsid w:val="00AD2A68"/>
    <w:rsid w:val="00AD2B0F"/>
    <w:rsid w:val="00AD2B8F"/>
    <w:rsid w:val="00AD2C67"/>
    <w:rsid w:val="00AD2F88"/>
    <w:rsid w:val="00AD387F"/>
    <w:rsid w:val="00AD39A6"/>
    <w:rsid w:val="00AD3A6D"/>
    <w:rsid w:val="00AD3C1F"/>
    <w:rsid w:val="00AD3D06"/>
    <w:rsid w:val="00AD3E1F"/>
    <w:rsid w:val="00AD3E48"/>
    <w:rsid w:val="00AD3F9B"/>
    <w:rsid w:val="00AD409A"/>
    <w:rsid w:val="00AD4111"/>
    <w:rsid w:val="00AD475C"/>
    <w:rsid w:val="00AD4B39"/>
    <w:rsid w:val="00AD4C2F"/>
    <w:rsid w:val="00AD4E7A"/>
    <w:rsid w:val="00AD4F46"/>
    <w:rsid w:val="00AD4F68"/>
    <w:rsid w:val="00AD5033"/>
    <w:rsid w:val="00AD5390"/>
    <w:rsid w:val="00AD546C"/>
    <w:rsid w:val="00AD55C5"/>
    <w:rsid w:val="00AD57C1"/>
    <w:rsid w:val="00AD5CFB"/>
    <w:rsid w:val="00AD64DB"/>
    <w:rsid w:val="00AD64FA"/>
    <w:rsid w:val="00AD658F"/>
    <w:rsid w:val="00AD661B"/>
    <w:rsid w:val="00AD6674"/>
    <w:rsid w:val="00AD670E"/>
    <w:rsid w:val="00AD6CDF"/>
    <w:rsid w:val="00AD6F9E"/>
    <w:rsid w:val="00AD716F"/>
    <w:rsid w:val="00AD7188"/>
    <w:rsid w:val="00AD71EC"/>
    <w:rsid w:val="00AD75DD"/>
    <w:rsid w:val="00AD7910"/>
    <w:rsid w:val="00AD7A70"/>
    <w:rsid w:val="00AD7BDC"/>
    <w:rsid w:val="00AD7BF6"/>
    <w:rsid w:val="00AD7F6D"/>
    <w:rsid w:val="00AE01A0"/>
    <w:rsid w:val="00AE0446"/>
    <w:rsid w:val="00AE0529"/>
    <w:rsid w:val="00AE0636"/>
    <w:rsid w:val="00AE0A07"/>
    <w:rsid w:val="00AE0B24"/>
    <w:rsid w:val="00AE0FC7"/>
    <w:rsid w:val="00AE0FD8"/>
    <w:rsid w:val="00AE11D2"/>
    <w:rsid w:val="00AE1257"/>
    <w:rsid w:val="00AE13B6"/>
    <w:rsid w:val="00AE16AD"/>
    <w:rsid w:val="00AE1731"/>
    <w:rsid w:val="00AE1897"/>
    <w:rsid w:val="00AE196D"/>
    <w:rsid w:val="00AE197B"/>
    <w:rsid w:val="00AE19ED"/>
    <w:rsid w:val="00AE1AE6"/>
    <w:rsid w:val="00AE1E0E"/>
    <w:rsid w:val="00AE21D8"/>
    <w:rsid w:val="00AE2533"/>
    <w:rsid w:val="00AE25CC"/>
    <w:rsid w:val="00AE2A4A"/>
    <w:rsid w:val="00AE2B36"/>
    <w:rsid w:val="00AE2CB0"/>
    <w:rsid w:val="00AE2DFE"/>
    <w:rsid w:val="00AE318F"/>
    <w:rsid w:val="00AE3412"/>
    <w:rsid w:val="00AE37BF"/>
    <w:rsid w:val="00AE3A95"/>
    <w:rsid w:val="00AE3A99"/>
    <w:rsid w:val="00AE3BAB"/>
    <w:rsid w:val="00AE3C35"/>
    <w:rsid w:val="00AE3DB9"/>
    <w:rsid w:val="00AE3FC7"/>
    <w:rsid w:val="00AE4263"/>
    <w:rsid w:val="00AE474A"/>
    <w:rsid w:val="00AE47D7"/>
    <w:rsid w:val="00AE4850"/>
    <w:rsid w:val="00AE48C1"/>
    <w:rsid w:val="00AE4B53"/>
    <w:rsid w:val="00AE4D99"/>
    <w:rsid w:val="00AE4F4A"/>
    <w:rsid w:val="00AE4F68"/>
    <w:rsid w:val="00AE5026"/>
    <w:rsid w:val="00AE5157"/>
    <w:rsid w:val="00AE52D3"/>
    <w:rsid w:val="00AE53BC"/>
    <w:rsid w:val="00AE54F5"/>
    <w:rsid w:val="00AE55CB"/>
    <w:rsid w:val="00AE5627"/>
    <w:rsid w:val="00AE57AB"/>
    <w:rsid w:val="00AE5829"/>
    <w:rsid w:val="00AE5C1C"/>
    <w:rsid w:val="00AE5D2C"/>
    <w:rsid w:val="00AE5D62"/>
    <w:rsid w:val="00AE5E5C"/>
    <w:rsid w:val="00AE5ECC"/>
    <w:rsid w:val="00AE5FBF"/>
    <w:rsid w:val="00AE632C"/>
    <w:rsid w:val="00AE67A9"/>
    <w:rsid w:val="00AE6859"/>
    <w:rsid w:val="00AE68D1"/>
    <w:rsid w:val="00AE6BA7"/>
    <w:rsid w:val="00AE6BE2"/>
    <w:rsid w:val="00AE6C40"/>
    <w:rsid w:val="00AE6F4D"/>
    <w:rsid w:val="00AE7079"/>
    <w:rsid w:val="00AE710A"/>
    <w:rsid w:val="00AE73F3"/>
    <w:rsid w:val="00AE7437"/>
    <w:rsid w:val="00AE75EA"/>
    <w:rsid w:val="00AE766F"/>
    <w:rsid w:val="00AE78FD"/>
    <w:rsid w:val="00AE79CB"/>
    <w:rsid w:val="00AE7E77"/>
    <w:rsid w:val="00AF0004"/>
    <w:rsid w:val="00AF06BF"/>
    <w:rsid w:val="00AF0886"/>
    <w:rsid w:val="00AF0AF7"/>
    <w:rsid w:val="00AF0C8F"/>
    <w:rsid w:val="00AF0FA8"/>
    <w:rsid w:val="00AF102B"/>
    <w:rsid w:val="00AF104E"/>
    <w:rsid w:val="00AF12ED"/>
    <w:rsid w:val="00AF19A5"/>
    <w:rsid w:val="00AF1E2F"/>
    <w:rsid w:val="00AF1F11"/>
    <w:rsid w:val="00AF2031"/>
    <w:rsid w:val="00AF207B"/>
    <w:rsid w:val="00AF223B"/>
    <w:rsid w:val="00AF230F"/>
    <w:rsid w:val="00AF27BE"/>
    <w:rsid w:val="00AF286B"/>
    <w:rsid w:val="00AF2B3C"/>
    <w:rsid w:val="00AF2B63"/>
    <w:rsid w:val="00AF2B9D"/>
    <w:rsid w:val="00AF2DC5"/>
    <w:rsid w:val="00AF3568"/>
    <w:rsid w:val="00AF364E"/>
    <w:rsid w:val="00AF3674"/>
    <w:rsid w:val="00AF372D"/>
    <w:rsid w:val="00AF381F"/>
    <w:rsid w:val="00AF3F4C"/>
    <w:rsid w:val="00AF4197"/>
    <w:rsid w:val="00AF44B4"/>
    <w:rsid w:val="00AF4571"/>
    <w:rsid w:val="00AF475F"/>
    <w:rsid w:val="00AF4AA2"/>
    <w:rsid w:val="00AF5160"/>
    <w:rsid w:val="00AF53A5"/>
    <w:rsid w:val="00AF546D"/>
    <w:rsid w:val="00AF5514"/>
    <w:rsid w:val="00AF551D"/>
    <w:rsid w:val="00AF576A"/>
    <w:rsid w:val="00AF57EA"/>
    <w:rsid w:val="00AF58EC"/>
    <w:rsid w:val="00AF5C25"/>
    <w:rsid w:val="00AF60FE"/>
    <w:rsid w:val="00AF62FB"/>
    <w:rsid w:val="00AF6630"/>
    <w:rsid w:val="00AF7008"/>
    <w:rsid w:val="00AF7BA3"/>
    <w:rsid w:val="00B0007A"/>
    <w:rsid w:val="00B000E8"/>
    <w:rsid w:val="00B00107"/>
    <w:rsid w:val="00B0045C"/>
    <w:rsid w:val="00B0062E"/>
    <w:rsid w:val="00B008E2"/>
    <w:rsid w:val="00B00A03"/>
    <w:rsid w:val="00B00BE5"/>
    <w:rsid w:val="00B0104D"/>
    <w:rsid w:val="00B0108F"/>
    <w:rsid w:val="00B011AB"/>
    <w:rsid w:val="00B0132D"/>
    <w:rsid w:val="00B014DF"/>
    <w:rsid w:val="00B0187F"/>
    <w:rsid w:val="00B0194B"/>
    <w:rsid w:val="00B020E4"/>
    <w:rsid w:val="00B02673"/>
    <w:rsid w:val="00B02887"/>
    <w:rsid w:val="00B02C05"/>
    <w:rsid w:val="00B02C7B"/>
    <w:rsid w:val="00B031F7"/>
    <w:rsid w:val="00B03384"/>
    <w:rsid w:val="00B0339B"/>
    <w:rsid w:val="00B033E3"/>
    <w:rsid w:val="00B03450"/>
    <w:rsid w:val="00B0351F"/>
    <w:rsid w:val="00B038B6"/>
    <w:rsid w:val="00B03E6F"/>
    <w:rsid w:val="00B03EF1"/>
    <w:rsid w:val="00B03F98"/>
    <w:rsid w:val="00B0411C"/>
    <w:rsid w:val="00B04441"/>
    <w:rsid w:val="00B04C0E"/>
    <w:rsid w:val="00B04DD0"/>
    <w:rsid w:val="00B04F9D"/>
    <w:rsid w:val="00B04F9F"/>
    <w:rsid w:val="00B04FD1"/>
    <w:rsid w:val="00B051C8"/>
    <w:rsid w:val="00B05431"/>
    <w:rsid w:val="00B05462"/>
    <w:rsid w:val="00B055B1"/>
    <w:rsid w:val="00B05737"/>
    <w:rsid w:val="00B05BAB"/>
    <w:rsid w:val="00B05C95"/>
    <w:rsid w:val="00B05EDB"/>
    <w:rsid w:val="00B0622C"/>
    <w:rsid w:val="00B0642C"/>
    <w:rsid w:val="00B0642E"/>
    <w:rsid w:val="00B06478"/>
    <w:rsid w:val="00B0660D"/>
    <w:rsid w:val="00B06697"/>
    <w:rsid w:val="00B067F7"/>
    <w:rsid w:val="00B06923"/>
    <w:rsid w:val="00B06936"/>
    <w:rsid w:val="00B06CE8"/>
    <w:rsid w:val="00B070BF"/>
    <w:rsid w:val="00B07205"/>
    <w:rsid w:val="00B072C1"/>
    <w:rsid w:val="00B07360"/>
    <w:rsid w:val="00B0737D"/>
    <w:rsid w:val="00B07444"/>
    <w:rsid w:val="00B07648"/>
    <w:rsid w:val="00B076D9"/>
    <w:rsid w:val="00B0773A"/>
    <w:rsid w:val="00B07959"/>
    <w:rsid w:val="00B07985"/>
    <w:rsid w:val="00B07F8A"/>
    <w:rsid w:val="00B1011A"/>
    <w:rsid w:val="00B10530"/>
    <w:rsid w:val="00B109C5"/>
    <w:rsid w:val="00B10BC0"/>
    <w:rsid w:val="00B10C22"/>
    <w:rsid w:val="00B1141B"/>
    <w:rsid w:val="00B11442"/>
    <w:rsid w:val="00B11538"/>
    <w:rsid w:val="00B11566"/>
    <w:rsid w:val="00B11567"/>
    <w:rsid w:val="00B1171A"/>
    <w:rsid w:val="00B118D6"/>
    <w:rsid w:val="00B11975"/>
    <w:rsid w:val="00B11C25"/>
    <w:rsid w:val="00B11C2C"/>
    <w:rsid w:val="00B11C61"/>
    <w:rsid w:val="00B11FA4"/>
    <w:rsid w:val="00B11FD0"/>
    <w:rsid w:val="00B12188"/>
    <w:rsid w:val="00B124EF"/>
    <w:rsid w:val="00B125A8"/>
    <w:rsid w:val="00B125B7"/>
    <w:rsid w:val="00B12831"/>
    <w:rsid w:val="00B128E2"/>
    <w:rsid w:val="00B12C1A"/>
    <w:rsid w:val="00B12D0C"/>
    <w:rsid w:val="00B12F53"/>
    <w:rsid w:val="00B12FBA"/>
    <w:rsid w:val="00B13157"/>
    <w:rsid w:val="00B13349"/>
    <w:rsid w:val="00B1375B"/>
    <w:rsid w:val="00B13795"/>
    <w:rsid w:val="00B137D5"/>
    <w:rsid w:val="00B1380F"/>
    <w:rsid w:val="00B138BA"/>
    <w:rsid w:val="00B138F3"/>
    <w:rsid w:val="00B13904"/>
    <w:rsid w:val="00B13966"/>
    <w:rsid w:val="00B13A54"/>
    <w:rsid w:val="00B13A57"/>
    <w:rsid w:val="00B13AC7"/>
    <w:rsid w:val="00B13C91"/>
    <w:rsid w:val="00B13CDB"/>
    <w:rsid w:val="00B13D12"/>
    <w:rsid w:val="00B13E92"/>
    <w:rsid w:val="00B14967"/>
    <w:rsid w:val="00B14992"/>
    <w:rsid w:val="00B14FE9"/>
    <w:rsid w:val="00B15120"/>
    <w:rsid w:val="00B15171"/>
    <w:rsid w:val="00B1519B"/>
    <w:rsid w:val="00B154F1"/>
    <w:rsid w:val="00B15551"/>
    <w:rsid w:val="00B1559F"/>
    <w:rsid w:val="00B15707"/>
    <w:rsid w:val="00B157B0"/>
    <w:rsid w:val="00B157FE"/>
    <w:rsid w:val="00B158AF"/>
    <w:rsid w:val="00B15F2E"/>
    <w:rsid w:val="00B160A3"/>
    <w:rsid w:val="00B160AB"/>
    <w:rsid w:val="00B1631F"/>
    <w:rsid w:val="00B165C2"/>
    <w:rsid w:val="00B165F8"/>
    <w:rsid w:val="00B166C5"/>
    <w:rsid w:val="00B1700D"/>
    <w:rsid w:val="00B17254"/>
    <w:rsid w:val="00B172B9"/>
    <w:rsid w:val="00B176C3"/>
    <w:rsid w:val="00B177E6"/>
    <w:rsid w:val="00B17A21"/>
    <w:rsid w:val="00B17A65"/>
    <w:rsid w:val="00B200A7"/>
    <w:rsid w:val="00B203B3"/>
    <w:rsid w:val="00B205EB"/>
    <w:rsid w:val="00B206AB"/>
    <w:rsid w:val="00B207BD"/>
    <w:rsid w:val="00B20963"/>
    <w:rsid w:val="00B20B47"/>
    <w:rsid w:val="00B20E03"/>
    <w:rsid w:val="00B20F43"/>
    <w:rsid w:val="00B21399"/>
    <w:rsid w:val="00B21638"/>
    <w:rsid w:val="00B2176F"/>
    <w:rsid w:val="00B21831"/>
    <w:rsid w:val="00B2185E"/>
    <w:rsid w:val="00B21A59"/>
    <w:rsid w:val="00B21ACE"/>
    <w:rsid w:val="00B21BD6"/>
    <w:rsid w:val="00B21C06"/>
    <w:rsid w:val="00B22098"/>
    <w:rsid w:val="00B22534"/>
    <w:rsid w:val="00B2256F"/>
    <w:rsid w:val="00B2257A"/>
    <w:rsid w:val="00B225BA"/>
    <w:rsid w:val="00B22612"/>
    <w:rsid w:val="00B22667"/>
    <w:rsid w:val="00B229ED"/>
    <w:rsid w:val="00B22A92"/>
    <w:rsid w:val="00B22C8C"/>
    <w:rsid w:val="00B22E04"/>
    <w:rsid w:val="00B22E7A"/>
    <w:rsid w:val="00B22FF8"/>
    <w:rsid w:val="00B23452"/>
    <w:rsid w:val="00B2359A"/>
    <w:rsid w:val="00B237E1"/>
    <w:rsid w:val="00B239A7"/>
    <w:rsid w:val="00B240EA"/>
    <w:rsid w:val="00B2444A"/>
    <w:rsid w:val="00B24489"/>
    <w:rsid w:val="00B24624"/>
    <w:rsid w:val="00B24CF8"/>
    <w:rsid w:val="00B24D13"/>
    <w:rsid w:val="00B24F53"/>
    <w:rsid w:val="00B24FF6"/>
    <w:rsid w:val="00B2505B"/>
    <w:rsid w:val="00B25264"/>
    <w:rsid w:val="00B25287"/>
    <w:rsid w:val="00B25367"/>
    <w:rsid w:val="00B25387"/>
    <w:rsid w:val="00B253A1"/>
    <w:rsid w:val="00B25427"/>
    <w:rsid w:val="00B25538"/>
    <w:rsid w:val="00B258D1"/>
    <w:rsid w:val="00B25AB2"/>
    <w:rsid w:val="00B25C23"/>
    <w:rsid w:val="00B260AF"/>
    <w:rsid w:val="00B2621B"/>
    <w:rsid w:val="00B262AB"/>
    <w:rsid w:val="00B2647F"/>
    <w:rsid w:val="00B268EA"/>
    <w:rsid w:val="00B26A8F"/>
    <w:rsid w:val="00B26C43"/>
    <w:rsid w:val="00B26C44"/>
    <w:rsid w:val="00B26F40"/>
    <w:rsid w:val="00B270AF"/>
    <w:rsid w:val="00B270EB"/>
    <w:rsid w:val="00B273AD"/>
    <w:rsid w:val="00B27579"/>
    <w:rsid w:val="00B275AE"/>
    <w:rsid w:val="00B276A6"/>
    <w:rsid w:val="00B27722"/>
    <w:rsid w:val="00B27723"/>
    <w:rsid w:val="00B27908"/>
    <w:rsid w:val="00B27CA5"/>
    <w:rsid w:val="00B27E5E"/>
    <w:rsid w:val="00B27FDB"/>
    <w:rsid w:val="00B3005D"/>
    <w:rsid w:val="00B3021E"/>
    <w:rsid w:val="00B30325"/>
    <w:rsid w:val="00B304AB"/>
    <w:rsid w:val="00B3064B"/>
    <w:rsid w:val="00B30888"/>
    <w:rsid w:val="00B30BA8"/>
    <w:rsid w:val="00B30CDD"/>
    <w:rsid w:val="00B30E90"/>
    <w:rsid w:val="00B30F0C"/>
    <w:rsid w:val="00B30F4D"/>
    <w:rsid w:val="00B3128D"/>
    <w:rsid w:val="00B312F1"/>
    <w:rsid w:val="00B314F0"/>
    <w:rsid w:val="00B3177B"/>
    <w:rsid w:val="00B31D65"/>
    <w:rsid w:val="00B31DA0"/>
    <w:rsid w:val="00B31E52"/>
    <w:rsid w:val="00B31F99"/>
    <w:rsid w:val="00B32471"/>
    <w:rsid w:val="00B324A4"/>
    <w:rsid w:val="00B32793"/>
    <w:rsid w:val="00B327C9"/>
    <w:rsid w:val="00B329A5"/>
    <w:rsid w:val="00B32B3C"/>
    <w:rsid w:val="00B32BA8"/>
    <w:rsid w:val="00B32E37"/>
    <w:rsid w:val="00B3325F"/>
    <w:rsid w:val="00B334BA"/>
    <w:rsid w:val="00B335EA"/>
    <w:rsid w:val="00B336A6"/>
    <w:rsid w:val="00B3379B"/>
    <w:rsid w:val="00B338B0"/>
    <w:rsid w:val="00B33B14"/>
    <w:rsid w:val="00B33B6E"/>
    <w:rsid w:val="00B33B96"/>
    <w:rsid w:val="00B33BDF"/>
    <w:rsid w:val="00B33CB7"/>
    <w:rsid w:val="00B34527"/>
    <w:rsid w:val="00B34B5D"/>
    <w:rsid w:val="00B34DB5"/>
    <w:rsid w:val="00B34E4D"/>
    <w:rsid w:val="00B34FC9"/>
    <w:rsid w:val="00B34FE1"/>
    <w:rsid w:val="00B34FF2"/>
    <w:rsid w:val="00B352FA"/>
    <w:rsid w:val="00B355C9"/>
    <w:rsid w:val="00B355D1"/>
    <w:rsid w:val="00B35947"/>
    <w:rsid w:val="00B35A87"/>
    <w:rsid w:val="00B360E4"/>
    <w:rsid w:val="00B3666E"/>
    <w:rsid w:val="00B3681A"/>
    <w:rsid w:val="00B36B5C"/>
    <w:rsid w:val="00B36D31"/>
    <w:rsid w:val="00B3766E"/>
    <w:rsid w:val="00B37913"/>
    <w:rsid w:val="00B37F77"/>
    <w:rsid w:val="00B4007F"/>
    <w:rsid w:val="00B40444"/>
    <w:rsid w:val="00B406A8"/>
    <w:rsid w:val="00B4096E"/>
    <w:rsid w:val="00B40AFD"/>
    <w:rsid w:val="00B410B6"/>
    <w:rsid w:val="00B410CA"/>
    <w:rsid w:val="00B41368"/>
    <w:rsid w:val="00B414F8"/>
    <w:rsid w:val="00B41552"/>
    <w:rsid w:val="00B41B1D"/>
    <w:rsid w:val="00B41F45"/>
    <w:rsid w:val="00B4200E"/>
    <w:rsid w:val="00B42114"/>
    <w:rsid w:val="00B422A2"/>
    <w:rsid w:val="00B4230E"/>
    <w:rsid w:val="00B424FE"/>
    <w:rsid w:val="00B42796"/>
    <w:rsid w:val="00B42801"/>
    <w:rsid w:val="00B428B9"/>
    <w:rsid w:val="00B42A0B"/>
    <w:rsid w:val="00B42B2E"/>
    <w:rsid w:val="00B42B6E"/>
    <w:rsid w:val="00B430A8"/>
    <w:rsid w:val="00B43146"/>
    <w:rsid w:val="00B4327C"/>
    <w:rsid w:val="00B43464"/>
    <w:rsid w:val="00B439BF"/>
    <w:rsid w:val="00B43AA0"/>
    <w:rsid w:val="00B43E0D"/>
    <w:rsid w:val="00B447EB"/>
    <w:rsid w:val="00B4486C"/>
    <w:rsid w:val="00B44E6C"/>
    <w:rsid w:val="00B451E0"/>
    <w:rsid w:val="00B452DD"/>
    <w:rsid w:val="00B455CD"/>
    <w:rsid w:val="00B45634"/>
    <w:rsid w:val="00B45C9A"/>
    <w:rsid w:val="00B45E29"/>
    <w:rsid w:val="00B4615E"/>
    <w:rsid w:val="00B464C3"/>
    <w:rsid w:val="00B4657C"/>
    <w:rsid w:val="00B465A6"/>
    <w:rsid w:val="00B46635"/>
    <w:rsid w:val="00B46969"/>
    <w:rsid w:val="00B46C51"/>
    <w:rsid w:val="00B46FA4"/>
    <w:rsid w:val="00B470A9"/>
    <w:rsid w:val="00B475AD"/>
    <w:rsid w:val="00B479EF"/>
    <w:rsid w:val="00B47A1D"/>
    <w:rsid w:val="00B47C28"/>
    <w:rsid w:val="00B500A9"/>
    <w:rsid w:val="00B500C0"/>
    <w:rsid w:val="00B50183"/>
    <w:rsid w:val="00B501CA"/>
    <w:rsid w:val="00B50389"/>
    <w:rsid w:val="00B5060E"/>
    <w:rsid w:val="00B50650"/>
    <w:rsid w:val="00B509A6"/>
    <w:rsid w:val="00B50AAA"/>
    <w:rsid w:val="00B50AAD"/>
    <w:rsid w:val="00B50B26"/>
    <w:rsid w:val="00B50B46"/>
    <w:rsid w:val="00B514A1"/>
    <w:rsid w:val="00B516A6"/>
    <w:rsid w:val="00B516C9"/>
    <w:rsid w:val="00B51789"/>
    <w:rsid w:val="00B5188A"/>
    <w:rsid w:val="00B51A55"/>
    <w:rsid w:val="00B51C34"/>
    <w:rsid w:val="00B51D17"/>
    <w:rsid w:val="00B51EEC"/>
    <w:rsid w:val="00B51F72"/>
    <w:rsid w:val="00B51F79"/>
    <w:rsid w:val="00B521AA"/>
    <w:rsid w:val="00B52542"/>
    <w:rsid w:val="00B5298B"/>
    <w:rsid w:val="00B52A0B"/>
    <w:rsid w:val="00B52F92"/>
    <w:rsid w:val="00B530DD"/>
    <w:rsid w:val="00B5320B"/>
    <w:rsid w:val="00B53697"/>
    <w:rsid w:val="00B5386F"/>
    <w:rsid w:val="00B5392E"/>
    <w:rsid w:val="00B53988"/>
    <w:rsid w:val="00B53A41"/>
    <w:rsid w:val="00B53AEE"/>
    <w:rsid w:val="00B53C0C"/>
    <w:rsid w:val="00B53CAC"/>
    <w:rsid w:val="00B53CD4"/>
    <w:rsid w:val="00B53D4B"/>
    <w:rsid w:val="00B53FA7"/>
    <w:rsid w:val="00B540D9"/>
    <w:rsid w:val="00B54376"/>
    <w:rsid w:val="00B54744"/>
    <w:rsid w:val="00B5479F"/>
    <w:rsid w:val="00B547D1"/>
    <w:rsid w:val="00B54854"/>
    <w:rsid w:val="00B54A6D"/>
    <w:rsid w:val="00B54B74"/>
    <w:rsid w:val="00B54D42"/>
    <w:rsid w:val="00B55057"/>
    <w:rsid w:val="00B55099"/>
    <w:rsid w:val="00B550BA"/>
    <w:rsid w:val="00B55350"/>
    <w:rsid w:val="00B5561C"/>
    <w:rsid w:val="00B556EC"/>
    <w:rsid w:val="00B55B39"/>
    <w:rsid w:val="00B55E1E"/>
    <w:rsid w:val="00B55E88"/>
    <w:rsid w:val="00B55EAE"/>
    <w:rsid w:val="00B55ED9"/>
    <w:rsid w:val="00B5608F"/>
    <w:rsid w:val="00B560DF"/>
    <w:rsid w:val="00B56933"/>
    <w:rsid w:val="00B56A79"/>
    <w:rsid w:val="00B56AED"/>
    <w:rsid w:val="00B56CDA"/>
    <w:rsid w:val="00B570FB"/>
    <w:rsid w:val="00B5781A"/>
    <w:rsid w:val="00B57877"/>
    <w:rsid w:val="00B57963"/>
    <w:rsid w:val="00B57C64"/>
    <w:rsid w:val="00B57DCA"/>
    <w:rsid w:val="00B600E7"/>
    <w:rsid w:val="00B60636"/>
    <w:rsid w:val="00B60705"/>
    <w:rsid w:val="00B60782"/>
    <w:rsid w:val="00B60878"/>
    <w:rsid w:val="00B60924"/>
    <w:rsid w:val="00B6093F"/>
    <w:rsid w:val="00B6098E"/>
    <w:rsid w:val="00B610B4"/>
    <w:rsid w:val="00B610D9"/>
    <w:rsid w:val="00B6112D"/>
    <w:rsid w:val="00B6153E"/>
    <w:rsid w:val="00B615C4"/>
    <w:rsid w:val="00B617A6"/>
    <w:rsid w:val="00B617CD"/>
    <w:rsid w:val="00B61902"/>
    <w:rsid w:val="00B6194E"/>
    <w:rsid w:val="00B619DA"/>
    <w:rsid w:val="00B619FE"/>
    <w:rsid w:val="00B61D68"/>
    <w:rsid w:val="00B61E27"/>
    <w:rsid w:val="00B61F1F"/>
    <w:rsid w:val="00B62043"/>
    <w:rsid w:val="00B6207F"/>
    <w:rsid w:val="00B620A7"/>
    <w:rsid w:val="00B62223"/>
    <w:rsid w:val="00B62C00"/>
    <w:rsid w:val="00B62C1E"/>
    <w:rsid w:val="00B62DBD"/>
    <w:rsid w:val="00B62DCA"/>
    <w:rsid w:val="00B62DF0"/>
    <w:rsid w:val="00B62E97"/>
    <w:rsid w:val="00B63186"/>
    <w:rsid w:val="00B631AC"/>
    <w:rsid w:val="00B63802"/>
    <w:rsid w:val="00B63A28"/>
    <w:rsid w:val="00B63EF0"/>
    <w:rsid w:val="00B6463B"/>
    <w:rsid w:val="00B64714"/>
    <w:rsid w:val="00B65193"/>
    <w:rsid w:val="00B651FE"/>
    <w:rsid w:val="00B6528D"/>
    <w:rsid w:val="00B65532"/>
    <w:rsid w:val="00B655BA"/>
    <w:rsid w:val="00B656F7"/>
    <w:rsid w:val="00B65826"/>
    <w:rsid w:val="00B65848"/>
    <w:rsid w:val="00B65C83"/>
    <w:rsid w:val="00B65F83"/>
    <w:rsid w:val="00B661B5"/>
    <w:rsid w:val="00B663C8"/>
    <w:rsid w:val="00B66749"/>
    <w:rsid w:val="00B667AB"/>
    <w:rsid w:val="00B66938"/>
    <w:rsid w:val="00B66A05"/>
    <w:rsid w:val="00B66C5C"/>
    <w:rsid w:val="00B66D35"/>
    <w:rsid w:val="00B66F2C"/>
    <w:rsid w:val="00B66F45"/>
    <w:rsid w:val="00B67021"/>
    <w:rsid w:val="00B67060"/>
    <w:rsid w:val="00B670DD"/>
    <w:rsid w:val="00B6726B"/>
    <w:rsid w:val="00B673E7"/>
    <w:rsid w:val="00B67408"/>
    <w:rsid w:val="00B67439"/>
    <w:rsid w:val="00B6769E"/>
    <w:rsid w:val="00B6782A"/>
    <w:rsid w:val="00B67C98"/>
    <w:rsid w:val="00B70367"/>
    <w:rsid w:val="00B7072E"/>
    <w:rsid w:val="00B70A6C"/>
    <w:rsid w:val="00B70C4D"/>
    <w:rsid w:val="00B70DA5"/>
    <w:rsid w:val="00B70E04"/>
    <w:rsid w:val="00B70E48"/>
    <w:rsid w:val="00B70E93"/>
    <w:rsid w:val="00B70EA1"/>
    <w:rsid w:val="00B70EE2"/>
    <w:rsid w:val="00B70F43"/>
    <w:rsid w:val="00B71137"/>
    <w:rsid w:val="00B711D8"/>
    <w:rsid w:val="00B71606"/>
    <w:rsid w:val="00B717A5"/>
    <w:rsid w:val="00B717FA"/>
    <w:rsid w:val="00B718C2"/>
    <w:rsid w:val="00B71986"/>
    <w:rsid w:val="00B719CA"/>
    <w:rsid w:val="00B71C37"/>
    <w:rsid w:val="00B720BF"/>
    <w:rsid w:val="00B724E3"/>
    <w:rsid w:val="00B7261B"/>
    <w:rsid w:val="00B72704"/>
    <w:rsid w:val="00B72B4D"/>
    <w:rsid w:val="00B72BD4"/>
    <w:rsid w:val="00B72CA6"/>
    <w:rsid w:val="00B72F4A"/>
    <w:rsid w:val="00B72FB7"/>
    <w:rsid w:val="00B730DB"/>
    <w:rsid w:val="00B73281"/>
    <w:rsid w:val="00B73613"/>
    <w:rsid w:val="00B73905"/>
    <w:rsid w:val="00B7397C"/>
    <w:rsid w:val="00B73D1E"/>
    <w:rsid w:val="00B73D50"/>
    <w:rsid w:val="00B74063"/>
    <w:rsid w:val="00B74ACA"/>
    <w:rsid w:val="00B74E2F"/>
    <w:rsid w:val="00B74F14"/>
    <w:rsid w:val="00B74FA4"/>
    <w:rsid w:val="00B74FCF"/>
    <w:rsid w:val="00B75072"/>
    <w:rsid w:val="00B75140"/>
    <w:rsid w:val="00B7519D"/>
    <w:rsid w:val="00B75425"/>
    <w:rsid w:val="00B755C1"/>
    <w:rsid w:val="00B755F5"/>
    <w:rsid w:val="00B75A59"/>
    <w:rsid w:val="00B75AFE"/>
    <w:rsid w:val="00B75DD9"/>
    <w:rsid w:val="00B75E0B"/>
    <w:rsid w:val="00B75EDC"/>
    <w:rsid w:val="00B75F2E"/>
    <w:rsid w:val="00B760CE"/>
    <w:rsid w:val="00B763AB"/>
    <w:rsid w:val="00B76444"/>
    <w:rsid w:val="00B76AF5"/>
    <w:rsid w:val="00B76E4D"/>
    <w:rsid w:val="00B77268"/>
    <w:rsid w:val="00B77367"/>
    <w:rsid w:val="00B779FE"/>
    <w:rsid w:val="00B77AE4"/>
    <w:rsid w:val="00B77BCA"/>
    <w:rsid w:val="00B80165"/>
    <w:rsid w:val="00B80228"/>
    <w:rsid w:val="00B80380"/>
    <w:rsid w:val="00B805E0"/>
    <w:rsid w:val="00B80697"/>
    <w:rsid w:val="00B8072A"/>
    <w:rsid w:val="00B80E38"/>
    <w:rsid w:val="00B80EEF"/>
    <w:rsid w:val="00B81259"/>
    <w:rsid w:val="00B814F8"/>
    <w:rsid w:val="00B81962"/>
    <w:rsid w:val="00B81A6F"/>
    <w:rsid w:val="00B81B7D"/>
    <w:rsid w:val="00B81E49"/>
    <w:rsid w:val="00B81E79"/>
    <w:rsid w:val="00B81FBB"/>
    <w:rsid w:val="00B8279B"/>
    <w:rsid w:val="00B829E6"/>
    <w:rsid w:val="00B82A27"/>
    <w:rsid w:val="00B82F25"/>
    <w:rsid w:val="00B8315B"/>
    <w:rsid w:val="00B83356"/>
    <w:rsid w:val="00B83796"/>
    <w:rsid w:val="00B8396E"/>
    <w:rsid w:val="00B8397B"/>
    <w:rsid w:val="00B83984"/>
    <w:rsid w:val="00B83AF8"/>
    <w:rsid w:val="00B83BD0"/>
    <w:rsid w:val="00B83DCB"/>
    <w:rsid w:val="00B84214"/>
    <w:rsid w:val="00B84677"/>
    <w:rsid w:val="00B84B1B"/>
    <w:rsid w:val="00B84EFE"/>
    <w:rsid w:val="00B84F60"/>
    <w:rsid w:val="00B85173"/>
    <w:rsid w:val="00B85176"/>
    <w:rsid w:val="00B8526B"/>
    <w:rsid w:val="00B853DA"/>
    <w:rsid w:val="00B8575E"/>
    <w:rsid w:val="00B8579A"/>
    <w:rsid w:val="00B85B5C"/>
    <w:rsid w:val="00B85CE1"/>
    <w:rsid w:val="00B85F37"/>
    <w:rsid w:val="00B85F6E"/>
    <w:rsid w:val="00B86236"/>
    <w:rsid w:val="00B8670F"/>
    <w:rsid w:val="00B86754"/>
    <w:rsid w:val="00B868D3"/>
    <w:rsid w:val="00B86ACB"/>
    <w:rsid w:val="00B86C63"/>
    <w:rsid w:val="00B86CEE"/>
    <w:rsid w:val="00B86D81"/>
    <w:rsid w:val="00B86E06"/>
    <w:rsid w:val="00B86E36"/>
    <w:rsid w:val="00B86E85"/>
    <w:rsid w:val="00B87179"/>
    <w:rsid w:val="00B87533"/>
    <w:rsid w:val="00B877A1"/>
    <w:rsid w:val="00B87C91"/>
    <w:rsid w:val="00B87F8E"/>
    <w:rsid w:val="00B90115"/>
    <w:rsid w:val="00B907D7"/>
    <w:rsid w:val="00B91239"/>
    <w:rsid w:val="00B91275"/>
    <w:rsid w:val="00B912CF"/>
    <w:rsid w:val="00B91B25"/>
    <w:rsid w:val="00B91D15"/>
    <w:rsid w:val="00B920F2"/>
    <w:rsid w:val="00B9210C"/>
    <w:rsid w:val="00B92129"/>
    <w:rsid w:val="00B92396"/>
    <w:rsid w:val="00B9242A"/>
    <w:rsid w:val="00B92551"/>
    <w:rsid w:val="00B9273F"/>
    <w:rsid w:val="00B92866"/>
    <w:rsid w:val="00B92A52"/>
    <w:rsid w:val="00B92F0B"/>
    <w:rsid w:val="00B931BA"/>
    <w:rsid w:val="00B93376"/>
    <w:rsid w:val="00B934EC"/>
    <w:rsid w:val="00B938C5"/>
    <w:rsid w:val="00B93AFF"/>
    <w:rsid w:val="00B94014"/>
    <w:rsid w:val="00B94222"/>
    <w:rsid w:val="00B947A4"/>
    <w:rsid w:val="00B94854"/>
    <w:rsid w:val="00B94A16"/>
    <w:rsid w:val="00B94C9D"/>
    <w:rsid w:val="00B94E20"/>
    <w:rsid w:val="00B94E97"/>
    <w:rsid w:val="00B94F4D"/>
    <w:rsid w:val="00B954E8"/>
    <w:rsid w:val="00B95513"/>
    <w:rsid w:val="00B955FF"/>
    <w:rsid w:val="00B9573C"/>
    <w:rsid w:val="00B95B10"/>
    <w:rsid w:val="00B96191"/>
    <w:rsid w:val="00B962CB"/>
    <w:rsid w:val="00B967C2"/>
    <w:rsid w:val="00B96805"/>
    <w:rsid w:val="00B969B2"/>
    <w:rsid w:val="00B96B84"/>
    <w:rsid w:val="00B96BBF"/>
    <w:rsid w:val="00B96D15"/>
    <w:rsid w:val="00B96D69"/>
    <w:rsid w:val="00B96E3C"/>
    <w:rsid w:val="00B9713D"/>
    <w:rsid w:val="00B97214"/>
    <w:rsid w:val="00B97756"/>
    <w:rsid w:val="00B97A7E"/>
    <w:rsid w:val="00B97C10"/>
    <w:rsid w:val="00B97E3F"/>
    <w:rsid w:val="00B97EC2"/>
    <w:rsid w:val="00B97F3C"/>
    <w:rsid w:val="00B97F9E"/>
    <w:rsid w:val="00BA0449"/>
    <w:rsid w:val="00BA0499"/>
    <w:rsid w:val="00BA04F1"/>
    <w:rsid w:val="00BA0DD6"/>
    <w:rsid w:val="00BA0E9E"/>
    <w:rsid w:val="00BA0FE4"/>
    <w:rsid w:val="00BA1145"/>
    <w:rsid w:val="00BA1148"/>
    <w:rsid w:val="00BA1276"/>
    <w:rsid w:val="00BA143D"/>
    <w:rsid w:val="00BA195B"/>
    <w:rsid w:val="00BA20C1"/>
    <w:rsid w:val="00BA21D4"/>
    <w:rsid w:val="00BA2354"/>
    <w:rsid w:val="00BA2355"/>
    <w:rsid w:val="00BA2758"/>
    <w:rsid w:val="00BA27FE"/>
    <w:rsid w:val="00BA2A23"/>
    <w:rsid w:val="00BA2DF1"/>
    <w:rsid w:val="00BA2F2B"/>
    <w:rsid w:val="00BA32D8"/>
    <w:rsid w:val="00BA3799"/>
    <w:rsid w:val="00BA382D"/>
    <w:rsid w:val="00BA38D7"/>
    <w:rsid w:val="00BA39AC"/>
    <w:rsid w:val="00BA3BD8"/>
    <w:rsid w:val="00BA3E12"/>
    <w:rsid w:val="00BA3EE9"/>
    <w:rsid w:val="00BA3EEC"/>
    <w:rsid w:val="00BA3F26"/>
    <w:rsid w:val="00BA3F72"/>
    <w:rsid w:val="00BA4381"/>
    <w:rsid w:val="00BA4659"/>
    <w:rsid w:val="00BA48D9"/>
    <w:rsid w:val="00BA4A12"/>
    <w:rsid w:val="00BA4FE6"/>
    <w:rsid w:val="00BA506A"/>
    <w:rsid w:val="00BA50BC"/>
    <w:rsid w:val="00BA51BD"/>
    <w:rsid w:val="00BA528F"/>
    <w:rsid w:val="00BA5299"/>
    <w:rsid w:val="00BA5479"/>
    <w:rsid w:val="00BA556E"/>
    <w:rsid w:val="00BA5664"/>
    <w:rsid w:val="00BA59FE"/>
    <w:rsid w:val="00BA5AD9"/>
    <w:rsid w:val="00BA5BAE"/>
    <w:rsid w:val="00BA64FE"/>
    <w:rsid w:val="00BA6612"/>
    <w:rsid w:val="00BA6649"/>
    <w:rsid w:val="00BA6847"/>
    <w:rsid w:val="00BA68DE"/>
    <w:rsid w:val="00BA691E"/>
    <w:rsid w:val="00BA6C61"/>
    <w:rsid w:val="00BA6F65"/>
    <w:rsid w:val="00BA6FF9"/>
    <w:rsid w:val="00BA7054"/>
    <w:rsid w:val="00BA7257"/>
    <w:rsid w:val="00BA77EE"/>
    <w:rsid w:val="00BA7936"/>
    <w:rsid w:val="00BA7C83"/>
    <w:rsid w:val="00BA7CC9"/>
    <w:rsid w:val="00BA7CDB"/>
    <w:rsid w:val="00BB0368"/>
    <w:rsid w:val="00BB03AC"/>
    <w:rsid w:val="00BB0407"/>
    <w:rsid w:val="00BB044D"/>
    <w:rsid w:val="00BB06C1"/>
    <w:rsid w:val="00BB0785"/>
    <w:rsid w:val="00BB08B4"/>
    <w:rsid w:val="00BB0BF2"/>
    <w:rsid w:val="00BB0E16"/>
    <w:rsid w:val="00BB104B"/>
    <w:rsid w:val="00BB1268"/>
    <w:rsid w:val="00BB149E"/>
    <w:rsid w:val="00BB172C"/>
    <w:rsid w:val="00BB1822"/>
    <w:rsid w:val="00BB1916"/>
    <w:rsid w:val="00BB1924"/>
    <w:rsid w:val="00BB1D9C"/>
    <w:rsid w:val="00BB20A3"/>
    <w:rsid w:val="00BB22F9"/>
    <w:rsid w:val="00BB2B82"/>
    <w:rsid w:val="00BB2F16"/>
    <w:rsid w:val="00BB2FB4"/>
    <w:rsid w:val="00BB2FF5"/>
    <w:rsid w:val="00BB31D5"/>
    <w:rsid w:val="00BB326D"/>
    <w:rsid w:val="00BB3616"/>
    <w:rsid w:val="00BB375C"/>
    <w:rsid w:val="00BB37C2"/>
    <w:rsid w:val="00BB37F7"/>
    <w:rsid w:val="00BB3804"/>
    <w:rsid w:val="00BB380F"/>
    <w:rsid w:val="00BB3841"/>
    <w:rsid w:val="00BB398E"/>
    <w:rsid w:val="00BB39BE"/>
    <w:rsid w:val="00BB3A24"/>
    <w:rsid w:val="00BB3B75"/>
    <w:rsid w:val="00BB3C90"/>
    <w:rsid w:val="00BB3FFF"/>
    <w:rsid w:val="00BB42E9"/>
    <w:rsid w:val="00BB4A7A"/>
    <w:rsid w:val="00BB4BED"/>
    <w:rsid w:val="00BB4E46"/>
    <w:rsid w:val="00BB4EDA"/>
    <w:rsid w:val="00BB50BC"/>
    <w:rsid w:val="00BB52FF"/>
    <w:rsid w:val="00BB537A"/>
    <w:rsid w:val="00BB581B"/>
    <w:rsid w:val="00BB6008"/>
    <w:rsid w:val="00BB62AB"/>
    <w:rsid w:val="00BB6BD9"/>
    <w:rsid w:val="00BB6CB3"/>
    <w:rsid w:val="00BB6E3A"/>
    <w:rsid w:val="00BB6E9B"/>
    <w:rsid w:val="00BB6EC6"/>
    <w:rsid w:val="00BB6ED1"/>
    <w:rsid w:val="00BB79D3"/>
    <w:rsid w:val="00BB7C72"/>
    <w:rsid w:val="00BB7EB2"/>
    <w:rsid w:val="00BB7F4C"/>
    <w:rsid w:val="00BB7FE8"/>
    <w:rsid w:val="00BC0047"/>
    <w:rsid w:val="00BC0094"/>
    <w:rsid w:val="00BC0138"/>
    <w:rsid w:val="00BC02C1"/>
    <w:rsid w:val="00BC0614"/>
    <w:rsid w:val="00BC0841"/>
    <w:rsid w:val="00BC0A6B"/>
    <w:rsid w:val="00BC124A"/>
    <w:rsid w:val="00BC12ED"/>
    <w:rsid w:val="00BC15BE"/>
    <w:rsid w:val="00BC1E65"/>
    <w:rsid w:val="00BC1FDF"/>
    <w:rsid w:val="00BC2397"/>
    <w:rsid w:val="00BC23A6"/>
    <w:rsid w:val="00BC266F"/>
    <w:rsid w:val="00BC27BF"/>
    <w:rsid w:val="00BC28AE"/>
    <w:rsid w:val="00BC2AAD"/>
    <w:rsid w:val="00BC309D"/>
    <w:rsid w:val="00BC3102"/>
    <w:rsid w:val="00BC3366"/>
    <w:rsid w:val="00BC33F9"/>
    <w:rsid w:val="00BC37CE"/>
    <w:rsid w:val="00BC37FF"/>
    <w:rsid w:val="00BC38CD"/>
    <w:rsid w:val="00BC3915"/>
    <w:rsid w:val="00BC39FD"/>
    <w:rsid w:val="00BC3A70"/>
    <w:rsid w:val="00BC3B25"/>
    <w:rsid w:val="00BC44DB"/>
    <w:rsid w:val="00BC468B"/>
    <w:rsid w:val="00BC4707"/>
    <w:rsid w:val="00BC4834"/>
    <w:rsid w:val="00BC4890"/>
    <w:rsid w:val="00BC48A3"/>
    <w:rsid w:val="00BC4958"/>
    <w:rsid w:val="00BC4C53"/>
    <w:rsid w:val="00BC4CF6"/>
    <w:rsid w:val="00BC4EC7"/>
    <w:rsid w:val="00BC4F2E"/>
    <w:rsid w:val="00BC5212"/>
    <w:rsid w:val="00BC5385"/>
    <w:rsid w:val="00BC5617"/>
    <w:rsid w:val="00BC58B2"/>
    <w:rsid w:val="00BC6061"/>
    <w:rsid w:val="00BC614C"/>
    <w:rsid w:val="00BC6395"/>
    <w:rsid w:val="00BC643D"/>
    <w:rsid w:val="00BC64C6"/>
    <w:rsid w:val="00BC6580"/>
    <w:rsid w:val="00BC67EB"/>
    <w:rsid w:val="00BC67FC"/>
    <w:rsid w:val="00BC6DAA"/>
    <w:rsid w:val="00BC7362"/>
    <w:rsid w:val="00BC76B9"/>
    <w:rsid w:val="00BC7722"/>
    <w:rsid w:val="00BC7860"/>
    <w:rsid w:val="00BC798B"/>
    <w:rsid w:val="00BC799E"/>
    <w:rsid w:val="00BC79B4"/>
    <w:rsid w:val="00BC7A04"/>
    <w:rsid w:val="00BC7E41"/>
    <w:rsid w:val="00BC7FB2"/>
    <w:rsid w:val="00BD04FB"/>
    <w:rsid w:val="00BD07F8"/>
    <w:rsid w:val="00BD089E"/>
    <w:rsid w:val="00BD0A28"/>
    <w:rsid w:val="00BD0BE4"/>
    <w:rsid w:val="00BD0C11"/>
    <w:rsid w:val="00BD0C71"/>
    <w:rsid w:val="00BD0C79"/>
    <w:rsid w:val="00BD0EC2"/>
    <w:rsid w:val="00BD0FEE"/>
    <w:rsid w:val="00BD10EC"/>
    <w:rsid w:val="00BD119C"/>
    <w:rsid w:val="00BD1200"/>
    <w:rsid w:val="00BD177A"/>
    <w:rsid w:val="00BD1B1C"/>
    <w:rsid w:val="00BD1B77"/>
    <w:rsid w:val="00BD2142"/>
    <w:rsid w:val="00BD21F9"/>
    <w:rsid w:val="00BD23BE"/>
    <w:rsid w:val="00BD242B"/>
    <w:rsid w:val="00BD2901"/>
    <w:rsid w:val="00BD2A10"/>
    <w:rsid w:val="00BD2A39"/>
    <w:rsid w:val="00BD2FDA"/>
    <w:rsid w:val="00BD33BD"/>
    <w:rsid w:val="00BD380F"/>
    <w:rsid w:val="00BD3890"/>
    <w:rsid w:val="00BD39A9"/>
    <w:rsid w:val="00BD3C28"/>
    <w:rsid w:val="00BD3CE4"/>
    <w:rsid w:val="00BD3D20"/>
    <w:rsid w:val="00BD3DAE"/>
    <w:rsid w:val="00BD46B8"/>
    <w:rsid w:val="00BD478C"/>
    <w:rsid w:val="00BD47AF"/>
    <w:rsid w:val="00BD490B"/>
    <w:rsid w:val="00BD4BA0"/>
    <w:rsid w:val="00BD4DC9"/>
    <w:rsid w:val="00BD4FC0"/>
    <w:rsid w:val="00BD503A"/>
    <w:rsid w:val="00BD5089"/>
    <w:rsid w:val="00BD52F3"/>
    <w:rsid w:val="00BD557C"/>
    <w:rsid w:val="00BD5607"/>
    <w:rsid w:val="00BD5779"/>
    <w:rsid w:val="00BD57C8"/>
    <w:rsid w:val="00BD5BA5"/>
    <w:rsid w:val="00BD606C"/>
    <w:rsid w:val="00BD6A22"/>
    <w:rsid w:val="00BD6A90"/>
    <w:rsid w:val="00BD6B7B"/>
    <w:rsid w:val="00BD6BA2"/>
    <w:rsid w:val="00BD6E64"/>
    <w:rsid w:val="00BD7322"/>
    <w:rsid w:val="00BD7539"/>
    <w:rsid w:val="00BD772A"/>
    <w:rsid w:val="00BD7757"/>
    <w:rsid w:val="00BD775E"/>
    <w:rsid w:val="00BD787A"/>
    <w:rsid w:val="00BD79A6"/>
    <w:rsid w:val="00BD7A87"/>
    <w:rsid w:val="00BD7BD7"/>
    <w:rsid w:val="00BD7DE1"/>
    <w:rsid w:val="00BD7DF7"/>
    <w:rsid w:val="00BD7EFA"/>
    <w:rsid w:val="00BE028E"/>
    <w:rsid w:val="00BE03DA"/>
    <w:rsid w:val="00BE0445"/>
    <w:rsid w:val="00BE0A85"/>
    <w:rsid w:val="00BE0CE8"/>
    <w:rsid w:val="00BE0D43"/>
    <w:rsid w:val="00BE109D"/>
    <w:rsid w:val="00BE1288"/>
    <w:rsid w:val="00BE13B9"/>
    <w:rsid w:val="00BE14CC"/>
    <w:rsid w:val="00BE1500"/>
    <w:rsid w:val="00BE1938"/>
    <w:rsid w:val="00BE199E"/>
    <w:rsid w:val="00BE1AB6"/>
    <w:rsid w:val="00BE1DBE"/>
    <w:rsid w:val="00BE246D"/>
    <w:rsid w:val="00BE24FC"/>
    <w:rsid w:val="00BE274A"/>
    <w:rsid w:val="00BE27C6"/>
    <w:rsid w:val="00BE28B7"/>
    <w:rsid w:val="00BE2B29"/>
    <w:rsid w:val="00BE2CDD"/>
    <w:rsid w:val="00BE2F5B"/>
    <w:rsid w:val="00BE30FA"/>
    <w:rsid w:val="00BE31DF"/>
    <w:rsid w:val="00BE322C"/>
    <w:rsid w:val="00BE32A2"/>
    <w:rsid w:val="00BE3CFB"/>
    <w:rsid w:val="00BE3DB2"/>
    <w:rsid w:val="00BE3F23"/>
    <w:rsid w:val="00BE3F5F"/>
    <w:rsid w:val="00BE40D6"/>
    <w:rsid w:val="00BE41C0"/>
    <w:rsid w:val="00BE422A"/>
    <w:rsid w:val="00BE42A8"/>
    <w:rsid w:val="00BE42B4"/>
    <w:rsid w:val="00BE4541"/>
    <w:rsid w:val="00BE4676"/>
    <w:rsid w:val="00BE46EB"/>
    <w:rsid w:val="00BE470A"/>
    <w:rsid w:val="00BE48D2"/>
    <w:rsid w:val="00BE4DED"/>
    <w:rsid w:val="00BE521A"/>
    <w:rsid w:val="00BE5265"/>
    <w:rsid w:val="00BE544A"/>
    <w:rsid w:val="00BE548B"/>
    <w:rsid w:val="00BE55A5"/>
    <w:rsid w:val="00BE5648"/>
    <w:rsid w:val="00BE58FE"/>
    <w:rsid w:val="00BE5921"/>
    <w:rsid w:val="00BE607C"/>
    <w:rsid w:val="00BE610B"/>
    <w:rsid w:val="00BE61AB"/>
    <w:rsid w:val="00BE62A0"/>
    <w:rsid w:val="00BE672F"/>
    <w:rsid w:val="00BE6AFB"/>
    <w:rsid w:val="00BE6C62"/>
    <w:rsid w:val="00BE6F3D"/>
    <w:rsid w:val="00BE6FC8"/>
    <w:rsid w:val="00BE7286"/>
    <w:rsid w:val="00BE73D4"/>
    <w:rsid w:val="00BE7645"/>
    <w:rsid w:val="00BE77B1"/>
    <w:rsid w:val="00BE77C6"/>
    <w:rsid w:val="00BE7A77"/>
    <w:rsid w:val="00BE7AA2"/>
    <w:rsid w:val="00BF0488"/>
    <w:rsid w:val="00BF050C"/>
    <w:rsid w:val="00BF076B"/>
    <w:rsid w:val="00BF101A"/>
    <w:rsid w:val="00BF1211"/>
    <w:rsid w:val="00BF1600"/>
    <w:rsid w:val="00BF197D"/>
    <w:rsid w:val="00BF19E3"/>
    <w:rsid w:val="00BF1ADF"/>
    <w:rsid w:val="00BF1BA6"/>
    <w:rsid w:val="00BF1EB7"/>
    <w:rsid w:val="00BF222A"/>
    <w:rsid w:val="00BF226F"/>
    <w:rsid w:val="00BF25F9"/>
    <w:rsid w:val="00BF272C"/>
    <w:rsid w:val="00BF281D"/>
    <w:rsid w:val="00BF2BE6"/>
    <w:rsid w:val="00BF2C42"/>
    <w:rsid w:val="00BF2DC2"/>
    <w:rsid w:val="00BF2F97"/>
    <w:rsid w:val="00BF30FC"/>
    <w:rsid w:val="00BF3260"/>
    <w:rsid w:val="00BF39CA"/>
    <w:rsid w:val="00BF3A1A"/>
    <w:rsid w:val="00BF3B50"/>
    <w:rsid w:val="00BF3B6B"/>
    <w:rsid w:val="00BF3BB9"/>
    <w:rsid w:val="00BF3D37"/>
    <w:rsid w:val="00BF3E2C"/>
    <w:rsid w:val="00BF3F59"/>
    <w:rsid w:val="00BF415D"/>
    <w:rsid w:val="00BF41DC"/>
    <w:rsid w:val="00BF4216"/>
    <w:rsid w:val="00BF4218"/>
    <w:rsid w:val="00BF425A"/>
    <w:rsid w:val="00BF4715"/>
    <w:rsid w:val="00BF49F1"/>
    <w:rsid w:val="00BF4B24"/>
    <w:rsid w:val="00BF4CCA"/>
    <w:rsid w:val="00BF5739"/>
    <w:rsid w:val="00BF5AEE"/>
    <w:rsid w:val="00BF5B91"/>
    <w:rsid w:val="00BF6096"/>
    <w:rsid w:val="00BF62B7"/>
    <w:rsid w:val="00BF66D8"/>
    <w:rsid w:val="00BF6735"/>
    <w:rsid w:val="00BF67B8"/>
    <w:rsid w:val="00BF67EE"/>
    <w:rsid w:val="00BF6CA1"/>
    <w:rsid w:val="00BF6CF4"/>
    <w:rsid w:val="00BF6F8B"/>
    <w:rsid w:val="00BF6FA1"/>
    <w:rsid w:val="00BF6FAC"/>
    <w:rsid w:val="00BF71DB"/>
    <w:rsid w:val="00BF733B"/>
    <w:rsid w:val="00BF7637"/>
    <w:rsid w:val="00BF76F3"/>
    <w:rsid w:val="00BF7827"/>
    <w:rsid w:val="00BF78A5"/>
    <w:rsid w:val="00BF7D68"/>
    <w:rsid w:val="00C00029"/>
    <w:rsid w:val="00C00092"/>
    <w:rsid w:val="00C0018E"/>
    <w:rsid w:val="00C00489"/>
    <w:rsid w:val="00C00611"/>
    <w:rsid w:val="00C00613"/>
    <w:rsid w:val="00C00B5A"/>
    <w:rsid w:val="00C010B8"/>
    <w:rsid w:val="00C011E3"/>
    <w:rsid w:val="00C01386"/>
    <w:rsid w:val="00C01475"/>
    <w:rsid w:val="00C01560"/>
    <w:rsid w:val="00C022AA"/>
    <w:rsid w:val="00C02734"/>
    <w:rsid w:val="00C027B5"/>
    <w:rsid w:val="00C02A4B"/>
    <w:rsid w:val="00C02C5C"/>
    <w:rsid w:val="00C030E5"/>
    <w:rsid w:val="00C030E9"/>
    <w:rsid w:val="00C03353"/>
    <w:rsid w:val="00C033BF"/>
    <w:rsid w:val="00C03903"/>
    <w:rsid w:val="00C03F49"/>
    <w:rsid w:val="00C040DF"/>
    <w:rsid w:val="00C0417A"/>
    <w:rsid w:val="00C04517"/>
    <w:rsid w:val="00C0471A"/>
    <w:rsid w:val="00C047F6"/>
    <w:rsid w:val="00C04819"/>
    <w:rsid w:val="00C04836"/>
    <w:rsid w:val="00C0498B"/>
    <w:rsid w:val="00C04B22"/>
    <w:rsid w:val="00C04B9B"/>
    <w:rsid w:val="00C04DCF"/>
    <w:rsid w:val="00C04FE7"/>
    <w:rsid w:val="00C05344"/>
    <w:rsid w:val="00C05CDA"/>
    <w:rsid w:val="00C05CDD"/>
    <w:rsid w:val="00C05D1C"/>
    <w:rsid w:val="00C05F8B"/>
    <w:rsid w:val="00C05FCA"/>
    <w:rsid w:val="00C0603F"/>
    <w:rsid w:val="00C06177"/>
    <w:rsid w:val="00C06370"/>
    <w:rsid w:val="00C069DC"/>
    <w:rsid w:val="00C06D3F"/>
    <w:rsid w:val="00C06DFA"/>
    <w:rsid w:val="00C06E2E"/>
    <w:rsid w:val="00C07270"/>
    <w:rsid w:val="00C0734A"/>
    <w:rsid w:val="00C073BC"/>
    <w:rsid w:val="00C07590"/>
    <w:rsid w:val="00C075EA"/>
    <w:rsid w:val="00C0761F"/>
    <w:rsid w:val="00C077EB"/>
    <w:rsid w:val="00C07923"/>
    <w:rsid w:val="00C07A0A"/>
    <w:rsid w:val="00C10155"/>
    <w:rsid w:val="00C101A6"/>
    <w:rsid w:val="00C1030C"/>
    <w:rsid w:val="00C10390"/>
    <w:rsid w:val="00C103DE"/>
    <w:rsid w:val="00C10603"/>
    <w:rsid w:val="00C10844"/>
    <w:rsid w:val="00C10D55"/>
    <w:rsid w:val="00C10DB5"/>
    <w:rsid w:val="00C10ED5"/>
    <w:rsid w:val="00C113D8"/>
    <w:rsid w:val="00C113F0"/>
    <w:rsid w:val="00C11776"/>
    <w:rsid w:val="00C1187F"/>
    <w:rsid w:val="00C11C83"/>
    <w:rsid w:val="00C11C97"/>
    <w:rsid w:val="00C11D85"/>
    <w:rsid w:val="00C11DB2"/>
    <w:rsid w:val="00C120D8"/>
    <w:rsid w:val="00C12753"/>
    <w:rsid w:val="00C129D1"/>
    <w:rsid w:val="00C12BD1"/>
    <w:rsid w:val="00C12D6A"/>
    <w:rsid w:val="00C13200"/>
    <w:rsid w:val="00C13395"/>
    <w:rsid w:val="00C1366E"/>
    <w:rsid w:val="00C136D9"/>
    <w:rsid w:val="00C139CE"/>
    <w:rsid w:val="00C13B52"/>
    <w:rsid w:val="00C13DAE"/>
    <w:rsid w:val="00C13E87"/>
    <w:rsid w:val="00C13FBD"/>
    <w:rsid w:val="00C141B2"/>
    <w:rsid w:val="00C141C5"/>
    <w:rsid w:val="00C142B9"/>
    <w:rsid w:val="00C14316"/>
    <w:rsid w:val="00C1485A"/>
    <w:rsid w:val="00C14962"/>
    <w:rsid w:val="00C14CB0"/>
    <w:rsid w:val="00C14FDA"/>
    <w:rsid w:val="00C15434"/>
    <w:rsid w:val="00C15798"/>
    <w:rsid w:val="00C15851"/>
    <w:rsid w:val="00C158DA"/>
    <w:rsid w:val="00C16118"/>
    <w:rsid w:val="00C161E5"/>
    <w:rsid w:val="00C16346"/>
    <w:rsid w:val="00C16567"/>
    <w:rsid w:val="00C170F7"/>
    <w:rsid w:val="00C172F3"/>
    <w:rsid w:val="00C1758C"/>
    <w:rsid w:val="00C17593"/>
    <w:rsid w:val="00C176D8"/>
    <w:rsid w:val="00C178FA"/>
    <w:rsid w:val="00C17A85"/>
    <w:rsid w:val="00C17B46"/>
    <w:rsid w:val="00C17B54"/>
    <w:rsid w:val="00C17C90"/>
    <w:rsid w:val="00C17D77"/>
    <w:rsid w:val="00C200E4"/>
    <w:rsid w:val="00C2022F"/>
    <w:rsid w:val="00C203A9"/>
    <w:rsid w:val="00C20660"/>
    <w:rsid w:val="00C20709"/>
    <w:rsid w:val="00C20989"/>
    <w:rsid w:val="00C2111D"/>
    <w:rsid w:val="00C21127"/>
    <w:rsid w:val="00C21533"/>
    <w:rsid w:val="00C216A8"/>
    <w:rsid w:val="00C218FF"/>
    <w:rsid w:val="00C21A6C"/>
    <w:rsid w:val="00C21A77"/>
    <w:rsid w:val="00C21ABA"/>
    <w:rsid w:val="00C21CD6"/>
    <w:rsid w:val="00C21F03"/>
    <w:rsid w:val="00C22561"/>
    <w:rsid w:val="00C225D8"/>
    <w:rsid w:val="00C2267A"/>
    <w:rsid w:val="00C227A6"/>
    <w:rsid w:val="00C229E4"/>
    <w:rsid w:val="00C22AC1"/>
    <w:rsid w:val="00C22ACF"/>
    <w:rsid w:val="00C22B03"/>
    <w:rsid w:val="00C22CE3"/>
    <w:rsid w:val="00C2349C"/>
    <w:rsid w:val="00C234A9"/>
    <w:rsid w:val="00C23760"/>
    <w:rsid w:val="00C23990"/>
    <w:rsid w:val="00C23C0A"/>
    <w:rsid w:val="00C2415D"/>
    <w:rsid w:val="00C24383"/>
    <w:rsid w:val="00C24427"/>
    <w:rsid w:val="00C245E3"/>
    <w:rsid w:val="00C24843"/>
    <w:rsid w:val="00C24B44"/>
    <w:rsid w:val="00C24F77"/>
    <w:rsid w:val="00C251DA"/>
    <w:rsid w:val="00C258F6"/>
    <w:rsid w:val="00C25DCA"/>
    <w:rsid w:val="00C25EC1"/>
    <w:rsid w:val="00C263D6"/>
    <w:rsid w:val="00C26AC3"/>
    <w:rsid w:val="00C26BF0"/>
    <w:rsid w:val="00C26E15"/>
    <w:rsid w:val="00C27388"/>
    <w:rsid w:val="00C273CE"/>
    <w:rsid w:val="00C2750F"/>
    <w:rsid w:val="00C2759E"/>
    <w:rsid w:val="00C277CD"/>
    <w:rsid w:val="00C278EB"/>
    <w:rsid w:val="00C27C0D"/>
    <w:rsid w:val="00C27CB0"/>
    <w:rsid w:val="00C27CBD"/>
    <w:rsid w:val="00C27D05"/>
    <w:rsid w:val="00C27DEB"/>
    <w:rsid w:val="00C30007"/>
    <w:rsid w:val="00C300E4"/>
    <w:rsid w:val="00C302B9"/>
    <w:rsid w:val="00C30469"/>
    <w:rsid w:val="00C304E9"/>
    <w:rsid w:val="00C30BAD"/>
    <w:rsid w:val="00C30CB6"/>
    <w:rsid w:val="00C30DAE"/>
    <w:rsid w:val="00C310D9"/>
    <w:rsid w:val="00C31177"/>
    <w:rsid w:val="00C311F1"/>
    <w:rsid w:val="00C3152F"/>
    <w:rsid w:val="00C31602"/>
    <w:rsid w:val="00C31655"/>
    <w:rsid w:val="00C318BB"/>
    <w:rsid w:val="00C31CF4"/>
    <w:rsid w:val="00C31CFB"/>
    <w:rsid w:val="00C322D4"/>
    <w:rsid w:val="00C32662"/>
    <w:rsid w:val="00C326AB"/>
    <w:rsid w:val="00C33507"/>
    <w:rsid w:val="00C3353A"/>
    <w:rsid w:val="00C3358B"/>
    <w:rsid w:val="00C335AE"/>
    <w:rsid w:val="00C336B0"/>
    <w:rsid w:val="00C336C0"/>
    <w:rsid w:val="00C33867"/>
    <w:rsid w:val="00C33980"/>
    <w:rsid w:val="00C339A9"/>
    <w:rsid w:val="00C33A7D"/>
    <w:rsid w:val="00C33B2B"/>
    <w:rsid w:val="00C33DFE"/>
    <w:rsid w:val="00C33ED9"/>
    <w:rsid w:val="00C33FC6"/>
    <w:rsid w:val="00C3422D"/>
    <w:rsid w:val="00C348EB"/>
    <w:rsid w:val="00C34AE8"/>
    <w:rsid w:val="00C34AFB"/>
    <w:rsid w:val="00C34C43"/>
    <w:rsid w:val="00C34DB9"/>
    <w:rsid w:val="00C34DC9"/>
    <w:rsid w:val="00C34EC2"/>
    <w:rsid w:val="00C34EE1"/>
    <w:rsid w:val="00C34EE6"/>
    <w:rsid w:val="00C351BC"/>
    <w:rsid w:val="00C353FE"/>
    <w:rsid w:val="00C35889"/>
    <w:rsid w:val="00C35AFC"/>
    <w:rsid w:val="00C35DF5"/>
    <w:rsid w:val="00C3608C"/>
    <w:rsid w:val="00C360AC"/>
    <w:rsid w:val="00C360F1"/>
    <w:rsid w:val="00C3645C"/>
    <w:rsid w:val="00C364A2"/>
    <w:rsid w:val="00C36C85"/>
    <w:rsid w:val="00C36FEE"/>
    <w:rsid w:val="00C370B3"/>
    <w:rsid w:val="00C3733B"/>
    <w:rsid w:val="00C37408"/>
    <w:rsid w:val="00C37745"/>
    <w:rsid w:val="00C377C9"/>
    <w:rsid w:val="00C378F8"/>
    <w:rsid w:val="00C37900"/>
    <w:rsid w:val="00C37A2A"/>
    <w:rsid w:val="00C37AA0"/>
    <w:rsid w:val="00C37C2C"/>
    <w:rsid w:val="00C40313"/>
    <w:rsid w:val="00C40434"/>
    <w:rsid w:val="00C404B4"/>
    <w:rsid w:val="00C404F3"/>
    <w:rsid w:val="00C408F8"/>
    <w:rsid w:val="00C40902"/>
    <w:rsid w:val="00C40AA8"/>
    <w:rsid w:val="00C40CF5"/>
    <w:rsid w:val="00C40D37"/>
    <w:rsid w:val="00C41049"/>
    <w:rsid w:val="00C413C0"/>
    <w:rsid w:val="00C41847"/>
    <w:rsid w:val="00C419F2"/>
    <w:rsid w:val="00C41BEB"/>
    <w:rsid w:val="00C41F8E"/>
    <w:rsid w:val="00C41FB6"/>
    <w:rsid w:val="00C421A9"/>
    <w:rsid w:val="00C421D6"/>
    <w:rsid w:val="00C4234B"/>
    <w:rsid w:val="00C42462"/>
    <w:rsid w:val="00C4248A"/>
    <w:rsid w:val="00C425A8"/>
    <w:rsid w:val="00C42636"/>
    <w:rsid w:val="00C426FA"/>
    <w:rsid w:val="00C427C2"/>
    <w:rsid w:val="00C428F0"/>
    <w:rsid w:val="00C42C29"/>
    <w:rsid w:val="00C42DB5"/>
    <w:rsid w:val="00C42F8C"/>
    <w:rsid w:val="00C430B3"/>
    <w:rsid w:val="00C431B3"/>
    <w:rsid w:val="00C4368A"/>
    <w:rsid w:val="00C437A9"/>
    <w:rsid w:val="00C4383D"/>
    <w:rsid w:val="00C43A7F"/>
    <w:rsid w:val="00C44167"/>
    <w:rsid w:val="00C443A4"/>
    <w:rsid w:val="00C4489C"/>
    <w:rsid w:val="00C44A38"/>
    <w:rsid w:val="00C44AAB"/>
    <w:rsid w:val="00C44C78"/>
    <w:rsid w:val="00C44DA6"/>
    <w:rsid w:val="00C4511E"/>
    <w:rsid w:val="00C4524A"/>
    <w:rsid w:val="00C45436"/>
    <w:rsid w:val="00C45484"/>
    <w:rsid w:val="00C454CD"/>
    <w:rsid w:val="00C4550F"/>
    <w:rsid w:val="00C456C1"/>
    <w:rsid w:val="00C45964"/>
    <w:rsid w:val="00C45B4E"/>
    <w:rsid w:val="00C45E10"/>
    <w:rsid w:val="00C45EAD"/>
    <w:rsid w:val="00C45F35"/>
    <w:rsid w:val="00C46065"/>
    <w:rsid w:val="00C46147"/>
    <w:rsid w:val="00C461CA"/>
    <w:rsid w:val="00C46247"/>
    <w:rsid w:val="00C467DE"/>
    <w:rsid w:val="00C46901"/>
    <w:rsid w:val="00C4695E"/>
    <w:rsid w:val="00C46A2C"/>
    <w:rsid w:val="00C46AEB"/>
    <w:rsid w:val="00C4700F"/>
    <w:rsid w:val="00C47053"/>
    <w:rsid w:val="00C47082"/>
    <w:rsid w:val="00C470EF"/>
    <w:rsid w:val="00C47123"/>
    <w:rsid w:val="00C47550"/>
    <w:rsid w:val="00C477EE"/>
    <w:rsid w:val="00C47943"/>
    <w:rsid w:val="00C47F40"/>
    <w:rsid w:val="00C501C5"/>
    <w:rsid w:val="00C50447"/>
    <w:rsid w:val="00C504A9"/>
    <w:rsid w:val="00C504F0"/>
    <w:rsid w:val="00C5086D"/>
    <w:rsid w:val="00C50931"/>
    <w:rsid w:val="00C50942"/>
    <w:rsid w:val="00C50950"/>
    <w:rsid w:val="00C50978"/>
    <w:rsid w:val="00C50A26"/>
    <w:rsid w:val="00C50B19"/>
    <w:rsid w:val="00C50D82"/>
    <w:rsid w:val="00C50DBA"/>
    <w:rsid w:val="00C50F14"/>
    <w:rsid w:val="00C50FCC"/>
    <w:rsid w:val="00C51027"/>
    <w:rsid w:val="00C5107D"/>
    <w:rsid w:val="00C5111C"/>
    <w:rsid w:val="00C51190"/>
    <w:rsid w:val="00C51742"/>
    <w:rsid w:val="00C51780"/>
    <w:rsid w:val="00C519C2"/>
    <w:rsid w:val="00C51B61"/>
    <w:rsid w:val="00C51E3B"/>
    <w:rsid w:val="00C51EAE"/>
    <w:rsid w:val="00C5259E"/>
    <w:rsid w:val="00C526FE"/>
    <w:rsid w:val="00C527A9"/>
    <w:rsid w:val="00C527B3"/>
    <w:rsid w:val="00C52B59"/>
    <w:rsid w:val="00C52DF2"/>
    <w:rsid w:val="00C52F75"/>
    <w:rsid w:val="00C5301B"/>
    <w:rsid w:val="00C530C5"/>
    <w:rsid w:val="00C5353A"/>
    <w:rsid w:val="00C53542"/>
    <w:rsid w:val="00C53543"/>
    <w:rsid w:val="00C5370E"/>
    <w:rsid w:val="00C53B0D"/>
    <w:rsid w:val="00C53B62"/>
    <w:rsid w:val="00C53BF6"/>
    <w:rsid w:val="00C53CD8"/>
    <w:rsid w:val="00C53D91"/>
    <w:rsid w:val="00C53FD3"/>
    <w:rsid w:val="00C54058"/>
    <w:rsid w:val="00C5409C"/>
    <w:rsid w:val="00C5415D"/>
    <w:rsid w:val="00C541A3"/>
    <w:rsid w:val="00C54AEC"/>
    <w:rsid w:val="00C54C19"/>
    <w:rsid w:val="00C54C61"/>
    <w:rsid w:val="00C54ED2"/>
    <w:rsid w:val="00C54F50"/>
    <w:rsid w:val="00C55017"/>
    <w:rsid w:val="00C550F8"/>
    <w:rsid w:val="00C55102"/>
    <w:rsid w:val="00C5511B"/>
    <w:rsid w:val="00C551D4"/>
    <w:rsid w:val="00C551EA"/>
    <w:rsid w:val="00C5531C"/>
    <w:rsid w:val="00C5558F"/>
    <w:rsid w:val="00C55601"/>
    <w:rsid w:val="00C556F5"/>
    <w:rsid w:val="00C5577F"/>
    <w:rsid w:val="00C55B7D"/>
    <w:rsid w:val="00C55F5B"/>
    <w:rsid w:val="00C560E4"/>
    <w:rsid w:val="00C5610A"/>
    <w:rsid w:val="00C5626D"/>
    <w:rsid w:val="00C56377"/>
    <w:rsid w:val="00C5644D"/>
    <w:rsid w:val="00C56764"/>
    <w:rsid w:val="00C56B15"/>
    <w:rsid w:val="00C56B77"/>
    <w:rsid w:val="00C56C1B"/>
    <w:rsid w:val="00C56F95"/>
    <w:rsid w:val="00C570B3"/>
    <w:rsid w:val="00C571D5"/>
    <w:rsid w:val="00C5742F"/>
    <w:rsid w:val="00C57988"/>
    <w:rsid w:val="00C57A0F"/>
    <w:rsid w:val="00C57A81"/>
    <w:rsid w:val="00C57DD2"/>
    <w:rsid w:val="00C57FF3"/>
    <w:rsid w:val="00C60000"/>
    <w:rsid w:val="00C60193"/>
    <w:rsid w:val="00C60397"/>
    <w:rsid w:val="00C6058D"/>
    <w:rsid w:val="00C605CB"/>
    <w:rsid w:val="00C605EF"/>
    <w:rsid w:val="00C60877"/>
    <w:rsid w:val="00C60CE4"/>
    <w:rsid w:val="00C60EDA"/>
    <w:rsid w:val="00C60F7E"/>
    <w:rsid w:val="00C6100B"/>
    <w:rsid w:val="00C61055"/>
    <w:rsid w:val="00C6112F"/>
    <w:rsid w:val="00C611AE"/>
    <w:rsid w:val="00C61242"/>
    <w:rsid w:val="00C614C2"/>
    <w:rsid w:val="00C6168D"/>
    <w:rsid w:val="00C61AC6"/>
    <w:rsid w:val="00C61AD0"/>
    <w:rsid w:val="00C61CEC"/>
    <w:rsid w:val="00C61E69"/>
    <w:rsid w:val="00C61E7C"/>
    <w:rsid w:val="00C6205C"/>
    <w:rsid w:val="00C62094"/>
    <w:rsid w:val="00C62446"/>
    <w:rsid w:val="00C62459"/>
    <w:rsid w:val="00C62FD9"/>
    <w:rsid w:val="00C6318B"/>
    <w:rsid w:val="00C631D1"/>
    <w:rsid w:val="00C633DF"/>
    <w:rsid w:val="00C635ED"/>
    <w:rsid w:val="00C63984"/>
    <w:rsid w:val="00C63A1E"/>
    <w:rsid w:val="00C63D20"/>
    <w:rsid w:val="00C64510"/>
    <w:rsid w:val="00C6462B"/>
    <w:rsid w:val="00C646D8"/>
    <w:rsid w:val="00C6480F"/>
    <w:rsid w:val="00C6484B"/>
    <w:rsid w:val="00C64ADB"/>
    <w:rsid w:val="00C64D7C"/>
    <w:rsid w:val="00C64D91"/>
    <w:rsid w:val="00C64E14"/>
    <w:rsid w:val="00C652A9"/>
    <w:rsid w:val="00C65B1F"/>
    <w:rsid w:val="00C65BC4"/>
    <w:rsid w:val="00C65E30"/>
    <w:rsid w:val="00C66003"/>
    <w:rsid w:val="00C664BA"/>
    <w:rsid w:val="00C665E2"/>
    <w:rsid w:val="00C666FA"/>
    <w:rsid w:val="00C66A2C"/>
    <w:rsid w:val="00C66ADB"/>
    <w:rsid w:val="00C66BC1"/>
    <w:rsid w:val="00C66CE9"/>
    <w:rsid w:val="00C672BD"/>
    <w:rsid w:val="00C673D5"/>
    <w:rsid w:val="00C67A18"/>
    <w:rsid w:val="00C67C67"/>
    <w:rsid w:val="00C67D56"/>
    <w:rsid w:val="00C70257"/>
    <w:rsid w:val="00C702C7"/>
    <w:rsid w:val="00C704A5"/>
    <w:rsid w:val="00C7080C"/>
    <w:rsid w:val="00C7085B"/>
    <w:rsid w:val="00C70956"/>
    <w:rsid w:val="00C709A6"/>
    <w:rsid w:val="00C70DC7"/>
    <w:rsid w:val="00C711D7"/>
    <w:rsid w:val="00C714C6"/>
    <w:rsid w:val="00C7162B"/>
    <w:rsid w:val="00C71749"/>
    <w:rsid w:val="00C719CA"/>
    <w:rsid w:val="00C725EA"/>
    <w:rsid w:val="00C725FB"/>
    <w:rsid w:val="00C725FF"/>
    <w:rsid w:val="00C72655"/>
    <w:rsid w:val="00C7266B"/>
    <w:rsid w:val="00C72AD3"/>
    <w:rsid w:val="00C72F21"/>
    <w:rsid w:val="00C73094"/>
    <w:rsid w:val="00C73479"/>
    <w:rsid w:val="00C73605"/>
    <w:rsid w:val="00C73B72"/>
    <w:rsid w:val="00C73CB2"/>
    <w:rsid w:val="00C73E30"/>
    <w:rsid w:val="00C7429C"/>
    <w:rsid w:val="00C74B77"/>
    <w:rsid w:val="00C74C85"/>
    <w:rsid w:val="00C74F2D"/>
    <w:rsid w:val="00C750A0"/>
    <w:rsid w:val="00C7544A"/>
    <w:rsid w:val="00C755E9"/>
    <w:rsid w:val="00C756ED"/>
    <w:rsid w:val="00C758DB"/>
    <w:rsid w:val="00C75A66"/>
    <w:rsid w:val="00C75BBB"/>
    <w:rsid w:val="00C75BCD"/>
    <w:rsid w:val="00C75D9A"/>
    <w:rsid w:val="00C76270"/>
    <w:rsid w:val="00C762EB"/>
    <w:rsid w:val="00C764A7"/>
    <w:rsid w:val="00C76892"/>
    <w:rsid w:val="00C7692D"/>
    <w:rsid w:val="00C76A84"/>
    <w:rsid w:val="00C76CD1"/>
    <w:rsid w:val="00C76F7D"/>
    <w:rsid w:val="00C77009"/>
    <w:rsid w:val="00C77077"/>
    <w:rsid w:val="00C77186"/>
    <w:rsid w:val="00C7730D"/>
    <w:rsid w:val="00C77424"/>
    <w:rsid w:val="00C774F5"/>
    <w:rsid w:val="00C77816"/>
    <w:rsid w:val="00C77CD5"/>
    <w:rsid w:val="00C77CE7"/>
    <w:rsid w:val="00C77F08"/>
    <w:rsid w:val="00C80241"/>
    <w:rsid w:val="00C80598"/>
    <w:rsid w:val="00C8059F"/>
    <w:rsid w:val="00C80696"/>
    <w:rsid w:val="00C8079E"/>
    <w:rsid w:val="00C807AD"/>
    <w:rsid w:val="00C808A1"/>
    <w:rsid w:val="00C80F75"/>
    <w:rsid w:val="00C80FF4"/>
    <w:rsid w:val="00C811C6"/>
    <w:rsid w:val="00C812D6"/>
    <w:rsid w:val="00C81320"/>
    <w:rsid w:val="00C813AB"/>
    <w:rsid w:val="00C81501"/>
    <w:rsid w:val="00C8154D"/>
    <w:rsid w:val="00C81918"/>
    <w:rsid w:val="00C819BF"/>
    <w:rsid w:val="00C819F4"/>
    <w:rsid w:val="00C82B1D"/>
    <w:rsid w:val="00C82BE5"/>
    <w:rsid w:val="00C82D77"/>
    <w:rsid w:val="00C82EFA"/>
    <w:rsid w:val="00C8318A"/>
    <w:rsid w:val="00C8326E"/>
    <w:rsid w:val="00C8341A"/>
    <w:rsid w:val="00C8367C"/>
    <w:rsid w:val="00C83872"/>
    <w:rsid w:val="00C83A4B"/>
    <w:rsid w:val="00C83AC7"/>
    <w:rsid w:val="00C83CA9"/>
    <w:rsid w:val="00C841ED"/>
    <w:rsid w:val="00C84496"/>
    <w:rsid w:val="00C84647"/>
    <w:rsid w:val="00C8469A"/>
    <w:rsid w:val="00C84AF7"/>
    <w:rsid w:val="00C84B1A"/>
    <w:rsid w:val="00C85051"/>
    <w:rsid w:val="00C8512B"/>
    <w:rsid w:val="00C8518F"/>
    <w:rsid w:val="00C8552D"/>
    <w:rsid w:val="00C855F0"/>
    <w:rsid w:val="00C8560E"/>
    <w:rsid w:val="00C8564B"/>
    <w:rsid w:val="00C857A6"/>
    <w:rsid w:val="00C8590E"/>
    <w:rsid w:val="00C85ADC"/>
    <w:rsid w:val="00C85BD9"/>
    <w:rsid w:val="00C860C7"/>
    <w:rsid w:val="00C8637D"/>
    <w:rsid w:val="00C864CB"/>
    <w:rsid w:val="00C8670B"/>
    <w:rsid w:val="00C868B3"/>
    <w:rsid w:val="00C86A69"/>
    <w:rsid w:val="00C86AE1"/>
    <w:rsid w:val="00C86BD7"/>
    <w:rsid w:val="00C86EF4"/>
    <w:rsid w:val="00C86F30"/>
    <w:rsid w:val="00C8703B"/>
    <w:rsid w:val="00C87205"/>
    <w:rsid w:val="00C873C3"/>
    <w:rsid w:val="00C87407"/>
    <w:rsid w:val="00C87657"/>
    <w:rsid w:val="00C87AC7"/>
    <w:rsid w:val="00C87B06"/>
    <w:rsid w:val="00C87BF0"/>
    <w:rsid w:val="00C87D93"/>
    <w:rsid w:val="00C87D99"/>
    <w:rsid w:val="00C87EF5"/>
    <w:rsid w:val="00C9058A"/>
    <w:rsid w:val="00C9063B"/>
    <w:rsid w:val="00C906C7"/>
    <w:rsid w:val="00C908BB"/>
    <w:rsid w:val="00C909EC"/>
    <w:rsid w:val="00C90CED"/>
    <w:rsid w:val="00C90F0B"/>
    <w:rsid w:val="00C911EE"/>
    <w:rsid w:val="00C91D5B"/>
    <w:rsid w:val="00C91FCD"/>
    <w:rsid w:val="00C9214C"/>
    <w:rsid w:val="00C92643"/>
    <w:rsid w:val="00C926EF"/>
    <w:rsid w:val="00C92725"/>
    <w:rsid w:val="00C9299A"/>
    <w:rsid w:val="00C92CE7"/>
    <w:rsid w:val="00C92F00"/>
    <w:rsid w:val="00C93438"/>
    <w:rsid w:val="00C93E7F"/>
    <w:rsid w:val="00C93EDF"/>
    <w:rsid w:val="00C93FFF"/>
    <w:rsid w:val="00C9404C"/>
    <w:rsid w:val="00C942C5"/>
    <w:rsid w:val="00C944C3"/>
    <w:rsid w:val="00C9451E"/>
    <w:rsid w:val="00C9452E"/>
    <w:rsid w:val="00C94633"/>
    <w:rsid w:val="00C9464A"/>
    <w:rsid w:val="00C946D6"/>
    <w:rsid w:val="00C948BB"/>
    <w:rsid w:val="00C94913"/>
    <w:rsid w:val="00C9491D"/>
    <w:rsid w:val="00C9496A"/>
    <w:rsid w:val="00C94BCC"/>
    <w:rsid w:val="00C94BFF"/>
    <w:rsid w:val="00C951CA"/>
    <w:rsid w:val="00C952DA"/>
    <w:rsid w:val="00C95761"/>
    <w:rsid w:val="00C9583E"/>
    <w:rsid w:val="00C95A1D"/>
    <w:rsid w:val="00C95CA4"/>
    <w:rsid w:val="00C960C5"/>
    <w:rsid w:val="00C96381"/>
    <w:rsid w:val="00C964CA"/>
    <w:rsid w:val="00C966D1"/>
    <w:rsid w:val="00C96A5A"/>
    <w:rsid w:val="00C96C24"/>
    <w:rsid w:val="00C96CA6"/>
    <w:rsid w:val="00C96FB8"/>
    <w:rsid w:val="00C970E0"/>
    <w:rsid w:val="00C97216"/>
    <w:rsid w:val="00C972A2"/>
    <w:rsid w:val="00C97397"/>
    <w:rsid w:val="00C974A4"/>
    <w:rsid w:val="00C97511"/>
    <w:rsid w:val="00C975A1"/>
    <w:rsid w:val="00C97756"/>
    <w:rsid w:val="00C977AD"/>
    <w:rsid w:val="00C97803"/>
    <w:rsid w:val="00C979C8"/>
    <w:rsid w:val="00C97ADA"/>
    <w:rsid w:val="00C97CE0"/>
    <w:rsid w:val="00C97D92"/>
    <w:rsid w:val="00C97DDF"/>
    <w:rsid w:val="00C97DFD"/>
    <w:rsid w:val="00C97EF5"/>
    <w:rsid w:val="00CA00ED"/>
    <w:rsid w:val="00CA05DF"/>
    <w:rsid w:val="00CA0756"/>
    <w:rsid w:val="00CA0AB2"/>
    <w:rsid w:val="00CA0AE4"/>
    <w:rsid w:val="00CA0BBD"/>
    <w:rsid w:val="00CA0C01"/>
    <w:rsid w:val="00CA0FD3"/>
    <w:rsid w:val="00CA1091"/>
    <w:rsid w:val="00CA1411"/>
    <w:rsid w:val="00CA1578"/>
    <w:rsid w:val="00CA162E"/>
    <w:rsid w:val="00CA16A3"/>
    <w:rsid w:val="00CA16A4"/>
    <w:rsid w:val="00CA187E"/>
    <w:rsid w:val="00CA1897"/>
    <w:rsid w:val="00CA19D7"/>
    <w:rsid w:val="00CA1B28"/>
    <w:rsid w:val="00CA1C5B"/>
    <w:rsid w:val="00CA1DA4"/>
    <w:rsid w:val="00CA1EFF"/>
    <w:rsid w:val="00CA1F4E"/>
    <w:rsid w:val="00CA2023"/>
    <w:rsid w:val="00CA2238"/>
    <w:rsid w:val="00CA2455"/>
    <w:rsid w:val="00CA25D4"/>
    <w:rsid w:val="00CA282A"/>
    <w:rsid w:val="00CA2B82"/>
    <w:rsid w:val="00CA2D46"/>
    <w:rsid w:val="00CA2D63"/>
    <w:rsid w:val="00CA2DEA"/>
    <w:rsid w:val="00CA2DF4"/>
    <w:rsid w:val="00CA2EA8"/>
    <w:rsid w:val="00CA3224"/>
    <w:rsid w:val="00CA33FA"/>
    <w:rsid w:val="00CA33FC"/>
    <w:rsid w:val="00CA364D"/>
    <w:rsid w:val="00CA3DDA"/>
    <w:rsid w:val="00CA40DA"/>
    <w:rsid w:val="00CA45B0"/>
    <w:rsid w:val="00CA464D"/>
    <w:rsid w:val="00CA486F"/>
    <w:rsid w:val="00CA4919"/>
    <w:rsid w:val="00CA4BE8"/>
    <w:rsid w:val="00CA4E63"/>
    <w:rsid w:val="00CA4EEF"/>
    <w:rsid w:val="00CA531A"/>
    <w:rsid w:val="00CA535B"/>
    <w:rsid w:val="00CA543A"/>
    <w:rsid w:val="00CA5481"/>
    <w:rsid w:val="00CA5707"/>
    <w:rsid w:val="00CA58CD"/>
    <w:rsid w:val="00CA59A0"/>
    <w:rsid w:val="00CA59B0"/>
    <w:rsid w:val="00CA5B05"/>
    <w:rsid w:val="00CA5B38"/>
    <w:rsid w:val="00CA5E4B"/>
    <w:rsid w:val="00CA5F46"/>
    <w:rsid w:val="00CA5FA7"/>
    <w:rsid w:val="00CA625F"/>
    <w:rsid w:val="00CA633E"/>
    <w:rsid w:val="00CA637B"/>
    <w:rsid w:val="00CA642D"/>
    <w:rsid w:val="00CA65A6"/>
    <w:rsid w:val="00CA7120"/>
    <w:rsid w:val="00CA712C"/>
    <w:rsid w:val="00CA74E5"/>
    <w:rsid w:val="00CA7E17"/>
    <w:rsid w:val="00CA7EAA"/>
    <w:rsid w:val="00CB0025"/>
    <w:rsid w:val="00CB0045"/>
    <w:rsid w:val="00CB0192"/>
    <w:rsid w:val="00CB0348"/>
    <w:rsid w:val="00CB05F3"/>
    <w:rsid w:val="00CB06EB"/>
    <w:rsid w:val="00CB077A"/>
    <w:rsid w:val="00CB08F7"/>
    <w:rsid w:val="00CB0CB9"/>
    <w:rsid w:val="00CB0EAD"/>
    <w:rsid w:val="00CB0F7A"/>
    <w:rsid w:val="00CB1022"/>
    <w:rsid w:val="00CB10CD"/>
    <w:rsid w:val="00CB1171"/>
    <w:rsid w:val="00CB15B9"/>
    <w:rsid w:val="00CB17E0"/>
    <w:rsid w:val="00CB1A1D"/>
    <w:rsid w:val="00CB1A8B"/>
    <w:rsid w:val="00CB1D03"/>
    <w:rsid w:val="00CB1E39"/>
    <w:rsid w:val="00CB1EA6"/>
    <w:rsid w:val="00CB202B"/>
    <w:rsid w:val="00CB2235"/>
    <w:rsid w:val="00CB23B8"/>
    <w:rsid w:val="00CB2442"/>
    <w:rsid w:val="00CB28F1"/>
    <w:rsid w:val="00CB2C2B"/>
    <w:rsid w:val="00CB318F"/>
    <w:rsid w:val="00CB31CB"/>
    <w:rsid w:val="00CB3460"/>
    <w:rsid w:val="00CB353A"/>
    <w:rsid w:val="00CB3B2B"/>
    <w:rsid w:val="00CB3CC8"/>
    <w:rsid w:val="00CB3CEE"/>
    <w:rsid w:val="00CB3EEB"/>
    <w:rsid w:val="00CB4589"/>
    <w:rsid w:val="00CB47AC"/>
    <w:rsid w:val="00CB4829"/>
    <w:rsid w:val="00CB4835"/>
    <w:rsid w:val="00CB499B"/>
    <w:rsid w:val="00CB4C1B"/>
    <w:rsid w:val="00CB4F20"/>
    <w:rsid w:val="00CB526C"/>
    <w:rsid w:val="00CB5433"/>
    <w:rsid w:val="00CB5438"/>
    <w:rsid w:val="00CB564A"/>
    <w:rsid w:val="00CB5741"/>
    <w:rsid w:val="00CB57D9"/>
    <w:rsid w:val="00CB586B"/>
    <w:rsid w:val="00CB5909"/>
    <w:rsid w:val="00CB5B7C"/>
    <w:rsid w:val="00CB5BB5"/>
    <w:rsid w:val="00CB5F06"/>
    <w:rsid w:val="00CB5FB9"/>
    <w:rsid w:val="00CB6008"/>
    <w:rsid w:val="00CB65BB"/>
    <w:rsid w:val="00CB6DA9"/>
    <w:rsid w:val="00CB6EC6"/>
    <w:rsid w:val="00CB71F1"/>
    <w:rsid w:val="00CB7233"/>
    <w:rsid w:val="00CB7610"/>
    <w:rsid w:val="00CB7989"/>
    <w:rsid w:val="00CB79EE"/>
    <w:rsid w:val="00CB7A90"/>
    <w:rsid w:val="00CC0165"/>
    <w:rsid w:val="00CC03F4"/>
    <w:rsid w:val="00CC060A"/>
    <w:rsid w:val="00CC0797"/>
    <w:rsid w:val="00CC07D6"/>
    <w:rsid w:val="00CC091C"/>
    <w:rsid w:val="00CC09D2"/>
    <w:rsid w:val="00CC0E02"/>
    <w:rsid w:val="00CC11B7"/>
    <w:rsid w:val="00CC1302"/>
    <w:rsid w:val="00CC14F1"/>
    <w:rsid w:val="00CC1568"/>
    <w:rsid w:val="00CC15F1"/>
    <w:rsid w:val="00CC16D5"/>
    <w:rsid w:val="00CC1700"/>
    <w:rsid w:val="00CC2222"/>
    <w:rsid w:val="00CC2248"/>
    <w:rsid w:val="00CC229D"/>
    <w:rsid w:val="00CC2355"/>
    <w:rsid w:val="00CC23F7"/>
    <w:rsid w:val="00CC2901"/>
    <w:rsid w:val="00CC2A1A"/>
    <w:rsid w:val="00CC2D60"/>
    <w:rsid w:val="00CC2DD5"/>
    <w:rsid w:val="00CC2DED"/>
    <w:rsid w:val="00CC2F4C"/>
    <w:rsid w:val="00CC3013"/>
    <w:rsid w:val="00CC3026"/>
    <w:rsid w:val="00CC3047"/>
    <w:rsid w:val="00CC3175"/>
    <w:rsid w:val="00CC36B4"/>
    <w:rsid w:val="00CC3AA1"/>
    <w:rsid w:val="00CC3B05"/>
    <w:rsid w:val="00CC3B58"/>
    <w:rsid w:val="00CC3C78"/>
    <w:rsid w:val="00CC4179"/>
    <w:rsid w:val="00CC4523"/>
    <w:rsid w:val="00CC45D0"/>
    <w:rsid w:val="00CC47C0"/>
    <w:rsid w:val="00CC4BBD"/>
    <w:rsid w:val="00CC4EDE"/>
    <w:rsid w:val="00CC500D"/>
    <w:rsid w:val="00CC520B"/>
    <w:rsid w:val="00CC5B32"/>
    <w:rsid w:val="00CC5C3E"/>
    <w:rsid w:val="00CC5DBF"/>
    <w:rsid w:val="00CC5E8F"/>
    <w:rsid w:val="00CC5ED4"/>
    <w:rsid w:val="00CC6585"/>
    <w:rsid w:val="00CC67C0"/>
    <w:rsid w:val="00CC6A3E"/>
    <w:rsid w:val="00CC6A4C"/>
    <w:rsid w:val="00CC6B61"/>
    <w:rsid w:val="00CC6D51"/>
    <w:rsid w:val="00CC6F2C"/>
    <w:rsid w:val="00CC702D"/>
    <w:rsid w:val="00CC716C"/>
    <w:rsid w:val="00CC7290"/>
    <w:rsid w:val="00CC7479"/>
    <w:rsid w:val="00CC7525"/>
    <w:rsid w:val="00CC752C"/>
    <w:rsid w:val="00CC75C4"/>
    <w:rsid w:val="00CC75CB"/>
    <w:rsid w:val="00CC75FD"/>
    <w:rsid w:val="00CC774F"/>
    <w:rsid w:val="00CC7A56"/>
    <w:rsid w:val="00CC7F19"/>
    <w:rsid w:val="00CD00D1"/>
    <w:rsid w:val="00CD0283"/>
    <w:rsid w:val="00CD029B"/>
    <w:rsid w:val="00CD0490"/>
    <w:rsid w:val="00CD05D2"/>
    <w:rsid w:val="00CD08FA"/>
    <w:rsid w:val="00CD0917"/>
    <w:rsid w:val="00CD0A76"/>
    <w:rsid w:val="00CD0B7F"/>
    <w:rsid w:val="00CD10C8"/>
    <w:rsid w:val="00CD197C"/>
    <w:rsid w:val="00CD1B9C"/>
    <w:rsid w:val="00CD1BF6"/>
    <w:rsid w:val="00CD1C4C"/>
    <w:rsid w:val="00CD204E"/>
    <w:rsid w:val="00CD2471"/>
    <w:rsid w:val="00CD262A"/>
    <w:rsid w:val="00CD279F"/>
    <w:rsid w:val="00CD28EE"/>
    <w:rsid w:val="00CD2A0A"/>
    <w:rsid w:val="00CD2C7A"/>
    <w:rsid w:val="00CD2DF5"/>
    <w:rsid w:val="00CD2EC1"/>
    <w:rsid w:val="00CD3381"/>
    <w:rsid w:val="00CD33B8"/>
    <w:rsid w:val="00CD360D"/>
    <w:rsid w:val="00CD361D"/>
    <w:rsid w:val="00CD3F86"/>
    <w:rsid w:val="00CD3FC3"/>
    <w:rsid w:val="00CD4004"/>
    <w:rsid w:val="00CD41AE"/>
    <w:rsid w:val="00CD4F30"/>
    <w:rsid w:val="00CD50A7"/>
    <w:rsid w:val="00CD5187"/>
    <w:rsid w:val="00CD51C0"/>
    <w:rsid w:val="00CD5305"/>
    <w:rsid w:val="00CD5942"/>
    <w:rsid w:val="00CD5DB9"/>
    <w:rsid w:val="00CD6080"/>
    <w:rsid w:val="00CD6119"/>
    <w:rsid w:val="00CD623D"/>
    <w:rsid w:val="00CD62A9"/>
    <w:rsid w:val="00CD63BB"/>
    <w:rsid w:val="00CD6547"/>
    <w:rsid w:val="00CD6677"/>
    <w:rsid w:val="00CD68CA"/>
    <w:rsid w:val="00CD68EE"/>
    <w:rsid w:val="00CD69AD"/>
    <w:rsid w:val="00CD6E3E"/>
    <w:rsid w:val="00CD70DD"/>
    <w:rsid w:val="00CD71E5"/>
    <w:rsid w:val="00CD757C"/>
    <w:rsid w:val="00CD772F"/>
    <w:rsid w:val="00CD7F0C"/>
    <w:rsid w:val="00CE05E5"/>
    <w:rsid w:val="00CE08BA"/>
    <w:rsid w:val="00CE09B5"/>
    <w:rsid w:val="00CE0C0E"/>
    <w:rsid w:val="00CE0D12"/>
    <w:rsid w:val="00CE0D65"/>
    <w:rsid w:val="00CE0E16"/>
    <w:rsid w:val="00CE0F00"/>
    <w:rsid w:val="00CE1111"/>
    <w:rsid w:val="00CE1176"/>
    <w:rsid w:val="00CE12D5"/>
    <w:rsid w:val="00CE14BC"/>
    <w:rsid w:val="00CE1765"/>
    <w:rsid w:val="00CE193F"/>
    <w:rsid w:val="00CE19FF"/>
    <w:rsid w:val="00CE1A7C"/>
    <w:rsid w:val="00CE1D9F"/>
    <w:rsid w:val="00CE1E2D"/>
    <w:rsid w:val="00CE213B"/>
    <w:rsid w:val="00CE218B"/>
    <w:rsid w:val="00CE22AE"/>
    <w:rsid w:val="00CE22BC"/>
    <w:rsid w:val="00CE25D4"/>
    <w:rsid w:val="00CE28B9"/>
    <w:rsid w:val="00CE2CD9"/>
    <w:rsid w:val="00CE2CF4"/>
    <w:rsid w:val="00CE2D9E"/>
    <w:rsid w:val="00CE2E67"/>
    <w:rsid w:val="00CE2E7A"/>
    <w:rsid w:val="00CE2EAA"/>
    <w:rsid w:val="00CE2FE8"/>
    <w:rsid w:val="00CE3631"/>
    <w:rsid w:val="00CE37C5"/>
    <w:rsid w:val="00CE3825"/>
    <w:rsid w:val="00CE385A"/>
    <w:rsid w:val="00CE387D"/>
    <w:rsid w:val="00CE38C9"/>
    <w:rsid w:val="00CE3AD5"/>
    <w:rsid w:val="00CE40F1"/>
    <w:rsid w:val="00CE4278"/>
    <w:rsid w:val="00CE434F"/>
    <w:rsid w:val="00CE44D4"/>
    <w:rsid w:val="00CE4A61"/>
    <w:rsid w:val="00CE4AC2"/>
    <w:rsid w:val="00CE4C68"/>
    <w:rsid w:val="00CE4E57"/>
    <w:rsid w:val="00CE4F0C"/>
    <w:rsid w:val="00CE559E"/>
    <w:rsid w:val="00CE55C5"/>
    <w:rsid w:val="00CE5C1C"/>
    <w:rsid w:val="00CE5CE2"/>
    <w:rsid w:val="00CE5E3B"/>
    <w:rsid w:val="00CE5FCB"/>
    <w:rsid w:val="00CE6132"/>
    <w:rsid w:val="00CE6202"/>
    <w:rsid w:val="00CE64D4"/>
    <w:rsid w:val="00CE65E9"/>
    <w:rsid w:val="00CE667D"/>
    <w:rsid w:val="00CE6707"/>
    <w:rsid w:val="00CE6755"/>
    <w:rsid w:val="00CE68BD"/>
    <w:rsid w:val="00CE6A5F"/>
    <w:rsid w:val="00CE6ADE"/>
    <w:rsid w:val="00CE6AFD"/>
    <w:rsid w:val="00CE6BA2"/>
    <w:rsid w:val="00CE6CBD"/>
    <w:rsid w:val="00CE6EBA"/>
    <w:rsid w:val="00CE6EF7"/>
    <w:rsid w:val="00CE6F7F"/>
    <w:rsid w:val="00CE6FD8"/>
    <w:rsid w:val="00CE7070"/>
    <w:rsid w:val="00CE7209"/>
    <w:rsid w:val="00CE75D3"/>
    <w:rsid w:val="00CE764C"/>
    <w:rsid w:val="00CE76CD"/>
    <w:rsid w:val="00CE781D"/>
    <w:rsid w:val="00CE7936"/>
    <w:rsid w:val="00CE7B95"/>
    <w:rsid w:val="00CF052A"/>
    <w:rsid w:val="00CF0B47"/>
    <w:rsid w:val="00CF0BBD"/>
    <w:rsid w:val="00CF0BD8"/>
    <w:rsid w:val="00CF0D1A"/>
    <w:rsid w:val="00CF0D76"/>
    <w:rsid w:val="00CF0EFA"/>
    <w:rsid w:val="00CF0FB4"/>
    <w:rsid w:val="00CF12EF"/>
    <w:rsid w:val="00CF1374"/>
    <w:rsid w:val="00CF1609"/>
    <w:rsid w:val="00CF19B7"/>
    <w:rsid w:val="00CF1ADA"/>
    <w:rsid w:val="00CF1BAD"/>
    <w:rsid w:val="00CF21D6"/>
    <w:rsid w:val="00CF224E"/>
    <w:rsid w:val="00CF227D"/>
    <w:rsid w:val="00CF2287"/>
    <w:rsid w:val="00CF23CD"/>
    <w:rsid w:val="00CF268C"/>
    <w:rsid w:val="00CF2ABC"/>
    <w:rsid w:val="00CF2C59"/>
    <w:rsid w:val="00CF2C8D"/>
    <w:rsid w:val="00CF2FCF"/>
    <w:rsid w:val="00CF306B"/>
    <w:rsid w:val="00CF32A2"/>
    <w:rsid w:val="00CF39C4"/>
    <w:rsid w:val="00CF3CA4"/>
    <w:rsid w:val="00CF3EA2"/>
    <w:rsid w:val="00CF3EAC"/>
    <w:rsid w:val="00CF3F07"/>
    <w:rsid w:val="00CF42DF"/>
    <w:rsid w:val="00CF435D"/>
    <w:rsid w:val="00CF4447"/>
    <w:rsid w:val="00CF44C1"/>
    <w:rsid w:val="00CF47B4"/>
    <w:rsid w:val="00CF49FE"/>
    <w:rsid w:val="00CF4B29"/>
    <w:rsid w:val="00CF4C48"/>
    <w:rsid w:val="00CF4CBC"/>
    <w:rsid w:val="00CF4D86"/>
    <w:rsid w:val="00CF4EF8"/>
    <w:rsid w:val="00CF5038"/>
    <w:rsid w:val="00CF5356"/>
    <w:rsid w:val="00CF5372"/>
    <w:rsid w:val="00CF53AF"/>
    <w:rsid w:val="00CF5419"/>
    <w:rsid w:val="00CF546E"/>
    <w:rsid w:val="00CF55AA"/>
    <w:rsid w:val="00CF5631"/>
    <w:rsid w:val="00CF5789"/>
    <w:rsid w:val="00CF5B2B"/>
    <w:rsid w:val="00CF5DCB"/>
    <w:rsid w:val="00CF5EBB"/>
    <w:rsid w:val="00CF60AA"/>
    <w:rsid w:val="00CF6148"/>
    <w:rsid w:val="00CF61E5"/>
    <w:rsid w:val="00CF64BE"/>
    <w:rsid w:val="00CF6917"/>
    <w:rsid w:val="00CF695E"/>
    <w:rsid w:val="00CF69C1"/>
    <w:rsid w:val="00CF6FF6"/>
    <w:rsid w:val="00CF74A7"/>
    <w:rsid w:val="00CF771C"/>
    <w:rsid w:val="00CF77D6"/>
    <w:rsid w:val="00CF77DD"/>
    <w:rsid w:val="00CF7AB3"/>
    <w:rsid w:val="00CF7ACA"/>
    <w:rsid w:val="00CF7DAF"/>
    <w:rsid w:val="00CF7F7F"/>
    <w:rsid w:val="00CF7FE3"/>
    <w:rsid w:val="00D000A4"/>
    <w:rsid w:val="00D0012A"/>
    <w:rsid w:val="00D0023B"/>
    <w:rsid w:val="00D00338"/>
    <w:rsid w:val="00D00465"/>
    <w:rsid w:val="00D00522"/>
    <w:rsid w:val="00D00E42"/>
    <w:rsid w:val="00D011F7"/>
    <w:rsid w:val="00D01239"/>
    <w:rsid w:val="00D0141E"/>
    <w:rsid w:val="00D014E7"/>
    <w:rsid w:val="00D0170E"/>
    <w:rsid w:val="00D01824"/>
    <w:rsid w:val="00D01FDB"/>
    <w:rsid w:val="00D023AE"/>
    <w:rsid w:val="00D0267E"/>
    <w:rsid w:val="00D02A36"/>
    <w:rsid w:val="00D02C11"/>
    <w:rsid w:val="00D02E69"/>
    <w:rsid w:val="00D02FF5"/>
    <w:rsid w:val="00D031FE"/>
    <w:rsid w:val="00D0320E"/>
    <w:rsid w:val="00D03215"/>
    <w:rsid w:val="00D0345F"/>
    <w:rsid w:val="00D03567"/>
    <w:rsid w:val="00D038F6"/>
    <w:rsid w:val="00D0395C"/>
    <w:rsid w:val="00D03D4C"/>
    <w:rsid w:val="00D03EE9"/>
    <w:rsid w:val="00D03FC5"/>
    <w:rsid w:val="00D0427C"/>
    <w:rsid w:val="00D04436"/>
    <w:rsid w:val="00D04525"/>
    <w:rsid w:val="00D04811"/>
    <w:rsid w:val="00D048B8"/>
    <w:rsid w:val="00D048D9"/>
    <w:rsid w:val="00D04A3F"/>
    <w:rsid w:val="00D04A91"/>
    <w:rsid w:val="00D04DBE"/>
    <w:rsid w:val="00D04EDB"/>
    <w:rsid w:val="00D04EFD"/>
    <w:rsid w:val="00D04F61"/>
    <w:rsid w:val="00D04FEB"/>
    <w:rsid w:val="00D0506A"/>
    <w:rsid w:val="00D05130"/>
    <w:rsid w:val="00D05133"/>
    <w:rsid w:val="00D05223"/>
    <w:rsid w:val="00D053E2"/>
    <w:rsid w:val="00D056EC"/>
    <w:rsid w:val="00D05E9E"/>
    <w:rsid w:val="00D05FB2"/>
    <w:rsid w:val="00D060B8"/>
    <w:rsid w:val="00D060CE"/>
    <w:rsid w:val="00D064CE"/>
    <w:rsid w:val="00D064FE"/>
    <w:rsid w:val="00D0671E"/>
    <w:rsid w:val="00D06731"/>
    <w:rsid w:val="00D06981"/>
    <w:rsid w:val="00D06B0D"/>
    <w:rsid w:val="00D06B10"/>
    <w:rsid w:val="00D06B2E"/>
    <w:rsid w:val="00D06B99"/>
    <w:rsid w:val="00D06D7F"/>
    <w:rsid w:val="00D0730D"/>
    <w:rsid w:val="00D073FC"/>
    <w:rsid w:val="00D074E5"/>
    <w:rsid w:val="00D0750D"/>
    <w:rsid w:val="00D078A1"/>
    <w:rsid w:val="00D07A18"/>
    <w:rsid w:val="00D10319"/>
    <w:rsid w:val="00D104DD"/>
    <w:rsid w:val="00D10801"/>
    <w:rsid w:val="00D10C8E"/>
    <w:rsid w:val="00D10DCE"/>
    <w:rsid w:val="00D10FD8"/>
    <w:rsid w:val="00D11187"/>
    <w:rsid w:val="00D11240"/>
    <w:rsid w:val="00D117F2"/>
    <w:rsid w:val="00D1183C"/>
    <w:rsid w:val="00D1189E"/>
    <w:rsid w:val="00D12109"/>
    <w:rsid w:val="00D1225D"/>
    <w:rsid w:val="00D12403"/>
    <w:rsid w:val="00D12709"/>
    <w:rsid w:val="00D12739"/>
    <w:rsid w:val="00D128B6"/>
    <w:rsid w:val="00D1293F"/>
    <w:rsid w:val="00D12970"/>
    <w:rsid w:val="00D12A67"/>
    <w:rsid w:val="00D12D5D"/>
    <w:rsid w:val="00D12F8E"/>
    <w:rsid w:val="00D1327A"/>
    <w:rsid w:val="00D13414"/>
    <w:rsid w:val="00D135FD"/>
    <w:rsid w:val="00D1374B"/>
    <w:rsid w:val="00D138C4"/>
    <w:rsid w:val="00D13A36"/>
    <w:rsid w:val="00D13A53"/>
    <w:rsid w:val="00D13DAC"/>
    <w:rsid w:val="00D13DCF"/>
    <w:rsid w:val="00D13E64"/>
    <w:rsid w:val="00D13E73"/>
    <w:rsid w:val="00D13ED0"/>
    <w:rsid w:val="00D1400C"/>
    <w:rsid w:val="00D1404D"/>
    <w:rsid w:val="00D14227"/>
    <w:rsid w:val="00D142AF"/>
    <w:rsid w:val="00D147B1"/>
    <w:rsid w:val="00D14963"/>
    <w:rsid w:val="00D149EC"/>
    <w:rsid w:val="00D1511C"/>
    <w:rsid w:val="00D15232"/>
    <w:rsid w:val="00D1524A"/>
    <w:rsid w:val="00D153ED"/>
    <w:rsid w:val="00D15420"/>
    <w:rsid w:val="00D15779"/>
    <w:rsid w:val="00D1583A"/>
    <w:rsid w:val="00D158AC"/>
    <w:rsid w:val="00D159C7"/>
    <w:rsid w:val="00D15A56"/>
    <w:rsid w:val="00D15C83"/>
    <w:rsid w:val="00D15E0A"/>
    <w:rsid w:val="00D15F6E"/>
    <w:rsid w:val="00D16115"/>
    <w:rsid w:val="00D16156"/>
    <w:rsid w:val="00D16223"/>
    <w:rsid w:val="00D16259"/>
    <w:rsid w:val="00D16526"/>
    <w:rsid w:val="00D1665F"/>
    <w:rsid w:val="00D166EB"/>
    <w:rsid w:val="00D16943"/>
    <w:rsid w:val="00D16AA2"/>
    <w:rsid w:val="00D16B57"/>
    <w:rsid w:val="00D16D04"/>
    <w:rsid w:val="00D16F9B"/>
    <w:rsid w:val="00D16FAE"/>
    <w:rsid w:val="00D16FCD"/>
    <w:rsid w:val="00D17033"/>
    <w:rsid w:val="00D170F0"/>
    <w:rsid w:val="00D174A1"/>
    <w:rsid w:val="00D175FC"/>
    <w:rsid w:val="00D176C8"/>
    <w:rsid w:val="00D17755"/>
    <w:rsid w:val="00D17BA4"/>
    <w:rsid w:val="00D17CC7"/>
    <w:rsid w:val="00D17D06"/>
    <w:rsid w:val="00D17DBE"/>
    <w:rsid w:val="00D17E13"/>
    <w:rsid w:val="00D17F88"/>
    <w:rsid w:val="00D17FC4"/>
    <w:rsid w:val="00D20074"/>
    <w:rsid w:val="00D2008B"/>
    <w:rsid w:val="00D201B2"/>
    <w:rsid w:val="00D20355"/>
    <w:rsid w:val="00D20498"/>
    <w:rsid w:val="00D20C21"/>
    <w:rsid w:val="00D20D1A"/>
    <w:rsid w:val="00D21134"/>
    <w:rsid w:val="00D21150"/>
    <w:rsid w:val="00D21340"/>
    <w:rsid w:val="00D21358"/>
    <w:rsid w:val="00D2140C"/>
    <w:rsid w:val="00D21547"/>
    <w:rsid w:val="00D21748"/>
    <w:rsid w:val="00D21A9D"/>
    <w:rsid w:val="00D21C9B"/>
    <w:rsid w:val="00D221D9"/>
    <w:rsid w:val="00D22339"/>
    <w:rsid w:val="00D225FB"/>
    <w:rsid w:val="00D22993"/>
    <w:rsid w:val="00D22E40"/>
    <w:rsid w:val="00D23085"/>
    <w:rsid w:val="00D230E7"/>
    <w:rsid w:val="00D230FF"/>
    <w:rsid w:val="00D234CE"/>
    <w:rsid w:val="00D23675"/>
    <w:rsid w:val="00D236E8"/>
    <w:rsid w:val="00D23857"/>
    <w:rsid w:val="00D23935"/>
    <w:rsid w:val="00D239F7"/>
    <w:rsid w:val="00D23A83"/>
    <w:rsid w:val="00D23AF8"/>
    <w:rsid w:val="00D23B5A"/>
    <w:rsid w:val="00D24103"/>
    <w:rsid w:val="00D24188"/>
    <w:rsid w:val="00D24324"/>
    <w:rsid w:val="00D244A7"/>
    <w:rsid w:val="00D244AD"/>
    <w:rsid w:val="00D2468D"/>
    <w:rsid w:val="00D24870"/>
    <w:rsid w:val="00D24B23"/>
    <w:rsid w:val="00D24BE1"/>
    <w:rsid w:val="00D24F45"/>
    <w:rsid w:val="00D25022"/>
    <w:rsid w:val="00D254A0"/>
    <w:rsid w:val="00D2572C"/>
    <w:rsid w:val="00D2575B"/>
    <w:rsid w:val="00D25A89"/>
    <w:rsid w:val="00D25C2F"/>
    <w:rsid w:val="00D25DB1"/>
    <w:rsid w:val="00D25E4F"/>
    <w:rsid w:val="00D25F54"/>
    <w:rsid w:val="00D26081"/>
    <w:rsid w:val="00D267FD"/>
    <w:rsid w:val="00D26A0E"/>
    <w:rsid w:val="00D27823"/>
    <w:rsid w:val="00D27981"/>
    <w:rsid w:val="00D27A91"/>
    <w:rsid w:val="00D27B73"/>
    <w:rsid w:val="00D27C13"/>
    <w:rsid w:val="00D27CC8"/>
    <w:rsid w:val="00D27D0E"/>
    <w:rsid w:val="00D27E6D"/>
    <w:rsid w:val="00D27F57"/>
    <w:rsid w:val="00D27F94"/>
    <w:rsid w:val="00D305DD"/>
    <w:rsid w:val="00D30610"/>
    <w:rsid w:val="00D307BE"/>
    <w:rsid w:val="00D30F71"/>
    <w:rsid w:val="00D31072"/>
    <w:rsid w:val="00D310CF"/>
    <w:rsid w:val="00D31163"/>
    <w:rsid w:val="00D3123F"/>
    <w:rsid w:val="00D314CC"/>
    <w:rsid w:val="00D31B07"/>
    <w:rsid w:val="00D31CB8"/>
    <w:rsid w:val="00D31EB5"/>
    <w:rsid w:val="00D320FB"/>
    <w:rsid w:val="00D322D4"/>
    <w:rsid w:val="00D3298B"/>
    <w:rsid w:val="00D329DF"/>
    <w:rsid w:val="00D32B5F"/>
    <w:rsid w:val="00D32BBB"/>
    <w:rsid w:val="00D32E68"/>
    <w:rsid w:val="00D33168"/>
    <w:rsid w:val="00D333F3"/>
    <w:rsid w:val="00D33716"/>
    <w:rsid w:val="00D337F8"/>
    <w:rsid w:val="00D33A2B"/>
    <w:rsid w:val="00D33A6A"/>
    <w:rsid w:val="00D33E90"/>
    <w:rsid w:val="00D34050"/>
    <w:rsid w:val="00D34125"/>
    <w:rsid w:val="00D341FB"/>
    <w:rsid w:val="00D34328"/>
    <w:rsid w:val="00D345C4"/>
    <w:rsid w:val="00D347C3"/>
    <w:rsid w:val="00D34838"/>
    <w:rsid w:val="00D34856"/>
    <w:rsid w:val="00D349B6"/>
    <w:rsid w:val="00D34CA8"/>
    <w:rsid w:val="00D3592A"/>
    <w:rsid w:val="00D35BE4"/>
    <w:rsid w:val="00D35D27"/>
    <w:rsid w:val="00D35E13"/>
    <w:rsid w:val="00D35E84"/>
    <w:rsid w:val="00D35F93"/>
    <w:rsid w:val="00D3650C"/>
    <w:rsid w:val="00D368F1"/>
    <w:rsid w:val="00D36C91"/>
    <w:rsid w:val="00D36D06"/>
    <w:rsid w:val="00D36D9F"/>
    <w:rsid w:val="00D36E73"/>
    <w:rsid w:val="00D3705A"/>
    <w:rsid w:val="00D3752F"/>
    <w:rsid w:val="00D377F7"/>
    <w:rsid w:val="00D37BD1"/>
    <w:rsid w:val="00D37C02"/>
    <w:rsid w:val="00D37F5F"/>
    <w:rsid w:val="00D40022"/>
    <w:rsid w:val="00D40604"/>
    <w:rsid w:val="00D40FBF"/>
    <w:rsid w:val="00D412DA"/>
    <w:rsid w:val="00D414E3"/>
    <w:rsid w:val="00D4157D"/>
    <w:rsid w:val="00D4167B"/>
    <w:rsid w:val="00D41832"/>
    <w:rsid w:val="00D41840"/>
    <w:rsid w:val="00D41862"/>
    <w:rsid w:val="00D41A04"/>
    <w:rsid w:val="00D41A30"/>
    <w:rsid w:val="00D41E6F"/>
    <w:rsid w:val="00D421EA"/>
    <w:rsid w:val="00D425AA"/>
    <w:rsid w:val="00D42805"/>
    <w:rsid w:val="00D4280C"/>
    <w:rsid w:val="00D428EF"/>
    <w:rsid w:val="00D42995"/>
    <w:rsid w:val="00D42BD2"/>
    <w:rsid w:val="00D42C45"/>
    <w:rsid w:val="00D42E1F"/>
    <w:rsid w:val="00D42EF2"/>
    <w:rsid w:val="00D42F19"/>
    <w:rsid w:val="00D42F2D"/>
    <w:rsid w:val="00D43458"/>
    <w:rsid w:val="00D43B2B"/>
    <w:rsid w:val="00D43B5C"/>
    <w:rsid w:val="00D4411E"/>
    <w:rsid w:val="00D44379"/>
    <w:rsid w:val="00D44479"/>
    <w:rsid w:val="00D444F0"/>
    <w:rsid w:val="00D44517"/>
    <w:rsid w:val="00D44974"/>
    <w:rsid w:val="00D44B83"/>
    <w:rsid w:val="00D44EAD"/>
    <w:rsid w:val="00D44F37"/>
    <w:rsid w:val="00D45270"/>
    <w:rsid w:val="00D454EF"/>
    <w:rsid w:val="00D455FE"/>
    <w:rsid w:val="00D45746"/>
    <w:rsid w:val="00D45811"/>
    <w:rsid w:val="00D458CE"/>
    <w:rsid w:val="00D45980"/>
    <w:rsid w:val="00D45A75"/>
    <w:rsid w:val="00D45D70"/>
    <w:rsid w:val="00D45D78"/>
    <w:rsid w:val="00D46407"/>
    <w:rsid w:val="00D46816"/>
    <w:rsid w:val="00D46A43"/>
    <w:rsid w:val="00D46A73"/>
    <w:rsid w:val="00D46C48"/>
    <w:rsid w:val="00D46CDC"/>
    <w:rsid w:val="00D47155"/>
    <w:rsid w:val="00D471D6"/>
    <w:rsid w:val="00D47412"/>
    <w:rsid w:val="00D475F1"/>
    <w:rsid w:val="00D47733"/>
    <w:rsid w:val="00D4791A"/>
    <w:rsid w:val="00D47AA3"/>
    <w:rsid w:val="00D47BDC"/>
    <w:rsid w:val="00D47E1D"/>
    <w:rsid w:val="00D47F16"/>
    <w:rsid w:val="00D50028"/>
    <w:rsid w:val="00D5072C"/>
    <w:rsid w:val="00D507E3"/>
    <w:rsid w:val="00D50853"/>
    <w:rsid w:val="00D508A0"/>
    <w:rsid w:val="00D50A41"/>
    <w:rsid w:val="00D50D5F"/>
    <w:rsid w:val="00D512E2"/>
    <w:rsid w:val="00D512F4"/>
    <w:rsid w:val="00D51387"/>
    <w:rsid w:val="00D51628"/>
    <w:rsid w:val="00D516E1"/>
    <w:rsid w:val="00D5174E"/>
    <w:rsid w:val="00D517B7"/>
    <w:rsid w:val="00D517BA"/>
    <w:rsid w:val="00D51819"/>
    <w:rsid w:val="00D51896"/>
    <w:rsid w:val="00D51A63"/>
    <w:rsid w:val="00D51CB2"/>
    <w:rsid w:val="00D51F5D"/>
    <w:rsid w:val="00D52033"/>
    <w:rsid w:val="00D522A0"/>
    <w:rsid w:val="00D52405"/>
    <w:rsid w:val="00D5265F"/>
    <w:rsid w:val="00D52698"/>
    <w:rsid w:val="00D527CB"/>
    <w:rsid w:val="00D52889"/>
    <w:rsid w:val="00D528BE"/>
    <w:rsid w:val="00D5291B"/>
    <w:rsid w:val="00D5297D"/>
    <w:rsid w:val="00D52A6A"/>
    <w:rsid w:val="00D52B72"/>
    <w:rsid w:val="00D52DF2"/>
    <w:rsid w:val="00D52E4D"/>
    <w:rsid w:val="00D52F02"/>
    <w:rsid w:val="00D53178"/>
    <w:rsid w:val="00D53758"/>
    <w:rsid w:val="00D5377F"/>
    <w:rsid w:val="00D53A77"/>
    <w:rsid w:val="00D53F78"/>
    <w:rsid w:val="00D54309"/>
    <w:rsid w:val="00D5471D"/>
    <w:rsid w:val="00D548A9"/>
    <w:rsid w:val="00D54A57"/>
    <w:rsid w:val="00D54AA8"/>
    <w:rsid w:val="00D54E55"/>
    <w:rsid w:val="00D54FAA"/>
    <w:rsid w:val="00D5511F"/>
    <w:rsid w:val="00D5518E"/>
    <w:rsid w:val="00D55251"/>
    <w:rsid w:val="00D55397"/>
    <w:rsid w:val="00D5553D"/>
    <w:rsid w:val="00D559A4"/>
    <w:rsid w:val="00D559E0"/>
    <w:rsid w:val="00D55C4E"/>
    <w:rsid w:val="00D5617B"/>
    <w:rsid w:val="00D562BE"/>
    <w:rsid w:val="00D5636E"/>
    <w:rsid w:val="00D56453"/>
    <w:rsid w:val="00D567C5"/>
    <w:rsid w:val="00D5682F"/>
    <w:rsid w:val="00D56B74"/>
    <w:rsid w:val="00D56F95"/>
    <w:rsid w:val="00D56F98"/>
    <w:rsid w:val="00D56FBB"/>
    <w:rsid w:val="00D570AF"/>
    <w:rsid w:val="00D5721A"/>
    <w:rsid w:val="00D57302"/>
    <w:rsid w:val="00D5761F"/>
    <w:rsid w:val="00D57B91"/>
    <w:rsid w:val="00D6010F"/>
    <w:rsid w:val="00D6025E"/>
    <w:rsid w:val="00D609D5"/>
    <w:rsid w:val="00D60ADE"/>
    <w:rsid w:val="00D60E65"/>
    <w:rsid w:val="00D60E98"/>
    <w:rsid w:val="00D61262"/>
    <w:rsid w:val="00D612C9"/>
    <w:rsid w:val="00D613CD"/>
    <w:rsid w:val="00D61863"/>
    <w:rsid w:val="00D61B37"/>
    <w:rsid w:val="00D61DFC"/>
    <w:rsid w:val="00D61EE8"/>
    <w:rsid w:val="00D61F3E"/>
    <w:rsid w:val="00D62192"/>
    <w:rsid w:val="00D621C5"/>
    <w:rsid w:val="00D624CC"/>
    <w:rsid w:val="00D624D2"/>
    <w:rsid w:val="00D62639"/>
    <w:rsid w:val="00D626F3"/>
    <w:rsid w:val="00D62823"/>
    <w:rsid w:val="00D629D3"/>
    <w:rsid w:val="00D62AF9"/>
    <w:rsid w:val="00D62B2C"/>
    <w:rsid w:val="00D62DD1"/>
    <w:rsid w:val="00D63156"/>
    <w:rsid w:val="00D63456"/>
    <w:rsid w:val="00D638C4"/>
    <w:rsid w:val="00D639B0"/>
    <w:rsid w:val="00D63B9A"/>
    <w:rsid w:val="00D63E7F"/>
    <w:rsid w:val="00D6405C"/>
    <w:rsid w:val="00D641A6"/>
    <w:rsid w:val="00D642D0"/>
    <w:rsid w:val="00D6454E"/>
    <w:rsid w:val="00D6477E"/>
    <w:rsid w:val="00D648E6"/>
    <w:rsid w:val="00D64988"/>
    <w:rsid w:val="00D64998"/>
    <w:rsid w:val="00D649E4"/>
    <w:rsid w:val="00D64F20"/>
    <w:rsid w:val="00D654B8"/>
    <w:rsid w:val="00D654FA"/>
    <w:rsid w:val="00D656F5"/>
    <w:rsid w:val="00D65897"/>
    <w:rsid w:val="00D658D7"/>
    <w:rsid w:val="00D65ADC"/>
    <w:rsid w:val="00D65EA5"/>
    <w:rsid w:val="00D66235"/>
    <w:rsid w:val="00D66605"/>
    <w:rsid w:val="00D66773"/>
    <w:rsid w:val="00D6684F"/>
    <w:rsid w:val="00D668F2"/>
    <w:rsid w:val="00D66AC5"/>
    <w:rsid w:val="00D66C97"/>
    <w:rsid w:val="00D66CC0"/>
    <w:rsid w:val="00D67566"/>
    <w:rsid w:val="00D67602"/>
    <w:rsid w:val="00D677F8"/>
    <w:rsid w:val="00D67DE0"/>
    <w:rsid w:val="00D701AD"/>
    <w:rsid w:val="00D704F9"/>
    <w:rsid w:val="00D70946"/>
    <w:rsid w:val="00D70A68"/>
    <w:rsid w:val="00D70AB2"/>
    <w:rsid w:val="00D70AF8"/>
    <w:rsid w:val="00D70B1A"/>
    <w:rsid w:val="00D70BD2"/>
    <w:rsid w:val="00D70EF2"/>
    <w:rsid w:val="00D71436"/>
    <w:rsid w:val="00D714DE"/>
    <w:rsid w:val="00D7159B"/>
    <w:rsid w:val="00D719EC"/>
    <w:rsid w:val="00D71C90"/>
    <w:rsid w:val="00D71D96"/>
    <w:rsid w:val="00D71E23"/>
    <w:rsid w:val="00D71EC6"/>
    <w:rsid w:val="00D72151"/>
    <w:rsid w:val="00D72224"/>
    <w:rsid w:val="00D72D1A"/>
    <w:rsid w:val="00D72EBE"/>
    <w:rsid w:val="00D730FB"/>
    <w:rsid w:val="00D73166"/>
    <w:rsid w:val="00D731EC"/>
    <w:rsid w:val="00D7348C"/>
    <w:rsid w:val="00D73568"/>
    <w:rsid w:val="00D735A3"/>
    <w:rsid w:val="00D735AD"/>
    <w:rsid w:val="00D736FF"/>
    <w:rsid w:val="00D7370E"/>
    <w:rsid w:val="00D7386F"/>
    <w:rsid w:val="00D73EB9"/>
    <w:rsid w:val="00D73EEF"/>
    <w:rsid w:val="00D74040"/>
    <w:rsid w:val="00D7422F"/>
    <w:rsid w:val="00D74BF8"/>
    <w:rsid w:val="00D7517E"/>
    <w:rsid w:val="00D75185"/>
    <w:rsid w:val="00D75BA0"/>
    <w:rsid w:val="00D75C20"/>
    <w:rsid w:val="00D75CA5"/>
    <w:rsid w:val="00D76185"/>
    <w:rsid w:val="00D76194"/>
    <w:rsid w:val="00D762EB"/>
    <w:rsid w:val="00D768FD"/>
    <w:rsid w:val="00D7690B"/>
    <w:rsid w:val="00D76991"/>
    <w:rsid w:val="00D769D0"/>
    <w:rsid w:val="00D76A60"/>
    <w:rsid w:val="00D76B06"/>
    <w:rsid w:val="00D76E6D"/>
    <w:rsid w:val="00D76EFF"/>
    <w:rsid w:val="00D77080"/>
    <w:rsid w:val="00D7732D"/>
    <w:rsid w:val="00D773E1"/>
    <w:rsid w:val="00D774E0"/>
    <w:rsid w:val="00D779E1"/>
    <w:rsid w:val="00D77A8A"/>
    <w:rsid w:val="00D77D69"/>
    <w:rsid w:val="00D77F9A"/>
    <w:rsid w:val="00D800C1"/>
    <w:rsid w:val="00D802BF"/>
    <w:rsid w:val="00D8035B"/>
    <w:rsid w:val="00D803C6"/>
    <w:rsid w:val="00D80445"/>
    <w:rsid w:val="00D805AC"/>
    <w:rsid w:val="00D80889"/>
    <w:rsid w:val="00D808C7"/>
    <w:rsid w:val="00D809C2"/>
    <w:rsid w:val="00D80AA1"/>
    <w:rsid w:val="00D80BDF"/>
    <w:rsid w:val="00D80F3E"/>
    <w:rsid w:val="00D80F8A"/>
    <w:rsid w:val="00D80FDF"/>
    <w:rsid w:val="00D81232"/>
    <w:rsid w:val="00D815D0"/>
    <w:rsid w:val="00D81748"/>
    <w:rsid w:val="00D818FF"/>
    <w:rsid w:val="00D81A5D"/>
    <w:rsid w:val="00D81A96"/>
    <w:rsid w:val="00D81B29"/>
    <w:rsid w:val="00D81C73"/>
    <w:rsid w:val="00D81EB9"/>
    <w:rsid w:val="00D820E6"/>
    <w:rsid w:val="00D8217D"/>
    <w:rsid w:val="00D82313"/>
    <w:rsid w:val="00D8238B"/>
    <w:rsid w:val="00D82425"/>
    <w:rsid w:val="00D82748"/>
    <w:rsid w:val="00D828DB"/>
    <w:rsid w:val="00D82B26"/>
    <w:rsid w:val="00D82DA9"/>
    <w:rsid w:val="00D82F5E"/>
    <w:rsid w:val="00D83170"/>
    <w:rsid w:val="00D83184"/>
    <w:rsid w:val="00D83546"/>
    <w:rsid w:val="00D83729"/>
    <w:rsid w:val="00D8389C"/>
    <w:rsid w:val="00D83E96"/>
    <w:rsid w:val="00D8424A"/>
    <w:rsid w:val="00D84399"/>
    <w:rsid w:val="00D8464F"/>
    <w:rsid w:val="00D84853"/>
    <w:rsid w:val="00D84BB6"/>
    <w:rsid w:val="00D84E05"/>
    <w:rsid w:val="00D84EE3"/>
    <w:rsid w:val="00D850B6"/>
    <w:rsid w:val="00D85275"/>
    <w:rsid w:val="00D854B7"/>
    <w:rsid w:val="00D85521"/>
    <w:rsid w:val="00D8556F"/>
    <w:rsid w:val="00D85698"/>
    <w:rsid w:val="00D862B0"/>
    <w:rsid w:val="00D8632B"/>
    <w:rsid w:val="00D866C9"/>
    <w:rsid w:val="00D86BCE"/>
    <w:rsid w:val="00D86C30"/>
    <w:rsid w:val="00D86D1A"/>
    <w:rsid w:val="00D86D21"/>
    <w:rsid w:val="00D86D55"/>
    <w:rsid w:val="00D86D9A"/>
    <w:rsid w:val="00D86E4D"/>
    <w:rsid w:val="00D86E50"/>
    <w:rsid w:val="00D86EAD"/>
    <w:rsid w:val="00D86FE5"/>
    <w:rsid w:val="00D8712A"/>
    <w:rsid w:val="00D876B5"/>
    <w:rsid w:val="00D87B80"/>
    <w:rsid w:val="00D87C1F"/>
    <w:rsid w:val="00D87E0C"/>
    <w:rsid w:val="00D9004D"/>
    <w:rsid w:val="00D907C8"/>
    <w:rsid w:val="00D9090B"/>
    <w:rsid w:val="00D90937"/>
    <w:rsid w:val="00D90A3A"/>
    <w:rsid w:val="00D90A89"/>
    <w:rsid w:val="00D90B75"/>
    <w:rsid w:val="00D90C8C"/>
    <w:rsid w:val="00D90D59"/>
    <w:rsid w:val="00D91090"/>
    <w:rsid w:val="00D912AE"/>
    <w:rsid w:val="00D9162B"/>
    <w:rsid w:val="00D916EF"/>
    <w:rsid w:val="00D91A71"/>
    <w:rsid w:val="00D91E72"/>
    <w:rsid w:val="00D924CF"/>
    <w:rsid w:val="00D92B61"/>
    <w:rsid w:val="00D92CD8"/>
    <w:rsid w:val="00D92D5A"/>
    <w:rsid w:val="00D92E58"/>
    <w:rsid w:val="00D92EFE"/>
    <w:rsid w:val="00D93011"/>
    <w:rsid w:val="00D9306D"/>
    <w:rsid w:val="00D93444"/>
    <w:rsid w:val="00D934A8"/>
    <w:rsid w:val="00D93859"/>
    <w:rsid w:val="00D939FA"/>
    <w:rsid w:val="00D93A15"/>
    <w:rsid w:val="00D93B10"/>
    <w:rsid w:val="00D93B9E"/>
    <w:rsid w:val="00D93D24"/>
    <w:rsid w:val="00D93F8C"/>
    <w:rsid w:val="00D93FF0"/>
    <w:rsid w:val="00D946A0"/>
    <w:rsid w:val="00D94AEE"/>
    <w:rsid w:val="00D94DB8"/>
    <w:rsid w:val="00D9538B"/>
    <w:rsid w:val="00D953A9"/>
    <w:rsid w:val="00D9559F"/>
    <w:rsid w:val="00D95794"/>
    <w:rsid w:val="00D9592C"/>
    <w:rsid w:val="00D95BCE"/>
    <w:rsid w:val="00D95CAC"/>
    <w:rsid w:val="00D95E2F"/>
    <w:rsid w:val="00D96296"/>
    <w:rsid w:val="00D9633B"/>
    <w:rsid w:val="00D9665D"/>
    <w:rsid w:val="00D96793"/>
    <w:rsid w:val="00D968C4"/>
    <w:rsid w:val="00D9693E"/>
    <w:rsid w:val="00D96A3A"/>
    <w:rsid w:val="00D97253"/>
    <w:rsid w:val="00D9730A"/>
    <w:rsid w:val="00D9731F"/>
    <w:rsid w:val="00D97352"/>
    <w:rsid w:val="00D97566"/>
    <w:rsid w:val="00D97630"/>
    <w:rsid w:val="00D97C91"/>
    <w:rsid w:val="00D97CBC"/>
    <w:rsid w:val="00D97E66"/>
    <w:rsid w:val="00DA011E"/>
    <w:rsid w:val="00DA04EE"/>
    <w:rsid w:val="00DA0582"/>
    <w:rsid w:val="00DA0A30"/>
    <w:rsid w:val="00DA0D30"/>
    <w:rsid w:val="00DA0D92"/>
    <w:rsid w:val="00DA1031"/>
    <w:rsid w:val="00DA105A"/>
    <w:rsid w:val="00DA11BE"/>
    <w:rsid w:val="00DA129F"/>
    <w:rsid w:val="00DA15C4"/>
    <w:rsid w:val="00DA1962"/>
    <w:rsid w:val="00DA19AF"/>
    <w:rsid w:val="00DA1AA4"/>
    <w:rsid w:val="00DA1B62"/>
    <w:rsid w:val="00DA22B7"/>
    <w:rsid w:val="00DA233A"/>
    <w:rsid w:val="00DA2461"/>
    <w:rsid w:val="00DA246B"/>
    <w:rsid w:val="00DA2B9A"/>
    <w:rsid w:val="00DA2D4B"/>
    <w:rsid w:val="00DA2E47"/>
    <w:rsid w:val="00DA2E54"/>
    <w:rsid w:val="00DA30BF"/>
    <w:rsid w:val="00DA30C6"/>
    <w:rsid w:val="00DA3140"/>
    <w:rsid w:val="00DA32D4"/>
    <w:rsid w:val="00DA3524"/>
    <w:rsid w:val="00DA352A"/>
    <w:rsid w:val="00DA3BBB"/>
    <w:rsid w:val="00DA3C0E"/>
    <w:rsid w:val="00DA3E0E"/>
    <w:rsid w:val="00DA3E1E"/>
    <w:rsid w:val="00DA3EA0"/>
    <w:rsid w:val="00DA40AD"/>
    <w:rsid w:val="00DA42A7"/>
    <w:rsid w:val="00DA43D2"/>
    <w:rsid w:val="00DA47A9"/>
    <w:rsid w:val="00DA4DB4"/>
    <w:rsid w:val="00DA5064"/>
    <w:rsid w:val="00DA506A"/>
    <w:rsid w:val="00DA508A"/>
    <w:rsid w:val="00DA50DC"/>
    <w:rsid w:val="00DA50F4"/>
    <w:rsid w:val="00DA5126"/>
    <w:rsid w:val="00DA53EA"/>
    <w:rsid w:val="00DA5413"/>
    <w:rsid w:val="00DA58CA"/>
    <w:rsid w:val="00DA596D"/>
    <w:rsid w:val="00DA59CD"/>
    <w:rsid w:val="00DA5F68"/>
    <w:rsid w:val="00DA63AE"/>
    <w:rsid w:val="00DA649E"/>
    <w:rsid w:val="00DA65DB"/>
    <w:rsid w:val="00DA677F"/>
    <w:rsid w:val="00DA6948"/>
    <w:rsid w:val="00DA6CA8"/>
    <w:rsid w:val="00DA6ED1"/>
    <w:rsid w:val="00DA6EEE"/>
    <w:rsid w:val="00DA6F38"/>
    <w:rsid w:val="00DA6FF1"/>
    <w:rsid w:val="00DA7093"/>
    <w:rsid w:val="00DA7A23"/>
    <w:rsid w:val="00DA7AD2"/>
    <w:rsid w:val="00DA7DDB"/>
    <w:rsid w:val="00DA7E7D"/>
    <w:rsid w:val="00DA7EA9"/>
    <w:rsid w:val="00DA7ED3"/>
    <w:rsid w:val="00DB023A"/>
    <w:rsid w:val="00DB02B9"/>
    <w:rsid w:val="00DB02E0"/>
    <w:rsid w:val="00DB03D4"/>
    <w:rsid w:val="00DB0438"/>
    <w:rsid w:val="00DB0501"/>
    <w:rsid w:val="00DB069A"/>
    <w:rsid w:val="00DB0C31"/>
    <w:rsid w:val="00DB0C40"/>
    <w:rsid w:val="00DB0CB1"/>
    <w:rsid w:val="00DB0D72"/>
    <w:rsid w:val="00DB0FE9"/>
    <w:rsid w:val="00DB117A"/>
    <w:rsid w:val="00DB1267"/>
    <w:rsid w:val="00DB1582"/>
    <w:rsid w:val="00DB15AD"/>
    <w:rsid w:val="00DB1677"/>
    <w:rsid w:val="00DB17C9"/>
    <w:rsid w:val="00DB1853"/>
    <w:rsid w:val="00DB18AF"/>
    <w:rsid w:val="00DB194B"/>
    <w:rsid w:val="00DB1B41"/>
    <w:rsid w:val="00DB1C39"/>
    <w:rsid w:val="00DB1DC2"/>
    <w:rsid w:val="00DB1ED8"/>
    <w:rsid w:val="00DB2980"/>
    <w:rsid w:val="00DB2A17"/>
    <w:rsid w:val="00DB2B17"/>
    <w:rsid w:val="00DB2CC3"/>
    <w:rsid w:val="00DB2F89"/>
    <w:rsid w:val="00DB2FF8"/>
    <w:rsid w:val="00DB336B"/>
    <w:rsid w:val="00DB33C4"/>
    <w:rsid w:val="00DB33D7"/>
    <w:rsid w:val="00DB36F4"/>
    <w:rsid w:val="00DB3787"/>
    <w:rsid w:val="00DB3A14"/>
    <w:rsid w:val="00DB3AE7"/>
    <w:rsid w:val="00DB3E6E"/>
    <w:rsid w:val="00DB3ECA"/>
    <w:rsid w:val="00DB3FBA"/>
    <w:rsid w:val="00DB403A"/>
    <w:rsid w:val="00DB41B8"/>
    <w:rsid w:val="00DB4410"/>
    <w:rsid w:val="00DB45EB"/>
    <w:rsid w:val="00DB4644"/>
    <w:rsid w:val="00DB4CD0"/>
    <w:rsid w:val="00DB4DBA"/>
    <w:rsid w:val="00DB4E5F"/>
    <w:rsid w:val="00DB4E90"/>
    <w:rsid w:val="00DB4FF7"/>
    <w:rsid w:val="00DB51CE"/>
    <w:rsid w:val="00DB52FD"/>
    <w:rsid w:val="00DB54B5"/>
    <w:rsid w:val="00DB5509"/>
    <w:rsid w:val="00DB551A"/>
    <w:rsid w:val="00DB55CE"/>
    <w:rsid w:val="00DB5994"/>
    <w:rsid w:val="00DB5A76"/>
    <w:rsid w:val="00DB5D15"/>
    <w:rsid w:val="00DB5D79"/>
    <w:rsid w:val="00DB5FBB"/>
    <w:rsid w:val="00DB6162"/>
    <w:rsid w:val="00DB6418"/>
    <w:rsid w:val="00DB674E"/>
    <w:rsid w:val="00DB6754"/>
    <w:rsid w:val="00DB675D"/>
    <w:rsid w:val="00DB6781"/>
    <w:rsid w:val="00DB687C"/>
    <w:rsid w:val="00DB6995"/>
    <w:rsid w:val="00DB6B71"/>
    <w:rsid w:val="00DB6CC7"/>
    <w:rsid w:val="00DB6D30"/>
    <w:rsid w:val="00DB75E9"/>
    <w:rsid w:val="00DB7899"/>
    <w:rsid w:val="00DB791F"/>
    <w:rsid w:val="00DB7A2E"/>
    <w:rsid w:val="00DC00AC"/>
    <w:rsid w:val="00DC00F5"/>
    <w:rsid w:val="00DC0357"/>
    <w:rsid w:val="00DC0449"/>
    <w:rsid w:val="00DC084D"/>
    <w:rsid w:val="00DC0C9E"/>
    <w:rsid w:val="00DC0D66"/>
    <w:rsid w:val="00DC0F66"/>
    <w:rsid w:val="00DC11F4"/>
    <w:rsid w:val="00DC143C"/>
    <w:rsid w:val="00DC1882"/>
    <w:rsid w:val="00DC1F23"/>
    <w:rsid w:val="00DC27A7"/>
    <w:rsid w:val="00DC294A"/>
    <w:rsid w:val="00DC2A3A"/>
    <w:rsid w:val="00DC2D30"/>
    <w:rsid w:val="00DC2E77"/>
    <w:rsid w:val="00DC3092"/>
    <w:rsid w:val="00DC3458"/>
    <w:rsid w:val="00DC352E"/>
    <w:rsid w:val="00DC366D"/>
    <w:rsid w:val="00DC3831"/>
    <w:rsid w:val="00DC3940"/>
    <w:rsid w:val="00DC3ACD"/>
    <w:rsid w:val="00DC3AFA"/>
    <w:rsid w:val="00DC3F57"/>
    <w:rsid w:val="00DC3FD4"/>
    <w:rsid w:val="00DC4355"/>
    <w:rsid w:val="00DC4431"/>
    <w:rsid w:val="00DC44B0"/>
    <w:rsid w:val="00DC4569"/>
    <w:rsid w:val="00DC4687"/>
    <w:rsid w:val="00DC4950"/>
    <w:rsid w:val="00DC495D"/>
    <w:rsid w:val="00DC4D91"/>
    <w:rsid w:val="00DC4FC7"/>
    <w:rsid w:val="00DC51BF"/>
    <w:rsid w:val="00DC520C"/>
    <w:rsid w:val="00DC53B1"/>
    <w:rsid w:val="00DC53ED"/>
    <w:rsid w:val="00DC54CB"/>
    <w:rsid w:val="00DC5915"/>
    <w:rsid w:val="00DC59BE"/>
    <w:rsid w:val="00DC5B64"/>
    <w:rsid w:val="00DC5C26"/>
    <w:rsid w:val="00DC5DB7"/>
    <w:rsid w:val="00DC5F63"/>
    <w:rsid w:val="00DC5F87"/>
    <w:rsid w:val="00DC60A1"/>
    <w:rsid w:val="00DC6131"/>
    <w:rsid w:val="00DC6135"/>
    <w:rsid w:val="00DC6154"/>
    <w:rsid w:val="00DC638E"/>
    <w:rsid w:val="00DC6407"/>
    <w:rsid w:val="00DC64EF"/>
    <w:rsid w:val="00DC65D0"/>
    <w:rsid w:val="00DC6897"/>
    <w:rsid w:val="00DC6CB2"/>
    <w:rsid w:val="00DC6D61"/>
    <w:rsid w:val="00DC73C0"/>
    <w:rsid w:val="00DC76A8"/>
    <w:rsid w:val="00DC76AA"/>
    <w:rsid w:val="00DC77E5"/>
    <w:rsid w:val="00DC780C"/>
    <w:rsid w:val="00DC791E"/>
    <w:rsid w:val="00DC7A50"/>
    <w:rsid w:val="00DC7B1D"/>
    <w:rsid w:val="00DC7B2F"/>
    <w:rsid w:val="00DC7D13"/>
    <w:rsid w:val="00DC7F57"/>
    <w:rsid w:val="00DD011D"/>
    <w:rsid w:val="00DD04C4"/>
    <w:rsid w:val="00DD0977"/>
    <w:rsid w:val="00DD0A96"/>
    <w:rsid w:val="00DD0C2A"/>
    <w:rsid w:val="00DD0D13"/>
    <w:rsid w:val="00DD1028"/>
    <w:rsid w:val="00DD1084"/>
    <w:rsid w:val="00DD131C"/>
    <w:rsid w:val="00DD1380"/>
    <w:rsid w:val="00DD13A6"/>
    <w:rsid w:val="00DD156E"/>
    <w:rsid w:val="00DD1873"/>
    <w:rsid w:val="00DD1BA7"/>
    <w:rsid w:val="00DD1EEC"/>
    <w:rsid w:val="00DD22E6"/>
    <w:rsid w:val="00DD22FF"/>
    <w:rsid w:val="00DD2505"/>
    <w:rsid w:val="00DD2687"/>
    <w:rsid w:val="00DD2D34"/>
    <w:rsid w:val="00DD30A2"/>
    <w:rsid w:val="00DD3201"/>
    <w:rsid w:val="00DD323B"/>
    <w:rsid w:val="00DD3593"/>
    <w:rsid w:val="00DD3626"/>
    <w:rsid w:val="00DD3D19"/>
    <w:rsid w:val="00DD3D5F"/>
    <w:rsid w:val="00DD3F84"/>
    <w:rsid w:val="00DD41DC"/>
    <w:rsid w:val="00DD474E"/>
    <w:rsid w:val="00DD48A8"/>
    <w:rsid w:val="00DD4CED"/>
    <w:rsid w:val="00DD4EBD"/>
    <w:rsid w:val="00DD4F26"/>
    <w:rsid w:val="00DD59AE"/>
    <w:rsid w:val="00DD59E1"/>
    <w:rsid w:val="00DD5A1B"/>
    <w:rsid w:val="00DD5D20"/>
    <w:rsid w:val="00DD5E3B"/>
    <w:rsid w:val="00DD6154"/>
    <w:rsid w:val="00DD619C"/>
    <w:rsid w:val="00DD67B8"/>
    <w:rsid w:val="00DD69C3"/>
    <w:rsid w:val="00DD6B1B"/>
    <w:rsid w:val="00DD6CE7"/>
    <w:rsid w:val="00DD6EA4"/>
    <w:rsid w:val="00DD715C"/>
    <w:rsid w:val="00DD72E1"/>
    <w:rsid w:val="00DD768A"/>
    <w:rsid w:val="00DD7855"/>
    <w:rsid w:val="00DD7C45"/>
    <w:rsid w:val="00DD7D86"/>
    <w:rsid w:val="00DD7E28"/>
    <w:rsid w:val="00DD7F79"/>
    <w:rsid w:val="00DE0129"/>
    <w:rsid w:val="00DE0493"/>
    <w:rsid w:val="00DE04C9"/>
    <w:rsid w:val="00DE075C"/>
    <w:rsid w:val="00DE0BD6"/>
    <w:rsid w:val="00DE0FB7"/>
    <w:rsid w:val="00DE11ED"/>
    <w:rsid w:val="00DE127B"/>
    <w:rsid w:val="00DE134C"/>
    <w:rsid w:val="00DE13A0"/>
    <w:rsid w:val="00DE1709"/>
    <w:rsid w:val="00DE17FD"/>
    <w:rsid w:val="00DE18BC"/>
    <w:rsid w:val="00DE18CC"/>
    <w:rsid w:val="00DE1D49"/>
    <w:rsid w:val="00DE2450"/>
    <w:rsid w:val="00DE2697"/>
    <w:rsid w:val="00DE26E0"/>
    <w:rsid w:val="00DE2FDB"/>
    <w:rsid w:val="00DE3171"/>
    <w:rsid w:val="00DE33B8"/>
    <w:rsid w:val="00DE363C"/>
    <w:rsid w:val="00DE36D0"/>
    <w:rsid w:val="00DE37BC"/>
    <w:rsid w:val="00DE38BE"/>
    <w:rsid w:val="00DE3B4F"/>
    <w:rsid w:val="00DE3C30"/>
    <w:rsid w:val="00DE3C9F"/>
    <w:rsid w:val="00DE3E4F"/>
    <w:rsid w:val="00DE457C"/>
    <w:rsid w:val="00DE48DC"/>
    <w:rsid w:val="00DE55B8"/>
    <w:rsid w:val="00DE5647"/>
    <w:rsid w:val="00DE59F9"/>
    <w:rsid w:val="00DE5AF9"/>
    <w:rsid w:val="00DE5B0E"/>
    <w:rsid w:val="00DE5EA6"/>
    <w:rsid w:val="00DE5F63"/>
    <w:rsid w:val="00DE6151"/>
    <w:rsid w:val="00DE6556"/>
    <w:rsid w:val="00DE65E0"/>
    <w:rsid w:val="00DE696D"/>
    <w:rsid w:val="00DE6A33"/>
    <w:rsid w:val="00DE6D51"/>
    <w:rsid w:val="00DE6D5E"/>
    <w:rsid w:val="00DE6E44"/>
    <w:rsid w:val="00DE71B5"/>
    <w:rsid w:val="00DE74FA"/>
    <w:rsid w:val="00DE7553"/>
    <w:rsid w:val="00DE7597"/>
    <w:rsid w:val="00DE7A40"/>
    <w:rsid w:val="00DE7B7D"/>
    <w:rsid w:val="00DE7DF7"/>
    <w:rsid w:val="00DE7DFC"/>
    <w:rsid w:val="00DF0058"/>
    <w:rsid w:val="00DF007C"/>
    <w:rsid w:val="00DF009A"/>
    <w:rsid w:val="00DF00FC"/>
    <w:rsid w:val="00DF0484"/>
    <w:rsid w:val="00DF06E9"/>
    <w:rsid w:val="00DF09CC"/>
    <w:rsid w:val="00DF0FDC"/>
    <w:rsid w:val="00DF1215"/>
    <w:rsid w:val="00DF1539"/>
    <w:rsid w:val="00DF16E5"/>
    <w:rsid w:val="00DF173C"/>
    <w:rsid w:val="00DF1B43"/>
    <w:rsid w:val="00DF1DA3"/>
    <w:rsid w:val="00DF1DD3"/>
    <w:rsid w:val="00DF1DD4"/>
    <w:rsid w:val="00DF1F1B"/>
    <w:rsid w:val="00DF22DC"/>
    <w:rsid w:val="00DF23C2"/>
    <w:rsid w:val="00DF2E2D"/>
    <w:rsid w:val="00DF2F68"/>
    <w:rsid w:val="00DF3578"/>
    <w:rsid w:val="00DF3709"/>
    <w:rsid w:val="00DF38AC"/>
    <w:rsid w:val="00DF3B1A"/>
    <w:rsid w:val="00DF415F"/>
    <w:rsid w:val="00DF46F2"/>
    <w:rsid w:val="00DF4954"/>
    <w:rsid w:val="00DF49CD"/>
    <w:rsid w:val="00DF4AFC"/>
    <w:rsid w:val="00DF4B62"/>
    <w:rsid w:val="00DF4F24"/>
    <w:rsid w:val="00DF4F8E"/>
    <w:rsid w:val="00DF5507"/>
    <w:rsid w:val="00DF55E5"/>
    <w:rsid w:val="00DF56A2"/>
    <w:rsid w:val="00DF5D19"/>
    <w:rsid w:val="00DF5F11"/>
    <w:rsid w:val="00DF5F20"/>
    <w:rsid w:val="00DF5FA9"/>
    <w:rsid w:val="00DF6C3E"/>
    <w:rsid w:val="00DF71E0"/>
    <w:rsid w:val="00DF72C5"/>
    <w:rsid w:val="00DF7593"/>
    <w:rsid w:val="00DF75EF"/>
    <w:rsid w:val="00DF7601"/>
    <w:rsid w:val="00DF7A1F"/>
    <w:rsid w:val="00DF7B63"/>
    <w:rsid w:val="00DF7C03"/>
    <w:rsid w:val="00DF7D4D"/>
    <w:rsid w:val="00DF7EEB"/>
    <w:rsid w:val="00E00056"/>
    <w:rsid w:val="00E003DA"/>
    <w:rsid w:val="00E00480"/>
    <w:rsid w:val="00E004FE"/>
    <w:rsid w:val="00E00783"/>
    <w:rsid w:val="00E007EF"/>
    <w:rsid w:val="00E00AF3"/>
    <w:rsid w:val="00E00BBC"/>
    <w:rsid w:val="00E00C11"/>
    <w:rsid w:val="00E00C19"/>
    <w:rsid w:val="00E00C45"/>
    <w:rsid w:val="00E00CD6"/>
    <w:rsid w:val="00E00D6D"/>
    <w:rsid w:val="00E01183"/>
    <w:rsid w:val="00E01383"/>
    <w:rsid w:val="00E01783"/>
    <w:rsid w:val="00E01ACE"/>
    <w:rsid w:val="00E01C88"/>
    <w:rsid w:val="00E01FFA"/>
    <w:rsid w:val="00E02046"/>
    <w:rsid w:val="00E02108"/>
    <w:rsid w:val="00E027BD"/>
    <w:rsid w:val="00E02AFD"/>
    <w:rsid w:val="00E02C47"/>
    <w:rsid w:val="00E02D2F"/>
    <w:rsid w:val="00E02D50"/>
    <w:rsid w:val="00E02F9D"/>
    <w:rsid w:val="00E03066"/>
    <w:rsid w:val="00E03073"/>
    <w:rsid w:val="00E032D5"/>
    <w:rsid w:val="00E032DD"/>
    <w:rsid w:val="00E0340D"/>
    <w:rsid w:val="00E03550"/>
    <w:rsid w:val="00E03625"/>
    <w:rsid w:val="00E0385C"/>
    <w:rsid w:val="00E03A5A"/>
    <w:rsid w:val="00E03C50"/>
    <w:rsid w:val="00E04080"/>
    <w:rsid w:val="00E044F0"/>
    <w:rsid w:val="00E047E3"/>
    <w:rsid w:val="00E0490F"/>
    <w:rsid w:val="00E04C43"/>
    <w:rsid w:val="00E04D5D"/>
    <w:rsid w:val="00E04DD8"/>
    <w:rsid w:val="00E04E06"/>
    <w:rsid w:val="00E04F64"/>
    <w:rsid w:val="00E0517E"/>
    <w:rsid w:val="00E05437"/>
    <w:rsid w:val="00E05478"/>
    <w:rsid w:val="00E054BC"/>
    <w:rsid w:val="00E055F6"/>
    <w:rsid w:val="00E05770"/>
    <w:rsid w:val="00E059F1"/>
    <w:rsid w:val="00E05A66"/>
    <w:rsid w:val="00E05AF8"/>
    <w:rsid w:val="00E05BFE"/>
    <w:rsid w:val="00E06299"/>
    <w:rsid w:val="00E066BB"/>
    <w:rsid w:val="00E067BE"/>
    <w:rsid w:val="00E0685F"/>
    <w:rsid w:val="00E06AC4"/>
    <w:rsid w:val="00E06CB4"/>
    <w:rsid w:val="00E06F2E"/>
    <w:rsid w:val="00E07159"/>
    <w:rsid w:val="00E0731A"/>
    <w:rsid w:val="00E0735D"/>
    <w:rsid w:val="00E07458"/>
    <w:rsid w:val="00E0762E"/>
    <w:rsid w:val="00E077CC"/>
    <w:rsid w:val="00E07ADA"/>
    <w:rsid w:val="00E07B32"/>
    <w:rsid w:val="00E1019F"/>
    <w:rsid w:val="00E102C6"/>
    <w:rsid w:val="00E1058A"/>
    <w:rsid w:val="00E1073A"/>
    <w:rsid w:val="00E107FD"/>
    <w:rsid w:val="00E109B8"/>
    <w:rsid w:val="00E10CBF"/>
    <w:rsid w:val="00E10F3A"/>
    <w:rsid w:val="00E115E3"/>
    <w:rsid w:val="00E11634"/>
    <w:rsid w:val="00E118D9"/>
    <w:rsid w:val="00E11B12"/>
    <w:rsid w:val="00E11BB4"/>
    <w:rsid w:val="00E11C30"/>
    <w:rsid w:val="00E11D5B"/>
    <w:rsid w:val="00E12069"/>
    <w:rsid w:val="00E12092"/>
    <w:rsid w:val="00E121AD"/>
    <w:rsid w:val="00E122AD"/>
    <w:rsid w:val="00E12475"/>
    <w:rsid w:val="00E12563"/>
    <w:rsid w:val="00E12747"/>
    <w:rsid w:val="00E12B61"/>
    <w:rsid w:val="00E12EDA"/>
    <w:rsid w:val="00E12F2D"/>
    <w:rsid w:val="00E12FA8"/>
    <w:rsid w:val="00E131D7"/>
    <w:rsid w:val="00E131DC"/>
    <w:rsid w:val="00E13342"/>
    <w:rsid w:val="00E133F2"/>
    <w:rsid w:val="00E1359F"/>
    <w:rsid w:val="00E13721"/>
    <w:rsid w:val="00E13748"/>
    <w:rsid w:val="00E13A9E"/>
    <w:rsid w:val="00E13C07"/>
    <w:rsid w:val="00E1417D"/>
    <w:rsid w:val="00E14180"/>
    <w:rsid w:val="00E14560"/>
    <w:rsid w:val="00E14803"/>
    <w:rsid w:val="00E1480A"/>
    <w:rsid w:val="00E14960"/>
    <w:rsid w:val="00E14BDE"/>
    <w:rsid w:val="00E14C3C"/>
    <w:rsid w:val="00E15449"/>
    <w:rsid w:val="00E15522"/>
    <w:rsid w:val="00E1559C"/>
    <w:rsid w:val="00E155D2"/>
    <w:rsid w:val="00E155E6"/>
    <w:rsid w:val="00E15648"/>
    <w:rsid w:val="00E15753"/>
    <w:rsid w:val="00E15869"/>
    <w:rsid w:val="00E15DEF"/>
    <w:rsid w:val="00E15E9E"/>
    <w:rsid w:val="00E1605A"/>
    <w:rsid w:val="00E1617F"/>
    <w:rsid w:val="00E16198"/>
    <w:rsid w:val="00E164C9"/>
    <w:rsid w:val="00E169A6"/>
    <w:rsid w:val="00E16A67"/>
    <w:rsid w:val="00E16F35"/>
    <w:rsid w:val="00E173BD"/>
    <w:rsid w:val="00E1753D"/>
    <w:rsid w:val="00E17784"/>
    <w:rsid w:val="00E178D0"/>
    <w:rsid w:val="00E1796E"/>
    <w:rsid w:val="00E17AC1"/>
    <w:rsid w:val="00E17BDC"/>
    <w:rsid w:val="00E17D9D"/>
    <w:rsid w:val="00E17E15"/>
    <w:rsid w:val="00E17F2B"/>
    <w:rsid w:val="00E203CF"/>
    <w:rsid w:val="00E20601"/>
    <w:rsid w:val="00E20832"/>
    <w:rsid w:val="00E20CC5"/>
    <w:rsid w:val="00E20DF3"/>
    <w:rsid w:val="00E2109F"/>
    <w:rsid w:val="00E21140"/>
    <w:rsid w:val="00E2134D"/>
    <w:rsid w:val="00E2141F"/>
    <w:rsid w:val="00E216A6"/>
    <w:rsid w:val="00E21C22"/>
    <w:rsid w:val="00E21C53"/>
    <w:rsid w:val="00E21CA5"/>
    <w:rsid w:val="00E22325"/>
    <w:rsid w:val="00E22363"/>
    <w:rsid w:val="00E2237D"/>
    <w:rsid w:val="00E22620"/>
    <w:rsid w:val="00E22711"/>
    <w:rsid w:val="00E22757"/>
    <w:rsid w:val="00E22A8A"/>
    <w:rsid w:val="00E22BA3"/>
    <w:rsid w:val="00E22BEF"/>
    <w:rsid w:val="00E22C24"/>
    <w:rsid w:val="00E22C63"/>
    <w:rsid w:val="00E22E0C"/>
    <w:rsid w:val="00E22F3E"/>
    <w:rsid w:val="00E2313B"/>
    <w:rsid w:val="00E231A5"/>
    <w:rsid w:val="00E23516"/>
    <w:rsid w:val="00E23630"/>
    <w:rsid w:val="00E2383A"/>
    <w:rsid w:val="00E23C0C"/>
    <w:rsid w:val="00E23E9D"/>
    <w:rsid w:val="00E241C8"/>
    <w:rsid w:val="00E242F4"/>
    <w:rsid w:val="00E2440D"/>
    <w:rsid w:val="00E2450D"/>
    <w:rsid w:val="00E245FC"/>
    <w:rsid w:val="00E2470F"/>
    <w:rsid w:val="00E24755"/>
    <w:rsid w:val="00E2483E"/>
    <w:rsid w:val="00E24BFC"/>
    <w:rsid w:val="00E24C1C"/>
    <w:rsid w:val="00E24C72"/>
    <w:rsid w:val="00E24E49"/>
    <w:rsid w:val="00E25005"/>
    <w:rsid w:val="00E25019"/>
    <w:rsid w:val="00E2534D"/>
    <w:rsid w:val="00E26113"/>
    <w:rsid w:val="00E26388"/>
    <w:rsid w:val="00E26475"/>
    <w:rsid w:val="00E26648"/>
    <w:rsid w:val="00E266A4"/>
    <w:rsid w:val="00E267F7"/>
    <w:rsid w:val="00E26DCE"/>
    <w:rsid w:val="00E271FF"/>
    <w:rsid w:val="00E27320"/>
    <w:rsid w:val="00E2737A"/>
    <w:rsid w:val="00E2738B"/>
    <w:rsid w:val="00E277CF"/>
    <w:rsid w:val="00E279D4"/>
    <w:rsid w:val="00E27A17"/>
    <w:rsid w:val="00E27ACF"/>
    <w:rsid w:val="00E27C59"/>
    <w:rsid w:val="00E27CBC"/>
    <w:rsid w:val="00E301ED"/>
    <w:rsid w:val="00E30221"/>
    <w:rsid w:val="00E307CF"/>
    <w:rsid w:val="00E308A3"/>
    <w:rsid w:val="00E30904"/>
    <w:rsid w:val="00E30A6F"/>
    <w:rsid w:val="00E30C2B"/>
    <w:rsid w:val="00E30EF7"/>
    <w:rsid w:val="00E30FF1"/>
    <w:rsid w:val="00E310D4"/>
    <w:rsid w:val="00E3114B"/>
    <w:rsid w:val="00E31453"/>
    <w:rsid w:val="00E315A0"/>
    <w:rsid w:val="00E3183D"/>
    <w:rsid w:val="00E31AAB"/>
    <w:rsid w:val="00E31EDF"/>
    <w:rsid w:val="00E31F02"/>
    <w:rsid w:val="00E32135"/>
    <w:rsid w:val="00E32A3E"/>
    <w:rsid w:val="00E32CF2"/>
    <w:rsid w:val="00E32EC9"/>
    <w:rsid w:val="00E33022"/>
    <w:rsid w:val="00E33259"/>
    <w:rsid w:val="00E33817"/>
    <w:rsid w:val="00E339B1"/>
    <w:rsid w:val="00E33AF9"/>
    <w:rsid w:val="00E33B52"/>
    <w:rsid w:val="00E33B5F"/>
    <w:rsid w:val="00E33B94"/>
    <w:rsid w:val="00E33BF0"/>
    <w:rsid w:val="00E34297"/>
    <w:rsid w:val="00E3433F"/>
    <w:rsid w:val="00E34382"/>
    <w:rsid w:val="00E344BB"/>
    <w:rsid w:val="00E34719"/>
    <w:rsid w:val="00E34732"/>
    <w:rsid w:val="00E3490E"/>
    <w:rsid w:val="00E3499F"/>
    <w:rsid w:val="00E34D91"/>
    <w:rsid w:val="00E35306"/>
    <w:rsid w:val="00E353A7"/>
    <w:rsid w:val="00E35503"/>
    <w:rsid w:val="00E35847"/>
    <w:rsid w:val="00E359A8"/>
    <w:rsid w:val="00E359E7"/>
    <w:rsid w:val="00E35BDD"/>
    <w:rsid w:val="00E35DD2"/>
    <w:rsid w:val="00E35E8F"/>
    <w:rsid w:val="00E36005"/>
    <w:rsid w:val="00E36368"/>
    <w:rsid w:val="00E368C2"/>
    <w:rsid w:val="00E36C7A"/>
    <w:rsid w:val="00E36D9B"/>
    <w:rsid w:val="00E36DC7"/>
    <w:rsid w:val="00E36EC4"/>
    <w:rsid w:val="00E36F1C"/>
    <w:rsid w:val="00E3731C"/>
    <w:rsid w:val="00E3748A"/>
    <w:rsid w:val="00E376B4"/>
    <w:rsid w:val="00E37AB1"/>
    <w:rsid w:val="00E37B10"/>
    <w:rsid w:val="00E37C7E"/>
    <w:rsid w:val="00E40016"/>
    <w:rsid w:val="00E4018A"/>
    <w:rsid w:val="00E4030C"/>
    <w:rsid w:val="00E40400"/>
    <w:rsid w:val="00E404A6"/>
    <w:rsid w:val="00E4072E"/>
    <w:rsid w:val="00E40986"/>
    <w:rsid w:val="00E40BF8"/>
    <w:rsid w:val="00E40F28"/>
    <w:rsid w:val="00E4117A"/>
    <w:rsid w:val="00E4141E"/>
    <w:rsid w:val="00E41AC2"/>
    <w:rsid w:val="00E41B3F"/>
    <w:rsid w:val="00E41C14"/>
    <w:rsid w:val="00E427A4"/>
    <w:rsid w:val="00E428A0"/>
    <w:rsid w:val="00E42B8A"/>
    <w:rsid w:val="00E42CBC"/>
    <w:rsid w:val="00E42D2F"/>
    <w:rsid w:val="00E43038"/>
    <w:rsid w:val="00E431D0"/>
    <w:rsid w:val="00E43321"/>
    <w:rsid w:val="00E4351C"/>
    <w:rsid w:val="00E4358D"/>
    <w:rsid w:val="00E4362E"/>
    <w:rsid w:val="00E4368E"/>
    <w:rsid w:val="00E43882"/>
    <w:rsid w:val="00E438B4"/>
    <w:rsid w:val="00E43AB6"/>
    <w:rsid w:val="00E43B3E"/>
    <w:rsid w:val="00E44171"/>
    <w:rsid w:val="00E44181"/>
    <w:rsid w:val="00E4419A"/>
    <w:rsid w:val="00E442AA"/>
    <w:rsid w:val="00E44792"/>
    <w:rsid w:val="00E44A0D"/>
    <w:rsid w:val="00E44B1D"/>
    <w:rsid w:val="00E44CB8"/>
    <w:rsid w:val="00E44D47"/>
    <w:rsid w:val="00E44F86"/>
    <w:rsid w:val="00E4510D"/>
    <w:rsid w:val="00E451CD"/>
    <w:rsid w:val="00E451DC"/>
    <w:rsid w:val="00E45273"/>
    <w:rsid w:val="00E455C1"/>
    <w:rsid w:val="00E457C4"/>
    <w:rsid w:val="00E458BD"/>
    <w:rsid w:val="00E45B38"/>
    <w:rsid w:val="00E45C8B"/>
    <w:rsid w:val="00E45CC6"/>
    <w:rsid w:val="00E45FA6"/>
    <w:rsid w:val="00E461CC"/>
    <w:rsid w:val="00E461D9"/>
    <w:rsid w:val="00E46218"/>
    <w:rsid w:val="00E463DD"/>
    <w:rsid w:val="00E4677A"/>
    <w:rsid w:val="00E467A9"/>
    <w:rsid w:val="00E46D23"/>
    <w:rsid w:val="00E471D7"/>
    <w:rsid w:val="00E47309"/>
    <w:rsid w:val="00E47454"/>
    <w:rsid w:val="00E478EA"/>
    <w:rsid w:val="00E47B5C"/>
    <w:rsid w:val="00E47B68"/>
    <w:rsid w:val="00E47F75"/>
    <w:rsid w:val="00E5014D"/>
    <w:rsid w:val="00E50232"/>
    <w:rsid w:val="00E5033B"/>
    <w:rsid w:val="00E5037F"/>
    <w:rsid w:val="00E506EE"/>
    <w:rsid w:val="00E507D6"/>
    <w:rsid w:val="00E50BDB"/>
    <w:rsid w:val="00E50C39"/>
    <w:rsid w:val="00E51073"/>
    <w:rsid w:val="00E510D9"/>
    <w:rsid w:val="00E51116"/>
    <w:rsid w:val="00E513AC"/>
    <w:rsid w:val="00E51605"/>
    <w:rsid w:val="00E517B8"/>
    <w:rsid w:val="00E5194B"/>
    <w:rsid w:val="00E5196C"/>
    <w:rsid w:val="00E51B0D"/>
    <w:rsid w:val="00E51CB0"/>
    <w:rsid w:val="00E51CC5"/>
    <w:rsid w:val="00E51D24"/>
    <w:rsid w:val="00E51D3A"/>
    <w:rsid w:val="00E51D91"/>
    <w:rsid w:val="00E51DA8"/>
    <w:rsid w:val="00E51E75"/>
    <w:rsid w:val="00E51ECC"/>
    <w:rsid w:val="00E5207F"/>
    <w:rsid w:val="00E52C32"/>
    <w:rsid w:val="00E52F21"/>
    <w:rsid w:val="00E5300C"/>
    <w:rsid w:val="00E533DA"/>
    <w:rsid w:val="00E536C6"/>
    <w:rsid w:val="00E536E9"/>
    <w:rsid w:val="00E536F2"/>
    <w:rsid w:val="00E53861"/>
    <w:rsid w:val="00E5387A"/>
    <w:rsid w:val="00E539F6"/>
    <w:rsid w:val="00E53FE8"/>
    <w:rsid w:val="00E54051"/>
    <w:rsid w:val="00E549CE"/>
    <w:rsid w:val="00E54A24"/>
    <w:rsid w:val="00E54BEF"/>
    <w:rsid w:val="00E54CBF"/>
    <w:rsid w:val="00E55062"/>
    <w:rsid w:val="00E550BE"/>
    <w:rsid w:val="00E55343"/>
    <w:rsid w:val="00E55383"/>
    <w:rsid w:val="00E5544F"/>
    <w:rsid w:val="00E55743"/>
    <w:rsid w:val="00E55BD7"/>
    <w:rsid w:val="00E55C1D"/>
    <w:rsid w:val="00E55C25"/>
    <w:rsid w:val="00E55CCE"/>
    <w:rsid w:val="00E55E45"/>
    <w:rsid w:val="00E55EB7"/>
    <w:rsid w:val="00E55EC0"/>
    <w:rsid w:val="00E55EDB"/>
    <w:rsid w:val="00E5625C"/>
    <w:rsid w:val="00E562ED"/>
    <w:rsid w:val="00E565E9"/>
    <w:rsid w:val="00E56993"/>
    <w:rsid w:val="00E56EA1"/>
    <w:rsid w:val="00E56F4A"/>
    <w:rsid w:val="00E57044"/>
    <w:rsid w:val="00E5707C"/>
    <w:rsid w:val="00E570A5"/>
    <w:rsid w:val="00E575C3"/>
    <w:rsid w:val="00E57AFE"/>
    <w:rsid w:val="00E57E15"/>
    <w:rsid w:val="00E6028B"/>
    <w:rsid w:val="00E60467"/>
    <w:rsid w:val="00E604E2"/>
    <w:rsid w:val="00E604F7"/>
    <w:rsid w:val="00E60603"/>
    <w:rsid w:val="00E60B8D"/>
    <w:rsid w:val="00E60CB8"/>
    <w:rsid w:val="00E610FB"/>
    <w:rsid w:val="00E6122E"/>
    <w:rsid w:val="00E6168E"/>
    <w:rsid w:val="00E6170E"/>
    <w:rsid w:val="00E618AC"/>
    <w:rsid w:val="00E61A43"/>
    <w:rsid w:val="00E61E50"/>
    <w:rsid w:val="00E61F94"/>
    <w:rsid w:val="00E62077"/>
    <w:rsid w:val="00E62125"/>
    <w:rsid w:val="00E622B7"/>
    <w:rsid w:val="00E6234E"/>
    <w:rsid w:val="00E62625"/>
    <w:rsid w:val="00E626EC"/>
    <w:rsid w:val="00E627D7"/>
    <w:rsid w:val="00E6297D"/>
    <w:rsid w:val="00E62990"/>
    <w:rsid w:val="00E62D0D"/>
    <w:rsid w:val="00E62DBA"/>
    <w:rsid w:val="00E63065"/>
    <w:rsid w:val="00E63377"/>
    <w:rsid w:val="00E633FE"/>
    <w:rsid w:val="00E63834"/>
    <w:rsid w:val="00E63999"/>
    <w:rsid w:val="00E63D08"/>
    <w:rsid w:val="00E63D84"/>
    <w:rsid w:val="00E63EC3"/>
    <w:rsid w:val="00E63EDA"/>
    <w:rsid w:val="00E64103"/>
    <w:rsid w:val="00E64812"/>
    <w:rsid w:val="00E64928"/>
    <w:rsid w:val="00E64B8D"/>
    <w:rsid w:val="00E64BF5"/>
    <w:rsid w:val="00E64DBF"/>
    <w:rsid w:val="00E64E21"/>
    <w:rsid w:val="00E64E3A"/>
    <w:rsid w:val="00E64E82"/>
    <w:rsid w:val="00E64ECA"/>
    <w:rsid w:val="00E64EFC"/>
    <w:rsid w:val="00E65051"/>
    <w:rsid w:val="00E652D9"/>
    <w:rsid w:val="00E65755"/>
    <w:rsid w:val="00E65BDE"/>
    <w:rsid w:val="00E65C2C"/>
    <w:rsid w:val="00E65C32"/>
    <w:rsid w:val="00E65CA7"/>
    <w:rsid w:val="00E65DF0"/>
    <w:rsid w:val="00E6607D"/>
    <w:rsid w:val="00E661EB"/>
    <w:rsid w:val="00E6672D"/>
    <w:rsid w:val="00E66802"/>
    <w:rsid w:val="00E669DA"/>
    <w:rsid w:val="00E66AE8"/>
    <w:rsid w:val="00E66C32"/>
    <w:rsid w:val="00E66CF5"/>
    <w:rsid w:val="00E67121"/>
    <w:rsid w:val="00E671FE"/>
    <w:rsid w:val="00E674B1"/>
    <w:rsid w:val="00E67553"/>
    <w:rsid w:val="00E67661"/>
    <w:rsid w:val="00E67830"/>
    <w:rsid w:val="00E6786D"/>
    <w:rsid w:val="00E678EF"/>
    <w:rsid w:val="00E67A47"/>
    <w:rsid w:val="00E67A97"/>
    <w:rsid w:val="00E67BFD"/>
    <w:rsid w:val="00E67CA6"/>
    <w:rsid w:val="00E703AA"/>
    <w:rsid w:val="00E703DA"/>
    <w:rsid w:val="00E70662"/>
    <w:rsid w:val="00E706C6"/>
    <w:rsid w:val="00E71204"/>
    <w:rsid w:val="00E715BD"/>
    <w:rsid w:val="00E71663"/>
    <w:rsid w:val="00E7198B"/>
    <w:rsid w:val="00E71B0F"/>
    <w:rsid w:val="00E71B3C"/>
    <w:rsid w:val="00E71EB9"/>
    <w:rsid w:val="00E722EB"/>
    <w:rsid w:val="00E724E8"/>
    <w:rsid w:val="00E725EF"/>
    <w:rsid w:val="00E729F0"/>
    <w:rsid w:val="00E72AEF"/>
    <w:rsid w:val="00E72E7A"/>
    <w:rsid w:val="00E72FC3"/>
    <w:rsid w:val="00E73179"/>
    <w:rsid w:val="00E734DD"/>
    <w:rsid w:val="00E735D4"/>
    <w:rsid w:val="00E73ABD"/>
    <w:rsid w:val="00E73F5C"/>
    <w:rsid w:val="00E73FFC"/>
    <w:rsid w:val="00E748A5"/>
    <w:rsid w:val="00E74E2E"/>
    <w:rsid w:val="00E75012"/>
    <w:rsid w:val="00E75166"/>
    <w:rsid w:val="00E75204"/>
    <w:rsid w:val="00E75215"/>
    <w:rsid w:val="00E752AE"/>
    <w:rsid w:val="00E752F4"/>
    <w:rsid w:val="00E75580"/>
    <w:rsid w:val="00E7589D"/>
    <w:rsid w:val="00E758B4"/>
    <w:rsid w:val="00E75918"/>
    <w:rsid w:val="00E759FE"/>
    <w:rsid w:val="00E75CFD"/>
    <w:rsid w:val="00E7600F"/>
    <w:rsid w:val="00E76053"/>
    <w:rsid w:val="00E7622E"/>
    <w:rsid w:val="00E763FE"/>
    <w:rsid w:val="00E766DE"/>
    <w:rsid w:val="00E766FD"/>
    <w:rsid w:val="00E7671E"/>
    <w:rsid w:val="00E76944"/>
    <w:rsid w:val="00E76B3C"/>
    <w:rsid w:val="00E76E63"/>
    <w:rsid w:val="00E76FC2"/>
    <w:rsid w:val="00E76FFA"/>
    <w:rsid w:val="00E7711F"/>
    <w:rsid w:val="00E77210"/>
    <w:rsid w:val="00E77408"/>
    <w:rsid w:val="00E774C0"/>
    <w:rsid w:val="00E77A36"/>
    <w:rsid w:val="00E77AC1"/>
    <w:rsid w:val="00E77ACA"/>
    <w:rsid w:val="00E77AF4"/>
    <w:rsid w:val="00E77B13"/>
    <w:rsid w:val="00E77CCE"/>
    <w:rsid w:val="00E77E78"/>
    <w:rsid w:val="00E77EA3"/>
    <w:rsid w:val="00E77F11"/>
    <w:rsid w:val="00E80074"/>
    <w:rsid w:val="00E8014C"/>
    <w:rsid w:val="00E801E0"/>
    <w:rsid w:val="00E8055A"/>
    <w:rsid w:val="00E80826"/>
    <w:rsid w:val="00E80BDA"/>
    <w:rsid w:val="00E80C35"/>
    <w:rsid w:val="00E80C9A"/>
    <w:rsid w:val="00E80D82"/>
    <w:rsid w:val="00E80FC7"/>
    <w:rsid w:val="00E810D6"/>
    <w:rsid w:val="00E812BE"/>
    <w:rsid w:val="00E815D7"/>
    <w:rsid w:val="00E81D08"/>
    <w:rsid w:val="00E81DE6"/>
    <w:rsid w:val="00E822FE"/>
    <w:rsid w:val="00E82499"/>
    <w:rsid w:val="00E82807"/>
    <w:rsid w:val="00E82C25"/>
    <w:rsid w:val="00E82E16"/>
    <w:rsid w:val="00E82E36"/>
    <w:rsid w:val="00E82E47"/>
    <w:rsid w:val="00E82F3B"/>
    <w:rsid w:val="00E82F78"/>
    <w:rsid w:val="00E82F89"/>
    <w:rsid w:val="00E82FE5"/>
    <w:rsid w:val="00E82FF6"/>
    <w:rsid w:val="00E836AD"/>
    <w:rsid w:val="00E83872"/>
    <w:rsid w:val="00E839FC"/>
    <w:rsid w:val="00E83B4C"/>
    <w:rsid w:val="00E83C6F"/>
    <w:rsid w:val="00E83CE1"/>
    <w:rsid w:val="00E83D15"/>
    <w:rsid w:val="00E83E4D"/>
    <w:rsid w:val="00E840F3"/>
    <w:rsid w:val="00E84192"/>
    <w:rsid w:val="00E84289"/>
    <w:rsid w:val="00E843A3"/>
    <w:rsid w:val="00E84C1C"/>
    <w:rsid w:val="00E84D89"/>
    <w:rsid w:val="00E850DE"/>
    <w:rsid w:val="00E850F3"/>
    <w:rsid w:val="00E859EA"/>
    <w:rsid w:val="00E85C8D"/>
    <w:rsid w:val="00E85CD5"/>
    <w:rsid w:val="00E85E70"/>
    <w:rsid w:val="00E8605B"/>
    <w:rsid w:val="00E8649A"/>
    <w:rsid w:val="00E86514"/>
    <w:rsid w:val="00E86722"/>
    <w:rsid w:val="00E86899"/>
    <w:rsid w:val="00E86962"/>
    <w:rsid w:val="00E869D5"/>
    <w:rsid w:val="00E869FC"/>
    <w:rsid w:val="00E86F3F"/>
    <w:rsid w:val="00E87328"/>
    <w:rsid w:val="00E8738D"/>
    <w:rsid w:val="00E873A5"/>
    <w:rsid w:val="00E873FA"/>
    <w:rsid w:val="00E87432"/>
    <w:rsid w:val="00E87454"/>
    <w:rsid w:val="00E8763C"/>
    <w:rsid w:val="00E876F8"/>
    <w:rsid w:val="00E87D0F"/>
    <w:rsid w:val="00E87D48"/>
    <w:rsid w:val="00E87DC5"/>
    <w:rsid w:val="00E90564"/>
    <w:rsid w:val="00E907E6"/>
    <w:rsid w:val="00E90A2E"/>
    <w:rsid w:val="00E90D63"/>
    <w:rsid w:val="00E90DE4"/>
    <w:rsid w:val="00E91033"/>
    <w:rsid w:val="00E914B3"/>
    <w:rsid w:val="00E915FC"/>
    <w:rsid w:val="00E9162F"/>
    <w:rsid w:val="00E917EF"/>
    <w:rsid w:val="00E91866"/>
    <w:rsid w:val="00E91918"/>
    <w:rsid w:val="00E91A89"/>
    <w:rsid w:val="00E91ABE"/>
    <w:rsid w:val="00E91ACB"/>
    <w:rsid w:val="00E91B0D"/>
    <w:rsid w:val="00E91BC3"/>
    <w:rsid w:val="00E91C7E"/>
    <w:rsid w:val="00E91FBD"/>
    <w:rsid w:val="00E91FDB"/>
    <w:rsid w:val="00E92415"/>
    <w:rsid w:val="00E925BA"/>
    <w:rsid w:val="00E925C0"/>
    <w:rsid w:val="00E92730"/>
    <w:rsid w:val="00E927D0"/>
    <w:rsid w:val="00E92B09"/>
    <w:rsid w:val="00E93165"/>
    <w:rsid w:val="00E931A5"/>
    <w:rsid w:val="00E9339F"/>
    <w:rsid w:val="00E937C4"/>
    <w:rsid w:val="00E93B19"/>
    <w:rsid w:val="00E93BE9"/>
    <w:rsid w:val="00E93BED"/>
    <w:rsid w:val="00E93D12"/>
    <w:rsid w:val="00E9404D"/>
    <w:rsid w:val="00E94279"/>
    <w:rsid w:val="00E943B8"/>
    <w:rsid w:val="00E94444"/>
    <w:rsid w:val="00E94477"/>
    <w:rsid w:val="00E9477D"/>
    <w:rsid w:val="00E94884"/>
    <w:rsid w:val="00E94C20"/>
    <w:rsid w:val="00E94C70"/>
    <w:rsid w:val="00E94DF9"/>
    <w:rsid w:val="00E94EC9"/>
    <w:rsid w:val="00E94F65"/>
    <w:rsid w:val="00E952E5"/>
    <w:rsid w:val="00E953B8"/>
    <w:rsid w:val="00E9546D"/>
    <w:rsid w:val="00E95533"/>
    <w:rsid w:val="00E955D2"/>
    <w:rsid w:val="00E959E5"/>
    <w:rsid w:val="00E95A18"/>
    <w:rsid w:val="00E95A55"/>
    <w:rsid w:val="00E95BCC"/>
    <w:rsid w:val="00E95BF5"/>
    <w:rsid w:val="00E95E08"/>
    <w:rsid w:val="00E96010"/>
    <w:rsid w:val="00E961F7"/>
    <w:rsid w:val="00E962DA"/>
    <w:rsid w:val="00E9630B"/>
    <w:rsid w:val="00E96349"/>
    <w:rsid w:val="00E96BAA"/>
    <w:rsid w:val="00E96ED2"/>
    <w:rsid w:val="00E970BE"/>
    <w:rsid w:val="00E976A6"/>
    <w:rsid w:val="00E97A95"/>
    <w:rsid w:val="00E97B2C"/>
    <w:rsid w:val="00E97DC5"/>
    <w:rsid w:val="00E97FD9"/>
    <w:rsid w:val="00EA00D8"/>
    <w:rsid w:val="00EA0109"/>
    <w:rsid w:val="00EA0234"/>
    <w:rsid w:val="00EA059D"/>
    <w:rsid w:val="00EA0B91"/>
    <w:rsid w:val="00EA0DCF"/>
    <w:rsid w:val="00EA1207"/>
    <w:rsid w:val="00EA1464"/>
    <w:rsid w:val="00EA14C6"/>
    <w:rsid w:val="00EA17FE"/>
    <w:rsid w:val="00EA182A"/>
    <w:rsid w:val="00EA1931"/>
    <w:rsid w:val="00EA198F"/>
    <w:rsid w:val="00EA1AB0"/>
    <w:rsid w:val="00EA1C3C"/>
    <w:rsid w:val="00EA1EFE"/>
    <w:rsid w:val="00EA20BE"/>
    <w:rsid w:val="00EA21AB"/>
    <w:rsid w:val="00EA2B18"/>
    <w:rsid w:val="00EA2D00"/>
    <w:rsid w:val="00EA2E2D"/>
    <w:rsid w:val="00EA2EFF"/>
    <w:rsid w:val="00EA30A4"/>
    <w:rsid w:val="00EA372A"/>
    <w:rsid w:val="00EA3AF9"/>
    <w:rsid w:val="00EA431E"/>
    <w:rsid w:val="00EA4531"/>
    <w:rsid w:val="00EA45D5"/>
    <w:rsid w:val="00EA4662"/>
    <w:rsid w:val="00EA46B4"/>
    <w:rsid w:val="00EA4775"/>
    <w:rsid w:val="00EA47A4"/>
    <w:rsid w:val="00EA498A"/>
    <w:rsid w:val="00EA4B90"/>
    <w:rsid w:val="00EA4C6D"/>
    <w:rsid w:val="00EA4F0A"/>
    <w:rsid w:val="00EA5129"/>
    <w:rsid w:val="00EA520E"/>
    <w:rsid w:val="00EA5372"/>
    <w:rsid w:val="00EA53D5"/>
    <w:rsid w:val="00EA5821"/>
    <w:rsid w:val="00EA5939"/>
    <w:rsid w:val="00EA5B6D"/>
    <w:rsid w:val="00EA5CF9"/>
    <w:rsid w:val="00EA6128"/>
    <w:rsid w:val="00EA6166"/>
    <w:rsid w:val="00EA61BE"/>
    <w:rsid w:val="00EA61C5"/>
    <w:rsid w:val="00EA6262"/>
    <w:rsid w:val="00EA643A"/>
    <w:rsid w:val="00EA6F6F"/>
    <w:rsid w:val="00EA6FD3"/>
    <w:rsid w:val="00EA7364"/>
    <w:rsid w:val="00EA7832"/>
    <w:rsid w:val="00EA7923"/>
    <w:rsid w:val="00EA7FA3"/>
    <w:rsid w:val="00EB00AF"/>
    <w:rsid w:val="00EB016C"/>
    <w:rsid w:val="00EB01EB"/>
    <w:rsid w:val="00EB02B3"/>
    <w:rsid w:val="00EB03B1"/>
    <w:rsid w:val="00EB0534"/>
    <w:rsid w:val="00EB06C9"/>
    <w:rsid w:val="00EB0A8E"/>
    <w:rsid w:val="00EB0DD4"/>
    <w:rsid w:val="00EB1225"/>
    <w:rsid w:val="00EB1312"/>
    <w:rsid w:val="00EB17EB"/>
    <w:rsid w:val="00EB19C2"/>
    <w:rsid w:val="00EB1C23"/>
    <w:rsid w:val="00EB1E40"/>
    <w:rsid w:val="00EB1FB5"/>
    <w:rsid w:val="00EB209E"/>
    <w:rsid w:val="00EB2666"/>
    <w:rsid w:val="00EB293B"/>
    <w:rsid w:val="00EB29F6"/>
    <w:rsid w:val="00EB2BA4"/>
    <w:rsid w:val="00EB32B8"/>
    <w:rsid w:val="00EB33E9"/>
    <w:rsid w:val="00EB3523"/>
    <w:rsid w:val="00EB426D"/>
    <w:rsid w:val="00EB42C8"/>
    <w:rsid w:val="00EB44B9"/>
    <w:rsid w:val="00EB4749"/>
    <w:rsid w:val="00EB48AB"/>
    <w:rsid w:val="00EB4A45"/>
    <w:rsid w:val="00EB4C64"/>
    <w:rsid w:val="00EB4C7E"/>
    <w:rsid w:val="00EB4CC8"/>
    <w:rsid w:val="00EB4FC6"/>
    <w:rsid w:val="00EB5016"/>
    <w:rsid w:val="00EB520C"/>
    <w:rsid w:val="00EB53ED"/>
    <w:rsid w:val="00EB57A9"/>
    <w:rsid w:val="00EB58C6"/>
    <w:rsid w:val="00EB598A"/>
    <w:rsid w:val="00EB5AF8"/>
    <w:rsid w:val="00EB5CD1"/>
    <w:rsid w:val="00EB5CED"/>
    <w:rsid w:val="00EB6049"/>
    <w:rsid w:val="00EB6696"/>
    <w:rsid w:val="00EB67BD"/>
    <w:rsid w:val="00EB6A66"/>
    <w:rsid w:val="00EB6A80"/>
    <w:rsid w:val="00EB6AAD"/>
    <w:rsid w:val="00EB6D08"/>
    <w:rsid w:val="00EB6F65"/>
    <w:rsid w:val="00EB6FFC"/>
    <w:rsid w:val="00EB700C"/>
    <w:rsid w:val="00EB7091"/>
    <w:rsid w:val="00EB71B8"/>
    <w:rsid w:val="00EB7489"/>
    <w:rsid w:val="00EB7792"/>
    <w:rsid w:val="00EB7AFF"/>
    <w:rsid w:val="00EB7CE5"/>
    <w:rsid w:val="00EB7F7B"/>
    <w:rsid w:val="00EC0227"/>
    <w:rsid w:val="00EC036C"/>
    <w:rsid w:val="00EC03C0"/>
    <w:rsid w:val="00EC055F"/>
    <w:rsid w:val="00EC0628"/>
    <w:rsid w:val="00EC06D1"/>
    <w:rsid w:val="00EC0993"/>
    <w:rsid w:val="00EC0B58"/>
    <w:rsid w:val="00EC0B68"/>
    <w:rsid w:val="00EC0CB0"/>
    <w:rsid w:val="00EC0DAE"/>
    <w:rsid w:val="00EC0F32"/>
    <w:rsid w:val="00EC1006"/>
    <w:rsid w:val="00EC11A8"/>
    <w:rsid w:val="00EC140D"/>
    <w:rsid w:val="00EC1598"/>
    <w:rsid w:val="00EC1835"/>
    <w:rsid w:val="00EC18C1"/>
    <w:rsid w:val="00EC1956"/>
    <w:rsid w:val="00EC1995"/>
    <w:rsid w:val="00EC1C19"/>
    <w:rsid w:val="00EC1E3C"/>
    <w:rsid w:val="00EC20B4"/>
    <w:rsid w:val="00EC21C8"/>
    <w:rsid w:val="00EC2248"/>
    <w:rsid w:val="00EC2536"/>
    <w:rsid w:val="00EC277E"/>
    <w:rsid w:val="00EC288B"/>
    <w:rsid w:val="00EC28BA"/>
    <w:rsid w:val="00EC2A41"/>
    <w:rsid w:val="00EC2EFC"/>
    <w:rsid w:val="00EC324B"/>
    <w:rsid w:val="00EC358D"/>
    <w:rsid w:val="00EC3835"/>
    <w:rsid w:val="00EC3851"/>
    <w:rsid w:val="00EC3968"/>
    <w:rsid w:val="00EC39F4"/>
    <w:rsid w:val="00EC3BAA"/>
    <w:rsid w:val="00EC3C2C"/>
    <w:rsid w:val="00EC3CBE"/>
    <w:rsid w:val="00EC3EEA"/>
    <w:rsid w:val="00EC3F4C"/>
    <w:rsid w:val="00EC406F"/>
    <w:rsid w:val="00EC42DB"/>
    <w:rsid w:val="00EC44CB"/>
    <w:rsid w:val="00EC4699"/>
    <w:rsid w:val="00EC46A9"/>
    <w:rsid w:val="00EC4782"/>
    <w:rsid w:val="00EC4804"/>
    <w:rsid w:val="00EC4F5D"/>
    <w:rsid w:val="00EC4FA1"/>
    <w:rsid w:val="00EC50FA"/>
    <w:rsid w:val="00EC53E3"/>
    <w:rsid w:val="00EC54A0"/>
    <w:rsid w:val="00EC55F1"/>
    <w:rsid w:val="00EC56AE"/>
    <w:rsid w:val="00EC5B5F"/>
    <w:rsid w:val="00EC5C16"/>
    <w:rsid w:val="00EC6461"/>
    <w:rsid w:val="00EC69BC"/>
    <w:rsid w:val="00EC6A59"/>
    <w:rsid w:val="00EC6BCD"/>
    <w:rsid w:val="00EC6C54"/>
    <w:rsid w:val="00EC6CC9"/>
    <w:rsid w:val="00EC6F5A"/>
    <w:rsid w:val="00EC7012"/>
    <w:rsid w:val="00EC71DD"/>
    <w:rsid w:val="00EC7377"/>
    <w:rsid w:val="00EC7760"/>
    <w:rsid w:val="00EC7B78"/>
    <w:rsid w:val="00EC7BEA"/>
    <w:rsid w:val="00EC7EF9"/>
    <w:rsid w:val="00EC7FFE"/>
    <w:rsid w:val="00ED0146"/>
    <w:rsid w:val="00ED02C3"/>
    <w:rsid w:val="00ED03CE"/>
    <w:rsid w:val="00ED047E"/>
    <w:rsid w:val="00ED07A2"/>
    <w:rsid w:val="00ED0A8D"/>
    <w:rsid w:val="00ED0AE8"/>
    <w:rsid w:val="00ED0AEB"/>
    <w:rsid w:val="00ED0C92"/>
    <w:rsid w:val="00ED0DC4"/>
    <w:rsid w:val="00ED0E15"/>
    <w:rsid w:val="00ED10BD"/>
    <w:rsid w:val="00ED1295"/>
    <w:rsid w:val="00ED14D0"/>
    <w:rsid w:val="00ED14F0"/>
    <w:rsid w:val="00ED1578"/>
    <w:rsid w:val="00ED16D7"/>
    <w:rsid w:val="00ED1AEF"/>
    <w:rsid w:val="00ED1BE7"/>
    <w:rsid w:val="00ED1D96"/>
    <w:rsid w:val="00ED1EA0"/>
    <w:rsid w:val="00ED23E9"/>
    <w:rsid w:val="00ED242A"/>
    <w:rsid w:val="00ED2501"/>
    <w:rsid w:val="00ED2541"/>
    <w:rsid w:val="00ED258E"/>
    <w:rsid w:val="00ED2740"/>
    <w:rsid w:val="00ED27A5"/>
    <w:rsid w:val="00ED282E"/>
    <w:rsid w:val="00ED2C2A"/>
    <w:rsid w:val="00ED2C4A"/>
    <w:rsid w:val="00ED2C9F"/>
    <w:rsid w:val="00ED2CA5"/>
    <w:rsid w:val="00ED2CD3"/>
    <w:rsid w:val="00ED30F8"/>
    <w:rsid w:val="00ED3517"/>
    <w:rsid w:val="00ED358C"/>
    <w:rsid w:val="00ED3D2D"/>
    <w:rsid w:val="00ED3D44"/>
    <w:rsid w:val="00ED3E7C"/>
    <w:rsid w:val="00ED41DE"/>
    <w:rsid w:val="00ED4219"/>
    <w:rsid w:val="00ED4418"/>
    <w:rsid w:val="00ED49EC"/>
    <w:rsid w:val="00ED4C06"/>
    <w:rsid w:val="00ED518B"/>
    <w:rsid w:val="00ED51D6"/>
    <w:rsid w:val="00ED5255"/>
    <w:rsid w:val="00ED54E3"/>
    <w:rsid w:val="00ED5832"/>
    <w:rsid w:val="00ED5904"/>
    <w:rsid w:val="00ED5B39"/>
    <w:rsid w:val="00ED5BC8"/>
    <w:rsid w:val="00ED5CC6"/>
    <w:rsid w:val="00ED5FA6"/>
    <w:rsid w:val="00ED69DB"/>
    <w:rsid w:val="00ED6A02"/>
    <w:rsid w:val="00ED6DF5"/>
    <w:rsid w:val="00ED6E15"/>
    <w:rsid w:val="00ED6E6D"/>
    <w:rsid w:val="00ED6E8A"/>
    <w:rsid w:val="00ED717F"/>
    <w:rsid w:val="00ED7360"/>
    <w:rsid w:val="00ED737F"/>
    <w:rsid w:val="00ED739A"/>
    <w:rsid w:val="00ED74C3"/>
    <w:rsid w:val="00ED758A"/>
    <w:rsid w:val="00ED759E"/>
    <w:rsid w:val="00ED75E3"/>
    <w:rsid w:val="00ED76EC"/>
    <w:rsid w:val="00ED7732"/>
    <w:rsid w:val="00ED7800"/>
    <w:rsid w:val="00ED797E"/>
    <w:rsid w:val="00ED7A88"/>
    <w:rsid w:val="00ED7BEA"/>
    <w:rsid w:val="00ED7D9A"/>
    <w:rsid w:val="00ED7E04"/>
    <w:rsid w:val="00ED7FDB"/>
    <w:rsid w:val="00EE06AD"/>
    <w:rsid w:val="00EE06FF"/>
    <w:rsid w:val="00EE076E"/>
    <w:rsid w:val="00EE09A8"/>
    <w:rsid w:val="00EE09D5"/>
    <w:rsid w:val="00EE0C15"/>
    <w:rsid w:val="00EE0DCE"/>
    <w:rsid w:val="00EE0FEF"/>
    <w:rsid w:val="00EE1099"/>
    <w:rsid w:val="00EE14DD"/>
    <w:rsid w:val="00EE16D4"/>
    <w:rsid w:val="00EE175D"/>
    <w:rsid w:val="00EE17CC"/>
    <w:rsid w:val="00EE1853"/>
    <w:rsid w:val="00EE1A65"/>
    <w:rsid w:val="00EE23A8"/>
    <w:rsid w:val="00EE2530"/>
    <w:rsid w:val="00EE26EE"/>
    <w:rsid w:val="00EE293F"/>
    <w:rsid w:val="00EE299E"/>
    <w:rsid w:val="00EE2A50"/>
    <w:rsid w:val="00EE2B45"/>
    <w:rsid w:val="00EE2C87"/>
    <w:rsid w:val="00EE2DD1"/>
    <w:rsid w:val="00EE2F46"/>
    <w:rsid w:val="00EE3037"/>
    <w:rsid w:val="00EE30CB"/>
    <w:rsid w:val="00EE3242"/>
    <w:rsid w:val="00EE32CD"/>
    <w:rsid w:val="00EE334C"/>
    <w:rsid w:val="00EE334D"/>
    <w:rsid w:val="00EE3522"/>
    <w:rsid w:val="00EE3689"/>
    <w:rsid w:val="00EE36DD"/>
    <w:rsid w:val="00EE36F2"/>
    <w:rsid w:val="00EE382F"/>
    <w:rsid w:val="00EE3A48"/>
    <w:rsid w:val="00EE3AB6"/>
    <w:rsid w:val="00EE3EE6"/>
    <w:rsid w:val="00EE467C"/>
    <w:rsid w:val="00EE491F"/>
    <w:rsid w:val="00EE4BE9"/>
    <w:rsid w:val="00EE4C0D"/>
    <w:rsid w:val="00EE4CC6"/>
    <w:rsid w:val="00EE4DF7"/>
    <w:rsid w:val="00EE525B"/>
    <w:rsid w:val="00EE535C"/>
    <w:rsid w:val="00EE53A7"/>
    <w:rsid w:val="00EE547C"/>
    <w:rsid w:val="00EE561D"/>
    <w:rsid w:val="00EE5721"/>
    <w:rsid w:val="00EE5769"/>
    <w:rsid w:val="00EE5A2E"/>
    <w:rsid w:val="00EE5FD4"/>
    <w:rsid w:val="00EE61A2"/>
    <w:rsid w:val="00EE62E6"/>
    <w:rsid w:val="00EE667A"/>
    <w:rsid w:val="00EE6695"/>
    <w:rsid w:val="00EE66F6"/>
    <w:rsid w:val="00EE6969"/>
    <w:rsid w:val="00EE6AB9"/>
    <w:rsid w:val="00EE6B7F"/>
    <w:rsid w:val="00EE6C70"/>
    <w:rsid w:val="00EE6D66"/>
    <w:rsid w:val="00EE6DE6"/>
    <w:rsid w:val="00EE6E39"/>
    <w:rsid w:val="00EE70A9"/>
    <w:rsid w:val="00EE7579"/>
    <w:rsid w:val="00EF00A0"/>
    <w:rsid w:val="00EF01DA"/>
    <w:rsid w:val="00EF0641"/>
    <w:rsid w:val="00EF065D"/>
    <w:rsid w:val="00EF0833"/>
    <w:rsid w:val="00EF0925"/>
    <w:rsid w:val="00EF0D88"/>
    <w:rsid w:val="00EF0E5D"/>
    <w:rsid w:val="00EF0E6C"/>
    <w:rsid w:val="00EF10F4"/>
    <w:rsid w:val="00EF123C"/>
    <w:rsid w:val="00EF1529"/>
    <w:rsid w:val="00EF15CE"/>
    <w:rsid w:val="00EF18B8"/>
    <w:rsid w:val="00EF191D"/>
    <w:rsid w:val="00EF1A98"/>
    <w:rsid w:val="00EF1B4B"/>
    <w:rsid w:val="00EF1B6F"/>
    <w:rsid w:val="00EF1D94"/>
    <w:rsid w:val="00EF1EBA"/>
    <w:rsid w:val="00EF1F50"/>
    <w:rsid w:val="00EF1FAF"/>
    <w:rsid w:val="00EF25CE"/>
    <w:rsid w:val="00EF274C"/>
    <w:rsid w:val="00EF29F5"/>
    <w:rsid w:val="00EF2A3D"/>
    <w:rsid w:val="00EF2D71"/>
    <w:rsid w:val="00EF3760"/>
    <w:rsid w:val="00EF377E"/>
    <w:rsid w:val="00EF38EC"/>
    <w:rsid w:val="00EF3B93"/>
    <w:rsid w:val="00EF3EBB"/>
    <w:rsid w:val="00EF3ED1"/>
    <w:rsid w:val="00EF3F72"/>
    <w:rsid w:val="00EF4057"/>
    <w:rsid w:val="00EF4086"/>
    <w:rsid w:val="00EF4095"/>
    <w:rsid w:val="00EF4190"/>
    <w:rsid w:val="00EF4842"/>
    <w:rsid w:val="00EF48D4"/>
    <w:rsid w:val="00EF4A93"/>
    <w:rsid w:val="00EF4B79"/>
    <w:rsid w:val="00EF4E2D"/>
    <w:rsid w:val="00EF5100"/>
    <w:rsid w:val="00EF551B"/>
    <w:rsid w:val="00EF5640"/>
    <w:rsid w:val="00EF567E"/>
    <w:rsid w:val="00EF5762"/>
    <w:rsid w:val="00EF5B35"/>
    <w:rsid w:val="00EF6593"/>
    <w:rsid w:val="00EF65C1"/>
    <w:rsid w:val="00EF6761"/>
    <w:rsid w:val="00EF6B3F"/>
    <w:rsid w:val="00EF6B62"/>
    <w:rsid w:val="00EF6C2B"/>
    <w:rsid w:val="00EF731E"/>
    <w:rsid w:val="00EF7473"/>
    <w:rsid w:val="00EF7C48"/>
    <w:rsid w:val="00EF7C87"/>
    <w:rsid w:val="00F00049"/>
    <w:rsid w:val="00F00234"/>
    <w:rsid w:val="00F0028B"/>
    <w:rsid w:val="00F00326"/>
    <w:rsid w:val="00F00492"/>
    <w:rsid w:val="00F00495"/>
    <w:rsid w:val="00F005FB"/>
    <w:rsid w:val="00F00837"/>
    <w:rsid w:val="00F008B7"/>
    <w:rsid w:val="00F00CB6"/>
    <w:rsid w:val="00F010CD"/>
    <w:rsid w:val="00F012EF"/>
    <w:rsid w:val="00F01335"/>
    <w:rsid w:val="00F0169D"/>
    <w:rsid w:val="00F017A8"/>
    <w:rsid w:val="00F019BB"/>
    <w:rsid w:val="00F01A18"/>
    <w:rsid w:val="00F01B39"/>
    <w:rsid w:val="00F01DC6"/>
    <w:rsid w:val="00F02096"/>
    <w:rsid w:val="00F0232D"/>
    <w:rsid w:val="00F0241A"/>
    <w:rsid w:val="00F0246B"/>
    <w:rsid w:val="00F02809"/>
    <w:rsid w:val="00F02BEA"/>
    <w:rsid w:val="00F02F5C"/>
    <w:rsid w:val="00F02FBD"/>
    <w:rsid w:val="00F03008"/>
    <w:rsid w:val="00F03046"/>
    <w:rsid w:val="00F0318C"/>
    <w:rsid w:val="00F033E5"/>
    <w:rsid w:val="00F0353D"/>
    <w:rsid w:val="00F035DE"/>
    <w:rsid w:val="00F03601"/>
    <w:rsid w:val="00F039E4"/>
    <w:rsid w:val="00F03BB9"/>
    <w:rsid w:val="00F03C74"/>
    <w:rsid w:val="00F03DDB"/>
    <w:rsid w:val="00F03E80"/>
    <w:rsid w:val="00F041DD"/>
    <w:rsid w:val="00F04266"/>
    <w:rsid w:val="00F045B9"/>
    <w:rsid w:val="00F049F5"/>
    <w:rsid w:val="00F04A78"/>
    <w:rsid w:val="00F04AA6"/>
    <w:rsid w:val="00F04DF0"/>
    <w:rsid w:val="00F05047"/>
    <w:rsid w:val="00F055B1"/>
    <w:rsid w:val="00F055C1"/>
    <w:rsid w:val="00F058A9"/>
    <w:rsid w:val="00F05B47"/>
    <w:rsid w:val="00F06267"/>
    <w:rsid w:val="00F0628F"/>
    <w:rsid w:val="00F06314"/>
    <w:rsid w:val="00F06324"/>
    <w:rsid w:val="00F064B0"/>
    <w:rsid w:val="00F0670F"/>
    <w:rsid w:val="00F069A1"/>
    <w:rsid w:val="00F06C49"/>
    <w:rsid w:val="00F072F1"/>
    <w:rsid w:val="00F07A40"/>
    <w:rsid w:val="00F07B06"/>
    <w:rsid w:val="00F07F88"/>
    <w:rsid w:val="00F105DF"/>
    <w:rsid w:val="00F106B1"/>
    <w:rsid w:val="00F1097B"/>
    <w:rsid w:val="00F10BE4"/>
    <w:rsid w:val="00F10C29"/>
    <w:rsid w:val="00F10D06"/>
    <w:rsid w:val="00F10DFB"/>
    <w:rsid w:val="00F11166"/>
    <w:rsid w:val="00F111B2"/>
    <w:rsid w:val="00F1125B"/>
    <w:rsid w:val="00F11297"/>
    <w:rsid w:val="00F11348"/>
    <w:rsid w:val="00F113CA"/>
    <w:rsid w:val="00F11568"/>
    <w:rsid w:val="00F11898"/>
    <w:rsid w:val="00F11B98"/>
    <w:rsid w:val="00F11F03"/>
    <w:rsid w:val="00F123D2"/>
    <w:rsid w:val="00F12451"/>
    <w:rsid w:val="00F1248B"/>
    <w:rsid w:val="00F127C5"/>
    <w:rsid w:val="00F1282C"/>
    <w:rsid w:val="00F1295A"/>
    <w:rsid w:val="00F12AEC"/>
    <w:rsid w:val="00F12B8D"/>
    <w:rsid w:val="00F12BD3"/>
    <w:rsid w:val="00F12C73"/>
    <w:rsid w:val="00F12D5E"/>
    <w:rsid w:val="00F12E5F"/>
    <w:rsid w:val="00F12EFB"/>
    <w:rsid w:val="00F12FB3"/>
    <w:rsid w:val="00F13171"/>
    <w:rsid w:val="00F1322A"/>
    <w:rsid w:val="00F1349A"/>
    <w:rsid w:val="00F136E7"/>
    <w:rsid w:val="00F139DD"/>
    <w:rsid w:val="00F13ADE"/>
    <w:rsid w:val="00F13CD6"/>
    <w:rsid w:val="00F13DE4"/>
    <w:rsid w:val="00F13E3F"/>
    <w:rsid w:val="00F144D2"/>
    <w:rsid w:val="00F147FC"/>
    <w:rsid w:val="00F14A29"/>
    <w:rsid w:val="00F14A3C"/>
    <w:rsid w:val="00F14A8C"/>
    <w:rsid w:val="00F14B41"/>
    <w:rsid w:val="00F14C23"/>
    <w:rsid w:val="00F14CAD"/>
    <w:rsid w:val="00F14D6D"/>
    <w:rsid w:val="00F14E8C"/>
    <w:rsid w:val="00F14FBD"/>
    <w:rsid w:val="00F1518C"/>
    <w:rsid w:val="00F155B4"/>
    <w:rsid w:val="00F155C8"/>
    <w:rsid w:val="00F157A3"/>
    <w:rsid w:val="00F15866"/>
    <w:rsid w:val="00F15D70"/>
    <w:rsid w:val="00F15DFB"/>
    <w:rsid w:val="00F15EAA"/>
    <w:rsid w:val="00F15F5C"/>
    <w:rsid w:val="00F15FD9"/>
    <w:rsid w:val="00F169B9"/>
    <w:rsid w:val="00F16CA8"/>
    <w:rsid w:val="00F16D11"/>
    <w:rsid w:val="00F16E41"/>
    <w:rsid w:val="00F16EF8"/>
    <w:rsid w:val="00F17211"/>
    <w:rsid w:val="00F177DA"/>
    <w:rsid w:val="00F17890"/>
    <w:rsid w:val="00F17931"/>
    <w:rsid w:val="00F203F7"/>
    <w:rsid w:val="00F2047B"/>
    <w:rsid w:val="00F205B9"/>
    <w:rsid w:val="00F20776"/>
    <w:rsid w:val="00F20866"/>
    <w:rsid w:val="00F20A65"/>
    <w:rsid w:val="00F20E2D"/>
    <w:rsid w:val="00F20EE6"/>
    <w:rsid w:val="00F20F34"/>
    <w:rsid w:val="00F20F7D"/>
    <w:rsid w:val="00F20F7E"/>
    <w:rsid w:val="00F20FA5"/>
    <w:rsid w:val="00F21125"/>
    <w:rsid w:val="00F215F4"/>
    <w:rsid w:val="00F21C73"/>
    <w:rsid w:val="00F2201C"/>
    <w:rsid w:val="00F2256D"/>
    <w:rsid w:val="00F225F6"/>
    <w:rsid w:val="00F2260C"/>
    <w:rsid w:val="00F226EA"/>
    <w:rsid w:val="00F227D5"/>
    <w:rsid w:val="00F22AEA"/>
    <w:rsid w:val="00F22BBC"/>
    <w:rsid w:val="00F22D46"/>
    <w:rsid w:val="00F22E7C"/>
    <w:rsid w:val="00F23074"/>
    <w:rsid w:val="00F230C8"/>
    <w:rsid w:val="00F23266"/>
    <w:rsid w:val="00F232F5"/>
    <w:rsid w:val="00F23337"/>
    <w:rsid w:val="00F234C7"/>
    <w:rsid w:val="00F236F1"/>
    <w:rsid w:val="00F2390D"/>
    <w:rsid w:val="00F23BD7"/>
    <w:rsid w:val="00F23C65"/>
    <w:rsid w:val="00F23CA4"/>
    <w:rsid w:val="00F23E22"/>
    <w:rsid w:val="00F2412E"/>
    <w:rsid w:val="00F24381"/>
    <w:rsid w:val="00F2453A"/>
    <w:rsid w:val="00F24579"/>
    <w:rsid w:val="00F2491A"/>
    <w:rsid w:val="00F24C72"/>
    <w:rsid w:val="00F24F29"/>
    <w:rsid w:val="00F24F55"/>
    <w:rsid w:val="00F250CD"/>
    <w:rsid w:val="00F251B1"/>
    <w:rsid w:val="00F25295"/>
    <w:rsid w:val="00F2572B"/>
    <w:rsid w:val="00F25B73"/>
    <w:rsid w:val="00F25D0A"/>
    <w:rsid w:val="00F26425"/>
    <w:rsid w:val="00F268F9"/>
    <w:rsid w:val="00F26918"/>
    <w:rsid w:val="00F26B50"/>
    <w:rsid w:val="00F26E38"/>
    <w:rsid w:val="00F2795B"/>
    <w:rsid w:val="00F2797A"/>
    <w:rsid w:val="00F27A4D"/>
    <w:rsid w:val="00F27B7B"/>
    <w:rsid w:val="00F27D99"/>
    <w:rsid w:val="00F27E40"/>
    <w:rsid w:val="00F27FEB"/>
    <w:rsid w:val="00F3001D"/>
    <w:rsid w:val="00F3023B"/>
    <w:rsid w:val="00F30245"/>
    <w:rsid w:val="00F30478"/>
    <w:rsid w:val="00F307DE"/>
    <w:rsid w:val="00F3081C"/>
    <w:rsid w:val="00F3088C"/>
    <w:rsid w:val="00F30919"/>
    <w:rsid w:val="00F30B8B"/>
    <w:rsid w:val="00F30D2F"/>
    <w:rsid w:val="00F30DD0"/>
    <w:rsid w:val="00F30E78"/>
    <w:rsid w:val="00F31041"/>
    <w:rsid w:val="00F310F8"/>
    <w:rsid w:val="00F31191"/>
    <w:rsid w:val="00F3150F"/>
    <w:rsid w:val="00F316C3"/>
    <w:rsid w:val="00F31C7B"/>
    <w:rsid w:val="00F31E3C"/>
    <w:rsid w:val="00F31F42"/>
    <w:rsid w:val="00F32201"/>
    <w:rsid w:val="00F3250E"/>
    <w:rsid w:val="00F325A4"/>
    <w:rsid w:val="00F32876"/>
    <w:rsid w:val="00F32978"/>
    <w:rsid w:val="00F32AEF"/>
    <w:rsid w:val="00F32B2C"/>
    <w:rsid w:val="00F32D16"/>
    <w:rsid w:val="00F3317C"/>
    <w:rsid w:val="00F3324E"/>
    <w:rsid w:val="00F332D6"/>
    <w:rsid w:val="00F33543"/>
    <w:rsid w:val="00F33580"/>
    <w:rsid w:val="00F335E4"/>
    <w:rsid w:val="00F33A9B"/>
    <w:rsid w:val="00F33B1E"/>
    <w:rsid w:val="00F33BDC"/>
    <w:rsid w:val="00F34109"/>
    <w:rsid w:val="00F3414E"/>
    <w:rsid w:val="00F34A4D"/>
    <w:rsid w:val="00F34ACA"/>
    <w:rsid w:val="00F34BB0"/>
    <w:rsid w:val="00F34EF1"/>
    <w:rsid w:val="00F350D5"/>
    <w:rsid w:val="00F350DA"/>
    <w:rsid w:val="00F3568F"/>
    <w:rsid w:val="00F356D7"/>
    <w:rsid w:val="00F3587B"/>
    <w:rsid w:val="00F35A09"/>
    <w:rsid w:val="00F35A57"/>
    <w:rsid w:val="00F35BC4"/>
    <w:rsid w:val="00F35E92"/>
    <w:rsid w:val="00F36125"/>
    <w:rsid w:val="00F3631F"/>
    <w:rsid w:val="00F36337"/>
    <w:rsid w:val="00F36518"/>
    <w:rsid w:val="00F36600"/>
    <w:rsid w:val="00F36975"/>
    <w:rsid w:val="00F36D82"/>
    <w:rsid w:val="00F36F6B"/>
    <w:rsid w:val="00F36FE5"/>
    <w:rsid w:val="00F3734D"/>
    <w:rsid w:val="00F377E7"/>
    <w:rsid w:val="00F3782C"/>
    <w:rsid w:val="00F379D6"/>
    <w:rsid w:val="00F37A87"/>
    <w:rsid w:val="00F37BAA"/>
    <w:rsid w:val="00F37C37"/>
    <w:rsid w:val="00F37CA6"/>
    <w:rsid w:val="00F4038C"/>
    <w:rsid w:val="00F4059C"/>
    <w:rsid w:val="00F407A6"/>
    <w:rsid w:val="00F407D3"/>
    <w:rsid w:val="00F407D9"/>
    <w:rsid w:val="00F409E3"/>
    <w:rsid w:val="00F409E6"/>
    <w:rsid w:val="00F40A91"/>
    <w:rsid w:val="00F40B79"/>
    <w:rsid w:val="00F40BDA"/>
    <w:rsid w:val="00F40C9F"/>
    <w:rsid w:val="00F41065"/>
    <w:rsid w:val="00F41103"/>
    <w:rsid w:val="00F4119B"/>
    <w:rsid w:val="00F412E0"/>
    <w:rsid w:val="00F4139D"/>
    <w:rsid w:val="00F413E3"/>
    <w:rsid w:val="00F41603"/>
    <w:rsid w:val="00F4180D"/>
    <w:rsid w:val="00F41868"/>
    <w:rsid w:val="00F4186A"/>
    <w:rsid w:val="00F41B5D"/>
    <w:rsid w:val="00F41CC8"/>
    <w:rsid w:val="00F41D9B"/>
    <w:rsid w:val="00F41EF5"/>
    <w:rsid w:val="00F420D3"/>
    <w:rsid w:val="00F424F3"/>
    <w:rsid w:val="00F426A2"/>
    <w:rsid w:val="00F428AE"/>
    <w:rsid w:val="00F429BA"/>
    <w:rsid w:val="00F42CD9"/>
    <w:rsid w:val="00F42D48"/>
    <w:rsid w:val="00F43040"/>
    <w:rsid w:val="00F43390"/>
    <w:rsid w:val="00F43653"/>
    <w:rsid w:val="00F43ABC"/>
    <w:rsid w:val="00F442F7"/>
    <w:rsid w:val="00F443D7"/>
    <w:rsid w:val="00F444B9"/>
    <w:rsid w:val="00F445E4"/>
    <w:rsid w:val="00F44765"/>
    <w:rsid w:val="00F4476C"/>
    <w:rsid w:val="00F44819"/>
    <w:rsid w:val="00F448EC"/>
    <w:rsid w:val="00F44A44"/>
    <w:rsid w:val="00F44B74"/>
    <w:rsid w:val="00F44C12"/>
    <w:rsid w:val="00F44E3F"/>
    <w:rsid w:val="00F44E8B"/>
    <w:rsid w:val="00F45203"/>
    <w:rsid w:val="00F45354"/>
    <w:rsid w:val="00F45591"/>
    <w:rsid w:val="00F45761"/>
    <w:rsid w:val="00F45B7C"/>
    <w:rsid w:val="00F45D61"/>
    <w:rsid w:val="00F46046"/>
    <w:rsid w:val="00F46117"/>
    <w:rsid w:val="00F4676D"/>
    <w:rsid w:val="00F4678E"/>
    <w:rsid w:val="00F46885"/>
    <w:rsid w:val="00F468D1"/>
    <w:rsid w:val="00F469E4"/>
    <w:rsid w:val="00F46FB0"/>
    <w:rsid w:val="00F4720A"/>
    <w:rsid w:val="00F476B0"/>
    <w:rsid w:val="00F476F8"/>
    <w:rsid w:val="00F47AD4"/>
    <w:rsid w:val="00F47B4E"/>
    <w:rsid w:val="00F50128"/>
    <w:rsid w:val="00F50220"/>
    <w:rsid w:val="00F5023C"/>
    <w:rsid w:val="00F5044E"/>
    <w:rsid w:val="00F506EB"/>
    <w:rsid w:val="00F506EF"/>
    <w:rsid w:val="00F5094E"/>
    <w:rsid w:val="00F50AAB"/>
    <w:rsid w:val="00F50D80"/>
    <w:rsid w:val="00F50FBA"/>
    <w:rsid w:val="00F510F8"/>
    <w:rsid w:val="00F5133F"/>
    <w:rsid w:val="00F51387"/>
    <w:rsid w:val="00F5140D"/>
    <w:rsid w:val="00F51787"/>
    <w:rsid w:val="00F51B02"/>
    <w:rsid w:val="00F51BAD"/>
    <w:rsid w:val="00F51D73"/>
    <w:rsid w:val="00F51DB0"/>
    <w:rsid w:val="00F51E17"/>
    <w:rsid w:val="00F522C5"/>
    <w:rsid w:val="00F52375"/>
    <w:rsid w:val="00F523FD"/>
    <w:rsid w:val="00F525EA"/>
    <w:rsid w:val="00F5310D"/>
    <w:rsid w:val="00F53343"/>
    <w:rsid w:val="00F5349E"/>
    <w:rsid w:val="00F535F2"/>
    <w:rsid w:val="00F5360D"/>
    <w:rsid w:val="00F5387C"/>
    <w:rsid w:val="00F53A3F"/>
    <w:rsid w:val="00F53E25"/>
    <w:rsid w:val="00F53EA4"/>
    <w:rsid w:val="00F540A2"/>
    <w:rsid w:val="00F542AB"/>
    <w:rsid w:val="00F5436A"/>
    <w:rsid w:val="00F546F0"/>
    <w:rsid w:val="00F54A64"/>
    <w:rsid w:val="00F54AFC"/>
    <w:rsid w:val="00F54C87"/>
    <w:rsid w:val="00F54F36"/>
    <w:rsid w:val="00F553B7"/>
    <w:rsid w:val="00F554BC"/>
    <w:rsid w:val="00F55708"/>
    <w:rsid w:val="00F55A2B"/>
    <w:rsid w:val="00F55EBF"/>
    <w:rsid w:val="00F55EC1"/>
    <w:rsid w:val="00F560A5"/>
    <w:rsid w:val="00F565A3"/>
    <w:rsid w:val="00F5688E"/>
    <w:rsid w:val="00F56953"/>
    <w:rsid w:val="00F56A11"/>
    <w:rsid w:val="00F56C9B"/>
    <w:rsid w:val="00F56CDE"/>
    <w:rsid w:val="00F5731B"/>
    <w:rsid w:val="00F57542"/>
    <w:rsid w:val="00F57A1C"/>
    <w:rsid w:val="00F57B87"/>
    <w:rsid w:val="00F57C12"/>
    <w:rsid w:val="00F601A0"/>
    <w:rsid w:val="00F60549"/>
    <w:rsid w:val="00F608DC"/>
    <w:rsid w:val="00F60BBD"/>
    <w:rsid w:val="00F60F01"/>
    <w:rsid w:val="00F6186B"/>
    <w:rsid w:val="00F61B2F"/>
    <w:rsid w:val="00F61BFE"/>
    <w:rsid w:val="00F61C4A"/>
    <w:rsid w:val="00F61C52"/>
    <w:rsid w:val="00F61E07"/>
    <w:rsid w:val="00F61EAB"/>
    <w:rsid w:val="00F61FC5"/>
    <w:rsid w:val="00F621A3"/>
    <w:rsid w:val="00F623DA"/>
    <w:rsid w:val="00F62796"/>
    <w:rsid w:val="00F6293C"/>
    <w:rsid w:val="00F62B0C"/>
    <w:rsid w:val="00F62F98"/>
    <w:rsid w:val="00F63145"/>
    <w:rsid w:val="00F63296"/>
    <w:rsid w:val="00F636D7"/>
    <w:rsid w:val="00F636FA"/>
    <w:rsid w:val="00F63851"/>
    <w:rsid w:val="00F63871"/>
    <w:rsid w:val="00F63BFF"/>
    <w:rsid w:val="00F63F1E"/>
    <w:rsid w:val="00F64334"/>
    <w:rsid w:val="00F643EA"/>
    <w:rsid w:val="00F644D9"/>
    <w:rsid w:val="00F64721"/>
    <w:rsid w:val="00F6479C"/>
    <w:rsid w:val="00F64B18"/>
    <w:rsid w:val="00F64E7E"/>
    <w:rsid w:val="00F64FF7"/>
    <w:rsid w:val="00F65378"/>
    <w:rsid w:val="00F65494"/>
    <w:rsid w:val="00F65624"/>
    <w:rsid w:val="00F65691"/>
    <w:rsid w:val="00F659C5"/>
    <w:rsid w:val="00F65BB6"/>
    <w:rsid w:val="00F65EF2"/>
    <w:rsid w:val="00F66233"/>
    <w:rsid w:val="00F668A3"/>
    <w:rsid w:val="00F66943"/>
    <w:rsid w:val="00F66D47"/>
    <w:rsid w:val="00F67064"/>
    <w:rsid w:val="00F67444"/>
    <w:rsid w:val="00F675FC"/>
    <w:rsid w:val="00F67657"/>
    <w:rsid w:val="00F6771E"/>
    <w:rsid w:val="00F6771F"/>
    <w:rsid w:val="00F677EA"/>
    <w:rsid w:val="00F67878"/>
    <w:rsid w:val="00F67A71"/>
    <w:rsid w:val="00F67E8E"/>
    <w:rsid w:val="00F7019A"/>
    <w:rsid w:val="00F704FF"/>
    <w:rsid w:val="00F7076E"/>
    <w:rsid w:val="00F708D2"/>
    <w:rsid w:val="00F70988"/>
    <w:rsid w:val="00F709B7"/>
    <w:rsid w:val="00F709ED"/>
    <w:rsid w:val="00F70CE7"/>
    <w:rsid w:val="00F71422"/>
    <w:rsid w:val="00F71795"/>
    <w:rsid w:val="00F717F4"/>
    <w:rsid w:val="00F71899"/>
    <w:rsid w:val="00F721A4"/>
    <w:rsid w:val="00F72227"/>
    <w:rsid w:val="00F7236B"/>
    <w:rsid w:val="00F7240E"/>
    <w:rsid w:val="00F725D4"/>
    <w:rsid w:val="00F7268A"/>
    <w:rsid w:val="00F72776"/>
    <w:rsid w:val="00F72800"/>
    <w:rsid w:val="00F728F3"/>
    <w:rsid w:val="00F72B17"/>
    <w:rsid w:val="00F72D83"/>
    <w:rsid w:val="00F730A1"/>
    <w:rsid w:val="00F730B5"/>
    <w:rsid w:val="00F73381"/>
    <w:rsid w:val="00F734B5"/>
    <w:rsid w:val="00F736C1"/>
    <w:rsid w:val="00F7397D"/>
    <w:rsid w:val="00F73A4E"/>
    <w:rsid w:val="00F73B0D"/>
    <w:rsid w:val="00F73BBF"/>
    <w:rsid w:val="00F73DEF"/>
    <w:rsid w:val="00F74275"/>
    <w:rsid w:val="00F74276"/>
    <w:rsid w:val="00F7435C"/>
    <w:rsid w:val="00F74948"/>
    <w:rsid w:val="00F74AA8"/>
    <w:rsid w:val="00F74D08"/>
    <w:rsid w:val="00F74F67"/>
    <w:rsid w:val="00F75183"/>
    <w:rsid w:val="00F75713"/>
    <w:rsid w:val="00F759E1"/>
    <w:rsid w:val="00F75A27"/>
    <w:rsid w:val="00F75A2F"/>
    <w:rsid w:val="00F75A6C"/>
    <w:rsid w:val="00F75C84"/>
    <w:rsid w:val="00F75D80"/>
    <w:rsid w:val="00F75D98"/>
    <w:rsid w:val="00F760EA"/>
    <w:rsid w:val="00F76114"/>
    <w:rsid w:val="00F764C7"/>
    <w:rsid w:val="00F76A09"/>
    <w:rsid w:val="00F76F41"/>
    <w:rsid w:val="00F772CD"/>
    <w:rsid w:val="00F7732E"/>
    <w:rsid w:val="00F7739E"/>
    <w:rsid w:val="00F7795B"/>
    <w:rsid w:val="00F779B5"/>
    <w:rsid w:val="00F77AE6"/>
    <w:rsid w:val="00F77B85"/>
    <w:rsid w:val="00F77CFF"/>
    <w:rsid w:val="00F77EA7"/>
    <w:rsid w:val="00F80228"/>
    <w:rsid w:val="00F808E9"/>
    <w:rsid w:val="00F80F46"/>
    <w:rsid w:val="00F8111B"/>
    <w:rsid w:val="00F814C9"/>
    <w:rsid w:val="00F815B1"/>
    <w:rsid w:val="00F817E1"/>
    <w:rsid w:val="00F818AB"/>
    <w:rsid w:val="00F81A4C"/>
    <w:rsid w:val="00F81B21"/>
    <w:rsid w:val="00F81CFC"/>
    <w:rsid w:val="00F81FFC"/>
    <w:rsid w:val="00F8212D"/>
    <w:rsid w:val="00F8219F"/>
    <w:rsid w:val="00F8221C"/>
    <w:rsid w:val="00F8238D"/>
    <w:rsid w:val="00F824C8"/>
    <w:rsid w:val="00F828FE"/>
    <w:rsid w:val="00F82A2C"/>
    <w:rsid w:val="00F82BE4"/>
    <w:rsid w:val="00F8315A"/>
    <w:rsid w:val="00F831E3"/>
    <w:rsid w:val="00F83298"/>
    <w:rsid w:val="00F834FE"/>
    <w:rsid w:val="00F83515"/>
    <w:rsid w:val="00F83662"/>
    <w:rsid w:val="00F83709"/>
    <w:rsid w:val="00F83F8B"/>
    <w:rsid w:val="00F840FB"/>
    <w:rsid w:val="00F842D4"/>
    <w:rsid w:val="00F8436B"/>
    <w:rsid w:val="00F844AE"/>
    <w:rsid w:val="00F844CD"/>
    <w:rsid w:val="00F8469A"/>
    <w:rsid w:val="00F847EB"/>
    <w:rsid w:val="00F84828"/>
    <w:rsid w:val="00F84A82"/>
    <w:rsid w:val="00F84AA4"/>
    <w:rsid w:val="00F84FF5"/>
    <w:rsid w:val="00F850B6"/>
    <w:rsid w:val="00F85579"/>
    <w:rsid w:val="00F855EA"/>
    <w:rsid w:val="00F856E0"/>
    <w:rsid w:val="00F85776"/>
    <w:rsid w:val="00F857F5"/>
    <w:rsid w:val="00F85803"/>
    <w:rsid w:val="00F8581B"/>
    <w:rsid w:val="00F8584D"/>
    <w:rsid w:val="00F8597A"/>
    <w:rsid w:val="00F85B1D"/>
    <w:rsid w:val="00F85B8F"/>
    <w:rsid w:val="00F85C6D"/>
    <w:rsid w:val="00F85CB6"/>
    <w:rsid w:val="00F8600B"/>
    <w:rsid w:val="00F8603A"/>
    <w:rsid w:val="00F861C5"/>
    <w:rsid w:val="00F8644E"/>
    <w:rsid w:val="00F86A69"/>
    <w:rsid w:val="00F86D7C"/>
    <w:rsid w:val="00F8717C"/>
    <w:rsid w:val="00F871A7"/>
    <w:rsid w:val="00F8740D"/>
    <w:rsid w:val="00F87790"/>
    <w:rsid w:val="00F87870"/>
    <w:rsid w:val="00F878FB"/>
    <w:rsid w:val="00F8793D"/>
    <w:rsid w:val="00F879D5"/>
    <w:rsid w:val="00F87C58"/>
    <w:rsid w:val="00F87D4C"/>
    <w:rsid w:val="00F87F63"/>
    <w:rsid w:val="00F90185"/>
    <w:rsid w:val="00F901A4"/>
    <w:rsid w:val="00F902EB"/>
    <w:rsid w:val="00F903C3"/>
    <w:rsid w:val="00F906C8"/>
    <w:rsid w:val="00F9096E"/>
    <w:rsid w:val="00F9113D"/>
    <w:rsid w:val="00F9119D"/>
    <w:rsid w:val="00F911C5"/>
    <w:rsid w:val="00F917A9"/>
    <w:rsid w:val="00F9184D"/>
    <w:rsid w:val="00F91889"/>
    <w:rsid w:val="00F919B9"/>
    <w:rsid w:val="00F91A48"/>
    <w:rsid w:val="00F91B4E"/>
    <w:rsid w:val="00F91D2F"/>
    <w:rsid w:val="00F91E3E"/>
    <w:rsid w:val="00F92861"/>
    <w:rsid w:val="00F92915"/>
    <w:rsid w:val="00F92921"/>
    <w:rsid w:val="00F92B69"/>
    <w:rsid w:val="00F92C68"/>
    <w:rsid w:val="00F92C6C"/>
    <w:rsid w:val="00F92F67"/>
    <w:rsid w:val="00F92FEF"/>
    <w:rsid w:val="00F93347"/>
    <w:rsid w:val="00F9346F"/>
    <w:rsid w:val="00F93865"/>
    <w:rsid w:val="00F93C4A"/>
    <w:rsid w:val="00F93CB6"/>
    <w:rsid w:val="00F93E51"/>
    <w:rsid w:val="00F940EA"/>
    <w:rsid w:val="00F943B9"/>
    <w:rsid w:val="00F94556"/>
    <w:rsid w:val="00F9498D"/>
    <w:rsid w:val="00F94B88"/>
    <w:rsid w:val="00F94F05"/>
    <w:rsid w:val="00F94FC6"/>
    <w:rsid w:val="00F951FC"/>
    <w:rsid w:val="00F952A7"/>
    <w:rsid w:val="00F95310"/>
    <w:rsid w:val="00F955D5"/>
    <w:rsid w:val="00F955DF"/>
    <w:rsid w:val="00F957E6"/>
    <w:rsid w:val="00F95A5F"/>
    <w:rsid w:val="00F95B6E"/>
    <w:rsid w:val="00F95B74"/>
    <w:rsid w:val="00F962D2"/>
    <w:rsid w:val="00F96334"/>
    <w:rsid w:val="00F96449"/>
    <w:rsid w:val="00F965C5"/>
    <w:rsid w:val="00F966F9"/>
    <w:rsid w:val="00F9694B"/>
    <w:rsid w:val="00F96968"/>
    <w:rsid w:val="00F96990"/>
    <w:rsid w:val="00F96E93"/>
    <w:rsid w:val="00F972A0"/>
    <w:rsid w:val="00F973B8"/>
    <w:rsid w:val="00F973D7"/>
    <w:rsid w:val="00F973FA"/>
    <w:rsid w:val="00F9793B"/>
    <w:rsid w:val="00F97A02"/>
    <w:rsid w:val="00F97B54"/>
    <w:rsid w:val="00F97DB6"/>
    <w:rsid w:val="00F97FA3"/>
    <w:rsid w:val="00FA01B9"/>
    <w:rsid w:val="00FA0DCF"/>
    <w:rsid w:val="00FA1056"/>
    <w:rsid w:val="00FA1276"/>
    <w:rsid w:val="00FA1380"/>
    <w:rsid w:val="00FA1394"/>
    <w:rsid w:val="00FA1552"/>
    <w:rsid w:val="00FA1673"/>
    <w:rsid w:val="00FA1820"/>
    <w:rsid w:val="00FA18FE"/>
    <w:rsid w:val="00FA197A"/>
    <w:rsid w:val="00FA1AEA"/>
    <w:rsid w:val="00FA1F50"/>
    <w:rsid w:val="00FA207E"/>
    <w:rsid w:val="00FA2348"/>
    <w:rsid w:val="00FA23FE"/>
    <w:rsid w:val="00FA26AD"/>
    <w:rsid w:val="00FA2827"/>
    <w:rsid w:val="00FA2911"/>
    <w:rsid w:val="00FA2BA0"/>
    <w:rsid w:val="00FA2BF2"/>
    <w:rsid w:val="00FA2C5E"/>
    <w:rsid w:val="00FA2E3B"/>
    <w:rsid w:val="00FA2E5D"/>
    <w:rsid w:val="00FA2E79"/>
    <w:rsid w:val="00FA3060"/>
    <w:rsid w:val="00FA32A1"/>
    <w:rsid w:val="00FA36CD"/>
    <w:rsid w:val="00FA3803"/>
    <w:rsid w:val="00FA3938"/>
    <w:rsid w:val="00FA39EF"/>
    <w:rsid w:val="00FA3A6D"/>
    <w:rsid w:val="00FA3B60"/>
    <w:rsid w:val="00FA3BC3"/>
    <w:rsid w:val="00FA400B"/>
    <w:rsid w:val="00FA4053"/>
    <w:rsid w:val="00FA409C"/>
    <w:rsid w:val="00FA41A8"/>
    <w:rsid w:val="00FA41D1"/>
    <w:rsid w:val="00FA4454"/>
    <w:rsid w:val="00FA4636"/>
    <w:rsid w:val="00FA47CD"/>
    <w:rsid w:val="00FA4BAC"/>
    <w:rsid w:val="00FA4D76"/>
    <w:rsid w:val="00FA5029"/>
    <w:rsid w:val="00FA50E8"/>
    <w:rsid w:val="00FA5433"/>
    <w:rsid w:val="00FA5555"/>
    <w:rsid w:val="00FA56B8"/>
    <w:rsid w:val="00FA5745"/>
    <w:rsid w:val="00FA59E7"/>
    <w:rsid w:val="00FA5E64"/>
    <w:rsid w:val="00FA5F9C"/>
    <w:rsid w:val="00FA63A8"/>
    <w:rsid w:val="00FA649E"/>
    <w:rsid w:val="00FA64A6"/>
    <w:rsid w:val="00FA693C"/>
    <w:rsid w:val="00FA6CDA"/>
    <w:rsid w:val="00FA6EC4"/>
    <w:rsid w:val="00FA6FD3"/>
    <w:rsid w:val="00FA7046"/>
    <w:rsid w:val="00FA7282"/>
    <w:rsid w:val="00FA7379"/>
    <w:rsid w:val="00FA73A6"/>
    <w:rsid w:val="00FA79BA"/>
    <w:rsid w:val="00FA7A20"/>
    <w:rsid w:val="00FA7AB2"/>
    <w:rsid w:val="00FA7C3D"/>
    <w:rsid w:val="00FA7C92"/>
    <w:rsid w:val="00FA7F5D"/>
    <w:rsid w:val="00FB004E"/>
    <w:rsid w:val="00FB025A"/>
    <w:rsid w:val="00FB03EE"/>
    <w:rsid w:val="00FB0CB4"/>
    <w:rsid w:val="00FB10C8"/>
    <w:rsid w:val="00FB1155"/>
    <w:rsid w:val="00FB1339"/>
    <w:rsid w:val="00FB1393"/>
    <w:rsid w:val="00FB141B"/>
    <w:rsid w:val="00FB1544"/>
    <w:rsid w:val="00FB16DC"/>
    <w:rsid w:val="00FB1773"/>
    <w:rsid w:val="00FB1AEE"/>
    <w:rsid w:val="00FB1DA4"/>
    <w:rsid w:val="00FB25B0"/>
    <w:rsid w:val="00FB25C1"/>
    <w:rsid w:val="00FB27E5"/>
    <w:rsid w:val="00FB290E"/>
    <w:rsid w:val="00FB2923"/>
    <w:rsid w:val="00FB29DB"/>
    <w:rsid w:val="00FB2C42"/>
    <w:rsid w:val="00FB2D16"/>
    <w:rsid w:val="00FB3179"/>
    <w:rsid w:val="00FB3248"/>
    <w:rsid w:val="00FB358B"/>
    <w:rsid w:val="00FB35E2"/>
    <w:rsid w:val="00FB36B1"/>
    <w:rsid w:val="00FB3B2F"/>
    <w:rsid w:val="00FB3C2C"/>
    <w:rsid w:val="00FB3D12"/>
    <w:rsid w:val="00FB3F64"/>
    <w:rsid w:val="00FB40C5"/>
    <w:rsid w:val="00FB43B0"/>
    <w:rsid w:val="00FB44CF"/>
    <w:rsid w:val="00FB48EA"/>
    <w:rsid w:val="00FB4ACD"/>
    <w:rsid w:val="00FB4BE1"/>
    <w:rsid w:val="00FB4C5F"/>
    <w:rsid w:val="00FB4F43"/>
    <w:rsid w:val="00FB50D5"/>
    <w:rsid w:val="00FB5A33"/>
    <w:rsid w:val="00FB5D36"/>
    <w:rsid w:val="00FB61EA"/>
    <w:rsid w:val="00FB6261"/>
    <w:rsid w:val="00FB6665"/>
    <w:rsid w:val="00FB6705"/>
    <w:rsid w:val="00FB6749"/>
    <w:rsid w:val="00FB67AE"/>
    <w:rsid w:val="00FB67D9"/>
    <w:rsid w:val="00FB6892"/>
    <w:rsid w:val="00FB6907"/>
    <w:rsid w:val="00FB6A86"/>
    <w:rsid w:val="00FB6C38"/>
    <w:rsid w:val="00FB6EC9"/>
    <w:rsid w:val="00FB6F4C"/>
    <w:rsid w:val="00FB748A"/>
    <w:rsid w:val="00FB7517"/>
    <w:rsid w:val="00FB77B7"/>
    <w:rsid w:val="00FB77C4"/>
    <w:rsid w:val="00FB7815"/>
    <w:rsid w:val="00FB791E"/>
    <w:rsid w:val="00FB793A"/>
    <w:rsid w:val="00FB7AB1"/>
    <w:rsid w:val="00FB7CF8"/>
    <w:rsid w:val="00FB7E92"/>
    <w:rsid w:val="00FB7FBA"/>
    <w:rsid w:val="00FC0283"/>
    <w:rsid w:val="00FC0532"/>
    <w:rsid w:val="00FC0627"/>
    <w:rsid w:val="00FC067D"/>
    <w:rsid w:val="00FC0682"/>
    <w:rsid w:val="00FC0691"/>
    <w:rsid w:val="00FC071E"/>
    <w:rsid w:val="00FC08FC"/>
    <w:rsid w:val="00FC0B3D"/>
    <w:rsid w:val="00FC0B96"/>
    <w:rsid w:val="00FC0CC5"/>
    <w:rsid w:val="00FC0EE9"/>
    <w:rsid w:val="00FC0F11"/>
    <w:rsid w:val="00FC0F2F"/>
    <w:rsid w:val="00FC117E"/>
    <w:rsid w:val="00FC1182"/>
    <w:rsid w:val="00FC1624"/>
    <w:rsid w:val="00FC1637"/>
    <w:rsid w:val="00FC1937"/>
    <w:rsid w:val="00FC2104"/>
    <w:rsid w:val="00FC2129"/>
    <w:rsid w:val="00FC216D"/>
    <w:rsid w:val="00FC22C8"/>
    <w:rsid w:val="00FC24D4"/>
    <w:rsid w:val="00FC2639"/>
    <w:rsid w:val="00FC2B0D"/>
    <w:rsid w:val="00FC2CC5"/>
    <w:rsid w:val="00FC2D61"/>
    <w:rsid w:val="00FC2DA5"/>
    <w:rsid w:val="00FC2E18"/>
    <w:rsid w:val="00FC2E61"/>
    <w:rsid w:val="00FC2E82"/>
    <w:rsid w:val="00FC2F9C"/>
    <w:rsid w:val="00FC2FAE"/>
    <w:rsid w:val="00FC3588"/>
    <w:rsid w:val="00FC35D5"/>
    <w:rsid w:val="00FC3643"/>
    <w:rsid w:val="00FC38EA"/>
    <w:rsid w:val="00FC3A87"/>
    <w:rsid w:val="00FC3DF4"/>
    <w:rsid w:val="00FC3F21"/>
    <w:rsid w:val="00FC3F8F"/>
    <w:rsid w:val="00FC407A"/>
    <w:rsid w:val="00FC408A"/>
    <w:rsid w:val="00FC418A"/>
    <w:rsid w:val="00FC41FC"/>
    <w:rsid w:val="00FC42D0"/>
    <w:rsid w:val="00FC45B0"/>
    <w:rsid w:val="00FC45BC"/>
    <w:rsid w:val="00FC4C12"/>
    <w:rsid w:val="00FC4C6E"/>
    <w:rsid w:val="00FC4CB8"/>
    <w:rsid w:val="00FC4E78"/>
    <w:rsid w:val="00FC5086"/>
    <w:rsid w:val="00FC5133"/>
    <w:rsid w:val="00FC517B"/>
    <w:rsid w:val="00FC581B"/>
    <w:rsid w:val="00FC594D"/>
    <w:rsid w:val="00FC5957"/>
    <w:rsid w:val="00FC5B61"/>
    <w:rsid w:val="00FC5B7C"/>
    <w:rsid w:val="00FC5C06"/>
    <w:rsid w:val="00FC5D35"/>
    <w:rsid w:val="00FC5D63"/>
    <w:rsid w:val="00FC5E07"/>
    <w:rsid w:val="00FC5E3E"/>
    <w:rsid w:val="00FC6122"/>
    <w:rsid w:val="00FC6275"/>
    <w:rsid w:val="00FC6422"/>
    <w:rsid w:val="00FC673B"/>
    <w:rsid w:val="00FC683C"/>
    <w:rsid w:val="00FC69E4"/>
    <w:rsid w:val="00FC6A0E"/>
    <w:rsid w:val="00FC6EC3"/>
    <w:rsid w:val="00FC7076"/>
    <w:rsid w:val="00FC7116"/>
    <w:rsid w:val="00FC7229"/>
    <w:rsid w:val="00FC72FD"/>
    <w:rsid w:val="00FC7332"/>
    <w:rsid w:val="00FC765C"/>
    <w:rsid w:val="00FC7A84"/>
    <w:rsid w:val="00FC7ABA"/>
    <w:rsid w:val="00FC7BB3"/>
    <w:rsid w:val="00FC7D61"/>
    <w:rsid w:val="00FC7E31"/>
    <w:rsid w:val="00FD00E0"/>
    <w:rsid w:val="00FD02F3"/>
    <w:rsid w:val="00FD03B0"/>
    <w:rsid w:val="00FD0636"/>
    <w:rsid w:val="00FD0A7B"/>
    <w:rsid w:val="00FD0D20"/>
    <w:rsid w:val="00FD0E73"/>
    <w:rsid w:val="00FD1060"/>
    <w:rsid w:val="00FD1701"/>
    <w:rsid w:val="00FD170A"/>
    <w:rsid w:val="00FD19C1"/>
    <w:rsid w:val="00FD1F3C"/>
    <w:rsid w:val="00FD233D"/>
    <w:rsid w:val="00FD240C"/>
    <w:rsid w:val="00FD26A2"/>
    <w:rsid w:val="00FD2800"/>
    <w:rsid w:val="00FD2870"/>
    <w:rsid w:val="00FD28F5"/>
    <w:rsid w:val="00FD29EA"/>
    <w:rsid w:val="00FD2A13"/>
    <w:rsid w:val="00FD2A56"/>
    <w:rsid w:val="00FD2FD2"/>
    <w:rsid w:val="00FD302E"/>
    <w:rsid w:val="00FD30ED"/>
    <w:rsid w:val="00FD3376"/>
    <w:rsid w:val="00FD35E1"/>
    <w:rsid w:val="00FD376E"/>
    <w:rsid w:val="00FD389B"/>
    <w:rsid w:val="00FD3A14"/>
    <w:rsid w:val="00FD3B1D"/>
    <w:rsid w:val="00FD3B26"/>
    <w:rsid w:val="00FD3C27"/>
    <w:rsid w:val="00FD3EF0"/>
    <w:rsid w:val="00FD4049"/>
    <w:rsid w:val="00FD4070"/>
    <w:rsid w:val="00FD4140"/>
    <w:rsid w:val="00FD4877"/>
    <w:rsid w:val="00FD4B37"/>
    <w:rsid w:val="00FD505C"/>
    <w:rsid w:val="00FD5265"/>
    <w:rsid w:val="00FD52D1"/>
    <w:rsid w:val="00FD53A7"/>
    <w:rsid w:val="00FD5421"/>
    <w:rsid w:val="00FD6523"/>
    <w:rsid w:val="00FD65CD"/>
    <w:rsid w:val="00FD679F"/>
    <w:rsid w:val="00FD6C73"/>
    <w:rsid w:val="00FD6CFD"/>
    <w:rsid w:val="00FD6E0B"/>
    <w:rsid w:val="00FD73DB"/>
    <w:rsid w:val="00FD75F5"/>
    <w:rsid w:val="00FD7D79"/>
    <w:rsid w:val="00FD7EB8"/>
    <w:rsid w:val="00FE0164"/>
    <w:rsid w:val="00FE01C4"/>
    <w:rsid w:val="00FE05CB"/>
    <w:rsid w:val="00FE06A3"/>
    <w:rsid w:val="00FE07D0"/>
    <w:rsid w:val="00FE0849"/>
    <w:rsid w:val="00FE0B7F"/>
    <w:rsid w:val="00FE0C2D"/>
    <w:rsid w:val="00FE0EB0"/>
    <w:rsid w:val="00FE0F23"/>
    <w:rsid w:val="00FE1162"/>
    <w:rsid w:val="00FE1266"/>
    <w:rsid w:val="00FE160A"/>
    <w:rsid w:val="00FE1719"/>
    <w:rsid w:val="00FE1864"/>
    <w:rsid w:val="00FE195E"/>
    <w:rsid w:val="00FE1C0D"/>
    <w:rsid w:val="00FE238E"/>
    <w:rsid w:val="00FE270A"/>
    <w:rsid w:val="00FE281F"/>
    <w:rsid w:val="00FE2D57"/>
    <w:rsid w:val="00FE2DFF"/>
    <w:rsid w:val="00FE30BA"/>
    <w:rsid w:val="00FE31CC"/>
    <w:rsid w:val="00FE31F3"/>
    <w:rsid w:val="00FE3282"/>
    <w:rsid w:val="00FE3510"/>
    <w:rsid w:val="00FE3564"/>
    <w:rsid w:val="00FE385E"/>
    <w:rsid w:val="00FE386E"/>
    <w:rsid w:val="00FE42B4"/>
    <w:rsid w:val="00FE4640"/>
    <w:rsid w:val="00FE4E2B"/>
    <w:rsid w:val="00FE5509"/>
    <w:rsid w:val="00FE5647"/>
    <w:rsid w:val="00FE59A9"/>
    <w:rsid w:val="00FE59E1"/>
    <w:rsid w:val="00FE5B59"/>
    <w:rsid w:val="00FE5BB4"/>
    <w:rsid w:val="00FE5D59"/>
    <w:rsid w:val="00FE6258"/>
    <w:rsid w:val="00FE627A"/>
    <w:rsid w:val="00FE67AB"/>
    <w:rsid w:val="00FE696B"/>
    <w:rsid w:val="00FE6A4A"/>
    <w:rsid w:val="00FE6B1B"/>
    <w:rsid w:val="00FE6C88"/>
    <w:rsid w:val="00FE7352"/>
    <w:rsid w:val="00FE7447"/>
    <w:rsid w:val="00FE7607"/>
    <w:rsid w:val="00FE7634"/>
    <w:rsid w:val="00FE77D9"/>
    <w:rsid w:val="00FE7808"/>
    <w:rsid w:val="00FE78AD"/>
    <w:rsid w:val="00FE78D6"/>
    <w:rsid w:val="00FE7C09"/>
    <w:rsid w:val="00FE7E6F"/>
    <w:rsid w:val="00FF03CE"/>
    <w:rsid w:val="00FF0672"/>
    <w:rsid w:val="00FF0688"/>
    <w:rsid w:val="00FF077A"/>
    <w:rsid w:val="00FF08D3"/>
    <w:rsid w:val="00FF08E1"/>
    <w:rsid w:val="00FF09D1"/>
    <w:rsid w:val="00FF0D00"/>
    <w:rsid w:val="00FF0D54"/>
    <w:rsid w:val="00FF0F52"/>
    <w:rsid w:val="00FF13C8"/>
    <w:rsid w:val="00FF151F"/>
    <w:rsid w:val="00FF1A0B"/>
    <w:rsid w:val="00FF1A79"/>
    <w:rsid w:val="00FF1E0C"/>
    <w:rsid w:val="00FF1E8D"/>
    <w:rsid w:val="00FF2046"/>
    <w:rsid w:val="00FF2104"/>
    <w:rsid w:val="00FF23E4"/>
    <w:rsid w:val="00FF25DB"/>
    <w:rsid w:val="00FF26C2"/>
    <w:rsid w:val="00FF2798"/>
    <w:rsid w:val="00FF294A"/>
    <w:rsid w:val="00FF2CB6"/>
    <w:rsid w:val="00FF2CC5"/>
    <w:rsid w:val="00FF2F3E"/>
    <w:rsid w:val="00FF2F85"/>
    <w:rsid w:val="00FF3114"/>
    <w:rsid w:val="00FF3319"/>
    <w:rsid w:val="00FF34CA"/>
    <w:rsid w:val="00FF34DA"/>
    <w:rsid w:val="00FF35B5"/>
    <w:rsid w:val="00FF366D"/>
    <w:rsid w:val="00FF37DB"/>
    <w:rsid w:val="00FF3A06"/>
    <w:rsid w:val="00FF3EAA"/>
    <w:rsid w:val="00FF3EC0"/>
    <w:rsid w:val="00FF442A"/>
    <w:rsid w:val="00FF44A0"/>
    <w:rsid w:val="00FF44D7"/>
    <w:rsid w:val="00FF4755"/>
    <w:rsid w:val="00FF47EB"/>
    <w:rsid w:val="00FF486F"/>
    <w:rsid w:val="00FF48A1"/>
    <w:rsid w:val="00FF4A05"/>
    <w:rsid w:val="00FF51A6"/>
    <w:rsid w:val="00FF582C"/>
    <w:rsid w:val="00FF59B9"/>
    <w:rsid w:val="00FF5A4D"/>
    <w:rsid w:val="00FF5B64"/>
    <w:rsid w:val="00FF5B9E"/>
    <w:rsid w:val="00FF5CAC"/>
    <w:rsid w:val="00FF5E6F"/>
    <w:rsid w:val="00FF5EAE"/>
    <w:rsid w:val="00FF5EF8"/>
    <w:rsid w:val="00FF5F68"/>
    <w:rsid w:val="00FF5FB1"/>
    <w:rsid w:val="00FF608D"/>
    <w:rsid w:val="00FF652B"/>
    <w:rsid w:val="00FF69F9"/>
    <w:rsid w:val="00FF6A66"/>
    <w:rsid w:val="00FF6C9C"/>
    <w:rsid w:val="00FF6EE4"/>
    <w:rsid w:val="00FF70B5"/>
    <w:rsid w:val="00FF70D5"/>
    <w:rsid w:val="00FF71BA"/>
    <w:rsid w:val="00FF71CC"/>
    <w:rsid w:val="00FF7280"/>
    <w:rsid w:val="00FF7560"/>
    <w:rsid w:val="00FF76B0"/>
    <w:rsid w:val="00FF7836"/>
    <w:rsid w:val="00FF7B41"/>
    <w:rsid w:val="00FF7C4B"/>
    <w:rsid w:val="00FF7D85"/>
    <w:rsid w:val="00FF7DA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1B2801"/>
  <w15:docId w15:val="{D46F5D97-8D5C-4EFC-9655-9E55E2A14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qFormat="1"/>
    <w:lsdException w:name="heading 4" w:uiPriority="1" w:qFormat="1"/>
    <w:lsdException w:name="heading 5" w:semiHidden="1" w:uiPriority="1"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iPriority="3"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A62"/>
    <w:pPr>
      <w:spacing w:after="170"/>
    </w:pPr>
    <w:rPr>
      <w:lang w:val="en-AU"/>
    </w:rPr>
  </w:style>
  <w:style w:type="paragraph" w:styleId="Heading1">
    <w:name w:val="heading 1"/>
    <w:basedOn w:val="Normal"/>
    <w:next w:val="Normal"/>
    <w:link w:val="Heading1Char"/>
    <w:uiPriority w:val="1"/>
    <w:qFormat/>
    <w:rsid w:val="009E2F33"/>
    <w:pPr>
      <w:keepNext/>
      <w:keepLines/>
      <w:pageBreakBefore/>
      <w:numPr>
        <w:numId w:val="3"/>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550003"/>
    <w:pPr>
      <w:keepNext/>
      <w:keepLines/>
      <w:numPr>
        <w:ilvl w:val="1"/>
        <w:numId w:val="3"/>
      </w:numPr>
      <w:spacing w:before="240" w:after="0" w:line="280" w:lineRule="atLeast"/>
      <w:outlineLvl w:val="1"/>
    </w:pPr>
    <w:rPr>
      <w:rFonts w:eastAsiaTheme="majorEastAsia" w:cstheme="majorBidi"/>
      <w:b/>
      <w:bCs/>
      <w:color w:val="62B5E5" w:themeColor="accent3"/>
      <w:sz w:val="22"/>
      <w:szCs w:val="26"/>
    </w:rPr>
  </w:style>
  <w:style w:type="paragraph" w:styleId="Heading3">
    <w:name w:val="heading 3"/>
    <w:basedOn w:val="Normal"/>
    <w:next w:val="Normal"/>
    <w:link w:val="Heading3Char"/>
    <w:uiPriority w:val="1"/>
    <w:qFormat/>
    <w:rsid w:val="00F9113D"/>
    <w:pPr>
      <w:keepNext/>
      <w:keepLines/>
      <w:numPr>
        <w:ilvl w:val="2"/>
        <w:numId w:val="3"/>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F9113D"/>
    <w:pPr>
      <w:keepNext/>
      <w:keepLines/>
      <w:numPr>
        <w:ilvl w:val="3"/>
        <w:numId w:val="3"/>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qFormat/>
    <w:rsid w:val="00F9113D"/>
    <w:pPr>
      <w:keepNext/>
      <w:keepLines/>
      <w:numPr>
        <w:ilvl w:val="4"/>
        <w:numId w:val="3"/>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3"/>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550003"/>
    <w:rPr>
      <w:rFonts w:eastAsiaTheme="majorEastAsia" w:cstheme="majorBidi"/>
      <w:b/>
      <w:bCs/>
      <w:color w:val="62B5E5" w:themeColor="accent3"/>
      <w:sz w:val="22"/>
      <w:szCs w:val="26"/>
      <w:lang w:val="en-AU"/>
    </w:rPr>
  </w:style>
  <w:style w:type="table" w:styleId="TableGrid">
    <w:name w:val="Table Grid"/>
    <w:basedOn w:val="TableNormal"/>
    <w:uiPriority w:val="5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99"/>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99"/>
    <w:semiHidden/>
    <w:rsid w:val="000116B0"/>
    <w:rPr>
      <w:sz w:val="14"/>
      <w:lang w:val="en-AU"/>
    </w:rPr>
  </w:style>
  <w:style w:type="paragraph" w:styleId="Footer">
    <w:name w:val="footer"/>
    <w:basedOn w:val="Normal"/>
    <w:link w:val="FooterChar"/>
    <w:uiPriority w:val="99"/>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99"/>
    <w:semiHidden/>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3A65F2"/>
    <w:pPr>
      <w:numPr>
        <w:numId w:val="15"/>
      </w:numPr>
      <w:spacing w:after="0"/>
      <w:contextualSpacing/>
    </w:pPr>
    <w:rPr>
      <w:szCs w:val="17"/>
    </w:rPr>
  </w:style>
  <w:style w:type="paragraph" w:styleId="ListBullet2">
    <w:name w:val="List Bullet 2"/>
    <w:basedOn w:val="Normal"/>
    <w:uiPriority w:val="3"/>
    <w:rsid w:val="003A65F2"/>
    <w:pPr>
      <w:numPr>
        <w:numId w:val="17"/>
      </w:numPr>
      <w:spacing w:after="0"/>
      <w:contextualSpacing/>
    </w:pPr>
    <w:rPr>
      <w:szCs w:val="17"/>
    </w:rPr>
  </w:style>
  <w:style w:type="paragraph" w:styleId="ListNumber">
    <w:name w:val="List Number"/>
    <w:basedOn w:val="Normal"/>
    <w:uiPriority w:val="3"/>
    <w:qFormat/>
    <w:rsid w:val="007F7A8C"/>
    <w:pPr>
      <w:numPr>
        <w:numId w:val="16"/>
      </w:numPr>
      <w:spacing w:after="0"/>
      <w:contextualSpacing/>
    </w:pPr>
    <w:rPr>
      <w:szCs w:val="17"/>
    </w:rPr>
  </w:style>
  <w:style w:type="paragraph" w:styleId="ListNumber2">
    <w:name w:val="List Number 2"/>
    <w:basedOn w:val="Normal"/>
    <w:uiPriority w:val="3"/>
    <w:qFormat/>
    <w:rsid w:val="007F7A8C"/>
    <w:pPr>
      <w:numPr>
        <w:ilvl w:val="1"/>
        <w:numId w:val="16"/>
      </w:numPr>
      <w:spacing w:after="0"/>
      <w:contextualSpacing/>
    </w:pPr>
  </w:style>
  <w:style w:type="character" w:customStyle="1" w:styleId="Heading3Char">
    <w:name w:val="Heading 3 Char"/>
    <w:basedOn w:val="DefaultParagraphFont"/>
    <w:link w:val="Heading3"/>
    <w:uiPriority w:val="1"/>
    <w:rsid w:val="00C50447"/>
    <w:rPr>
      <w:rFonts w:eastAsiaTheme="majorEastAsia" w:cstheme="majorBidi"/>
      <w:b/>
      <w:bCs/>
      <w:lang w:val="en-AU"/>
    </w:rPr>
  </w:style>
  <w:style w:type="character" w:customStyle="1" w:styleId="Heading4Char">
    <w:name w:val="Heading 4 Char"/>
    <w:basedOn w:val="DefaultParagraphFont"/>
    <w:link w:val="Heading4"/>
    <w:uiPriority w:val="1"/>
    <w:rsid w:val="00C50447"/>
    <w:rPr>
      <w:rFonts w:eastAsiaTheme="majorEastAsia" w:cstheme="majorBidi"/>
      <w:b/>
      <w:bCs/>
      <w:iCs/>
      <w:color w:val="75787B" w:themeColor="accent6"/>
      <w:lang w:val="en-AU"/>
    </w:rPr>
  </w:style>
  <w:style w:type="paragraph" w:styleId="FootnoteText">
    <w:name w:val="footnote text"/>
    <w:aliases w:val="Footnote Text Char1 Char,Footnote Text Char Char1 Char,Footnote Text Char Char Char Char Char1,Char Char,Footnote Text Char Char Char,Footnote Text Char Char Char Char,fn,FT,ft,SD Footnote Text,Footnote Text AG,(NECG) Footnote Text"/>
    <w:basedOn w:val="Normal"/>
    <w:link w:val="FootnoteTextChar"/>
    <w:uiPriority w:val="99"/>
    <w:qFormat/>
    <w:rsid w:val="00F9113D"/>
    <w:pPr>
      <w:spacing w:after="0" w:line="240" w:lineRule="auto"/>
    </w:pPr>
    <w:rPr>
      <w:sz w:val="16"/>
      <w:szCs w:val="20"/>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n Char,FT Char,ft Char"/>
    <w:basedOn w:val="DefaultParagraphFont"/>
    <w:link w:val="FootnoteText"/>
    <w:uiPriority w:val="99"/>
    <w:rsid w:val="00F9113D"/>
    <w:rPr>
      <w:sz w:val="16"/>
      <w:szCs w:val="20"/>
    </w:rPr>
  </w:style>
  <w:style w:type="paragraph" w:customStyle="1" w:styleId="Documenttitle">
    <w:name w:val="Document title"/>
    <w:next w:val="Documentsubtitle"/>
    <w:uiPriority w:val="7"/>
    <w:rsid w:val="00EA4B90"/>
    <w:pPr>
      <w:spacing w:line="440" w:lineRule="atLeast"/>
    </w:pPr>
    <w:rPr>
      <w:rFonts w:eastAsiaTheme="majorEastAsia" w:cstheme="majorBidi"/>
      <w:b/>
      <w:bCs/>
      <w:color w:val="000000" w:themeColor="text1"/>
      <w:sz w:val="36"/>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aliases w:val="fr,(NECG) Footnote Reference,Ref,de nota al pie"/>
    <w:basedOn w:val="DefaultParagraphFont"/>
    <w:uiPriority w:val="99"/>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link w:val="CaptionChar"/>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rsid w:val="00C672BD"/>
    <w:rPr>
      <w:color w:val="auto"/>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F9113D"/>
    <w:pPr>
      <w:spacing w:after="120" w:line="440" w:lineRule="atLeast"/>
    </w:pPr>
    <w:rPr>
      <w:sz w:val="36"/>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A242DE"/>
    <w:pPr>
      <w:tabs>
        <w:tab w:val="left" w:pos="567"/>
        <w:tab w:val="right" w:pos="6917"/>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FC1637"/>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FC1637"/>
    <w:pPr>
      <w:spacing w:after="0" w:line="200" w:lineRule="atLeast"/>
      <w:ind w:left="57" w:right="57"/>
    </w:pPr>
    <w:rPr>
      <w:sz w:val="17"/>
    </w:rPr>
  </w:style>
  <w:style w:type="paragraph" w:customStyle="1" w:styleId="TableHeadingLeft">
    <w:name w:val="Table Heading Left"/>
    <w:basedOn w:val="TabletextLeft"/>
    <w:uiPriority w:val="5"/>
    <w:rsid w:val="00BD7322"/>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9"/>
      </w:numPr>
      <w:suppressOverlap/>
    </w:pPr>
  </w:style>
  <w:style w:type="paragraph" w:customStyle="1" w:styleId="Tablenumbered">
    <w:name w:val="Table numbered"/>
    <w:basedOn w:val="TabletextLeft"/>
    <w:uiPriority w:val="5"/>
    <w:rsid w:val="00F9113D"/>
    <w:pPr>
      <w:framePr w:hSpace="180" w:wrap="around" w:vAnchor="text" w:hAnchor="text" w:y="1"/>
      <w:numPr>
        <w:numId w:val="10"/>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FE6C88"/>
    <w:pPr>
      <w:spacing w:line="240" w:lineRule="auto"/>
    </w:pPr>
    <w:rPr>
      <w:szCs w:val="20"/>
    </w:rPr>
  </w:style>
  <w:style w:type="character" w:customStyle="1" w:styleId="EndnoteTextChar">
    <w:name w:val="Endnote Text Char"/>
    <w:basedOn w:val="DefaultParagraphFont"/>
    <w:link w:val="EndnoteText"/>
    <w:uiPriority w:val="99"/>
    <w:semiHidden/>
    <w:rsid w:val="00FE6C88"/>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qFormat/>
    <w:rsid w:val="00F9113D"/>
    <w:rPr>
      <w:b/>
      <w:bCs/>
      <w:i/>
      <w:iCs/>
      <w:color w:val="86BC25" w:themeColor="accent1"/>
      <w:lang w:val="en-AU"/>
    </w:rPr>
  </w:style>
  <w:style w:type="paragraph" w:styleId="IntenseQuote">
    <w:name w:val="Intense Quote"/>
    <w:basedOn w:val="Normal"/>
    <w:next w:val="Normal"/>
    <w:link w:val="IntenseQuoteChar"/>
    <w:uiPriority w:val="30"/>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rsid w:val="00F9113D"/>
    <w:rPr>
      <w:b/>
      <w:bCs/>
      <w:i/>
      <w:iCs/>
      <w:color w:val="86BC25" w:themeColor="accent1"/>
    </w:rPr>
  </w:style>
  <w:style w:type="character" w:styleId="IntenseReference">
    <w:name w:val="Intense Reference"/>
    <w:basedOn w:val="DefaultParagraphFont"/>
    <w:uiPriority w:val="99"/>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3A65F2"/>
    <w:pPr>
      <w:numPr>
        <w:numId w:val="18"/>
      </w:numPr>
      <w:spacing w:after="0"/>
      <w:ind w:left="1020" w:hanging="340"/>
      <w:contextualSpacing/>
    </w:pPr>
  </w:style>
  <w:style w:type="paragraph" w:styleId="ListBullet4">
    <w:name w:val="List Bullet 4"/>
    <w:basedOn w:val="Normal"/>
    <w:uiPriority w:val="99"/>
    <w:semiHidden/>
    <w:rsid w:val="00F9113D"/>
    <w:pPr>
      <w:numPr>
        <w:numId w:val="4"/>
      </w:numPr>
      <w:contextualSpacing/>
    </w:pPr>
  </w:style>
  <w:style w:type="paragraph" w:styleId="ListBullet5">
    <w:name w:val="List Bullet 5"/>
    <w:basedOn w:val="Normal"/>
    <w:uiPriority w:val="99"/>
    <w:semiHidden/>
    <w:rsid w:val="00F9113D"/>
    <w:pPr>
      <w:numPr>
        <w:numId w:val="5"/>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6"/>
      </w:numPr>
      <w:contextualSpacing/>
    </w:pPr>
  </w:style>
  <w:style w:type="paragraph" w:styleId="ListNumber4">
    <w:name w:val="List Number 4"/>
    <w:basedOn w:val="Normal"/>
    <w:uiPriority w:val="99"/>
    <w:semiHidden/>
    <w:rsid w:val="00F9113D"/>
    <w:pPr>
      <w:numPr>
        <w:numId w:val="6"/>
      </w:numPr>
      <w:contextualSpacing/>
    </w:pPr>
  </w:style>
  <w:style w:type="paragraph" w:styleId="ListNumber5">
    <w:name w:val="List Number 5"/>
    <w:basedOn w:val="Normal"/>
    <w:uiPriority w:val="99"/>
    <w:semiHidden/>
    <w:rsid w:val="00F9113D"/>
    <w:pPr>
      <w:numPr>
        <w:numId w:val="7"/>
      </w:numPr>
      <w:contextualSpacing/>
    </w:pPr>
  </w:style>
  <w:style w:type="paragraph" w:styleId="ListParagraph">
    <w:name w:val="List Paragraph"/>
    <w:aliases w:val="Use Case List Paragraph,List Paragraph - bullets,standard lewis,Numbered Para 1,Dot pt,No Spacing1,List Paragraph Char Char Char,Indicator Text,List Paragraph1,Bullet Points,Bullet (1st level),First level bullet point,Recommendation,B1,L"/>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qFormat/>
    <w:rsid w:val="00F9113D"/>
    <w:pPr>
      <w:spacing w:after="0"/>
    </w:pPr>
    <w:rPr>
      <w:i/>
      <w:iCs/>
      <w:color w:val="000000" w:themeColor="text1"/>
    </w:rPr>
  </w:style>
  <w:style w:type="character" w:customStyle="1" w:styleId="QuoteChar">
    <w:name w:val="Quote Char"/>
    <w:basedOn w:val="DefaultParagraphFont"/>
    <w:link w:val="Quote"/>
    <w:uiPriority w:val="29"/>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qFormat/>
    <w:rsid w:val="00F9113D"/>
    <w:rPr>
      <w:b/>
      <w:bCs/>
      <w:lang w:val="en-AU"/>
    </w:rPr>
  </w:style>
  <w:style w:type="paragraph" w:styleId="Subtitle">
    <w:name w:val="Subtitle"/>
    <w:basedOn w:val="Normal"/>
    <w:next w:val="Normal"/>
    <w:link w:val="SubtitleChar"/>
    <w:uiPriority w:val="11"/>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qFormat/>
    <w:rsid w:val="00F9113D"/>
    <w:rPr>
      <w:i/>
      <w:iCs/>
      <w:color w:val="808080" w:themeColor="text1" w:themeTint="7F"/>
      <w:lang w:val="en-AU"/>
    </w:rPr>
  </w:style>
  <w:style w:type="character" w:styleId="SubtleReference">
    <w:name w:val="Subtle Reference"/>
    <w:basedOn w:val="DefaultParagraphFont"/>
    <w:uiPriority w:val="99"/>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A242DE"/>
    <w:pPr>
      <w:tabs>
        <w:tab w:val="left" w:pos="567"/>
        <w:tab w:val="right" w:pos="6917"/>
      </w:tabs>
      <w:spacing w:after="100"/>
      <w:ind w:left="1134" w:right="567" w:hanging="567"/>
      <w:contextualSpacing/>
    </w:pPr>
  </w:style>
  <w:style w:type="paragraph" w:styleId="TOC3">
    <w:name w:val="toc 3"/>
    <w:basedOn w:val="Normal"/>
    <w:next w:val="Normal"/>
    <w:uiPriority w:val="39"/>
    <w:rsid w:val="00A242DE"/>
    <w:pPr>
      <w:tabs>
        <w:tab w:val="left" w:pos="1021"/>
        <w:tab w:val="right" w:pos="6917"/>
      </w:tabs>
      <w:spacing w:after="100"/>
      <w:ind w:left="567" w:right="567"/>
      <w:contextualSpacing/>
    </w:pPr>
  </w:style>
  <w:style w:type="paragraph" w:styleId="TOC4">
    <w:name w:val="toc 4"/>
    <w:basedOn w:val="Normal"/>
    <w:next w:val="Normal"/>
    <w:uiPriority w:val="39"/>
    <w:rsid w:val="00F0232D"/>
    <w:pPr>
      <w:spacing w:after="100"/>
      <w:ind w:right="567"/>
      <w:contextualSpacing/>
    </w:pPr>
  </w:style>
  <w:style w:type="paragraph" w:styleId="TOC5">
    <w:name w:val="toc 5"/>
    <w:basedOn w:val="Normal"/>
    <w:next w:val="Normal"/>
    <w:uiPriority w:val="39"/>
    <w:semiHidden/>
    <w:rsid w:val="00F9113D"/>
    <w:pPr>
      <w:spacing w:after="100"/>
      <w:ind w:left="567" w:right="567"/>
      <w:contextualSpacing/>
    </w:pPr>
  </w:style>
  <w:style w:type="paragraph" w:styleId="TOC6">
    <w:name w:val="toc 6"/>
    <w:basedOn w:val="Normal"/>
    <w:next w:val="Normal"/>
    <w:uiPriority w:val="39"/>
    <w:rsid w:val="00F0232D"/>
    <w:pPr>
      <w:spacing w:after="100"/>
      <w:ind w:right="567"/>
      <w:contextualSpacing/>
    </w:pPr>
  </w:style>
  <w:style w:type="paragraph" w:styleId="TOC7">
    <w:name w:val="toc 7"/>
    <w:basedOn w:val="Normal"/>
    <w:next w:val="Normal"/>
    <w:uiPriority w:val="39"/>
    <w:rsid w:val="00F0232D"/>
    <w:pPr>
      <w:spacing w:after="100"/>
      <w:ind w:right="567"/>
      <w:contextualSpacing/>
    </w:pPr>
  </w:style>
  <w:style w:type="paragraph" w:styleId="TOC8">
    <w:name w:val="toc 8"/>
    <w:basedOn w:val="Normal"/>
    <w:next w:val="Normal"/>
    <w:uiPriority w:val="39"/>
    <w:rsid w:val="00F0232D"/>
    <w:pPr>
      <w:spacing w:after="100"/>
      <w:ind w:right="567"/>
      <w:contextualSpacing/>
    </w:pPr>
  </w:style>
  <w:style w:type="paragraph" w:styleId="TOC9">
    <w:name w:val="toc 9"/>
    <w:basedOn w:val="Normal"/>
    <w:next w:val="Normal"/>
    <w:uiPriority w:val="39"/>
    <w:semiHidden/>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E6C88"/>
    <w:pPr>
      <w:tabs>
        <w:tab w:val="clear" w:pos="7371"/>
      </w:tabs>
      <w:spacing w:line="130" w:lineRule="atLeast"/>
      <w:suppressOverlap/>
    </w:pPr>
    <w:rPr>
      <w:rFonts w:eastAsia="Times New Roman" w:cs="Arial"/>
      <w:noProof/>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CF23CD"/>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2"/>
      </w:numPr>
      <w:suppressAutoHyphens/>
      <w:spacing w:after="0" w:line="250" w:lineRule="atLeast"/>
    </w:pPr>
  </w:style>
  <w:style w:type="paragraph" w:customStyle="1" w:styleId="BulletedText2">
    <w:name w:val="Bulleted Text 2"/>
    <w:basedOn w:val="Normal"/>
    <w:uiPriority w:val="4"/>
    <w:semiHidden/>
    <w:rsid w:val="00F9113D"/>
    <w:pPr>
      <w:numPr>
        <w:ilvl w:val="1"/>
        <w:numId w:val="2"/>
      </w:numPr>
      <w:suppressAutoHyphens/>
      <w:spacing w:after="0" w:line="250" w:lineRule="atLeast"/>
    </w:pPr>
  </w:style>
  <w:style w:type="paragraph" w:customStyle="1" w:styleId="Numberslevel1">
    <w:name w:val="Numbers level 1"/>
    <w:basedOn w:val="Normal"/>
    <w:uiPriority w:val="4"/>
    <w:semiHidden/>
    <w:qFormat/>
    <w:rsid w:val="00F9113D"/>
    <w:pPr>
      <w:numPr>
        <w:numId w:val="8"/>
      </w:numPr>
      <w:suppressAutoHyphens/>
      <w:spacing w:after="0" w:line="250" w:lineRule="atLeast"/>
    </w:pPr>
  </w:style>
  <w:style w:type="paragraph" w:customStyle="1" w:styleId="Numberslevel2">
    <w:name w:val="Numbers level 2"/>
    <w:basedOn w:val="Normal"/>
    <w:uiPriority w:val="4"/>
    <w:semiHidden/>
    <w:rsid w:val="00F9113D"/>
    <w:pPr>
      <w:numPr>
        <w:ilvl w:val="1"/>
        <w:numId w:val="8"/>
      </w:numPr>
      <w:suppressAutoHyphens/>
      <w:spacing w:after="0" w:line="250" w:lineRule="atLeast"/>
    </w:pPr>
  </w:style>
  <w:style w:type="paragraph" w:customStyle="1" w:styleId="Numberslevel3">
    <w:name w:val="Numbers level 3"/>
    <w:basedOn w:val="Normal"/>
    <w:uiPriority w:val="4"/>
    <w:semiHidden/>
    <w:rsid w:val="00F9113D"/>
    <w:pPr>
      <w:numPr>
        <w:ilvl w:val="2"/>
        <w:numId w:val="8"/>
      </w:numPr>
      <w:suppressAutoHyphens/>
      <w:spacing w:after="0" w:line="250" w:lineRule="atLeast"/>
    </w:pPr>
  </w:style>
  <w:style w:type="paragraph" w:customStyle="1" w:styleId="TabletextLeftTotal">
    <w:name w:val="Table text Left Total"/>
    <w:basedOn w:val="TabletextLeft"/>
    <w:uiPriority w:val="5"/>
    <w:rsid w:val="00135C5C"/>
    <w:rPr>
      <w:b/>
    </w:rPr>
  </w:style>
  <w:style w:type="paragraph" w:customStyle="1" w:styleId="TabletextRightTotal">
    <w:name w:val="Table text Right Total"/>
    <w:basedOn w:val="TabletextRight"/>
    <w:uiPriority w:val="5"/>
    <w:rsid w:val="002C7E6E"/>
    <w:rPr>
      <w:b/>
    </w:rPr>
  </w:style>
  <w:style w:type="table" w:customStyle="1" w:styleId="DeloitteBandedrows">
    <w:name w:val="Deloitte Banded rows"/>
    <w:basedOn w:val="TableNormal"/>
    <w:uiPriority w:val="99"/>
    <w:rsid w:val="00FC1637"/>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550003"/>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6C74B8"/>
    <w:pPr>
      <w:keepNext/>
      <w:keepLines/>
      <w:numPr>
        <w:ilvl w:val="6"/>
        <w:numId w:val="3"/>
      </w:numPr>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rsid w:val="00700914"/>
    <w:pPr>
      <w:keepNext/>
      <w:keepLines/>
      <w:numPr>
        <w:ilvl w:val="8"/>
        <w:numId w:val="3"/>
      </w:numPr>
    </w:pPr>
    <w:rPr>
      <w:bCs/>
      <w:color w:val="75787B" w:themeColor="accent6"/>
      <w:sz w:val="17"/>
      <w:szCs w:val="22"/>
    </w:rPr>
  </w:style>
  <w:style w:type="paragraph" w:customStyle="1" w:styleId="CaptionChart">
    <w:name w:val="Caption_Chart"/>
    <w:basedOn w:val="Normal"/>
    <w:next w:val="Normal"/>
    <w:uiPriority w:val="4"/>
    <w:rsid w:val="006C74B8"/>
    <w:pPr>
      <w:keepNext/>
      <w:keepLines/>
      <w:numPr>
        <w:ilvl w:val="7"/>
        <w:numId w:val="3"/>
      </w:numPr>
    </w:pPr>
    <w:rPr>
      <w:color w:val="75787B" w:themeColor="accent6"/>
      <w:sz w:val="17"/>
    </w:rPr>
  </w:style>
  <w:style w:type="paragraph" w:customStyle="1" w:styleId="ExecutiveHeading">
    <w:name w:val="Executive Heading"/>
    <w:basedOn w:val="Heading1un-numbered"/>
    <w:next w:val="Normal"/>
    <w:uiPriority w:val="3"/>
    <w:rsid w:val="005E5001"/>
    <w:pPr>
      <w:numPr>
        <w:numId w:val="11"/>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1"/>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1"/>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1"/>
      </w:numPr>
    </w:pPr>
    <w:rPr>
      <w:rFonts w:eastAsia="Times New Roman" w:cs="Times New Roman"/>
      <w:szCs w:val="20"/>
    </w:rPr>
  </w:style>
  <w:style w:type="paragraph" w:customStyle="1" w:styleId="Appendixhead2">
    <w:name w:val="Appendix_head_2"/>
    <w:basedOn w:val="Heading2"/>
    <w:next w:val="Normal"/>
    <w:link w:val="Appendixhead2Char"/>
    <w:uiPriority w:val="3"/>
    <w:rsid w:val="00A95553"/>
    <w:pPr>
      <w:numPr>
        <w:numId w:val="13"/>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E06F2E"/>
    <w:pPr>
      <w:numPr>
        <w:numId w:val="13"/>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13"/>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13"/>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A95553"/>
    <w:rPr>
      <w:rFonts w:eastAsia="Times New Roman"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4"/>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BD7322"/>
    <w:pPr>
      <w:jc w:val="center"/>
    </w:pPr>
  </w:style>
  <w:style w:type="paragraph" w:customStyle="1" w:styleId="TableHeadingRight">
    <w:name w:val="Table Heading Right"/>
    <w:basedOn w:val="TableHeadingCentre"/>
    <w:uiPriority w:val="5"/>
    <w:rsid w:val="00BD7322"/>
    <w:pPr>
      <w:jc w:val="right"/>
    </w:pPr>
  </w:style>
  <w:style w:type="paragraph" w:customStyle="1" w:styleId="TabletextRight">
    <w:name w:val="Table text Right"/>
    <w:basedOn w:val="TabletextLeft"/>
    <w:uiPriority w:val="5"/>
    <w:rsid w:val="002E67BC"/>
    <w:pPr>
      <w:jc w:val="right"/>
    </w:pPr>
  </w:style>
  <w:style w:type="paragraph" w:customStyle="1" w:styleId="TabletextCentre">
    <w:name w:val="Table text Centre"/>
    <w:basedOn w:val="TabletextRight"/>
    <w:uiPriority w:val="5"/>
    <w:rsid w:val="00BD7322"/>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BD7322"/>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Normal"/>
    <w:next w:val="Normal"/>
    <w:uiPriority w:val="6"/>
    <w:rsid w:val="00375DF8"/>
    <w:pPr>
      <w:spacing w:after="0" w:line="360" w:lineRule="atLeast"/>
      <w:ind w:left="227" w:right="227"/>
    </w:pPr>
    <w:rPr>
      <w:i/>
      <w:color w:val="62B5E5" w:themeColor="accent3"/>
      <w:sz w:val="28"/>
    </w:rPr>
  </w:style>
  <w:style w:type="paragraph" w:customStyle="1" w:styleId="Pullout-QuoteGreen">
    <w:name w:val="Pullout - Quote Green"/>
    <w:basedOn w:val="Pullout-QuoteBlue"/>
    <w:next w:val="Normal"/>
    <w:uiPriority w:val="6"/>
    <w:rsid w:val="00656308"/>
    <w:rPr>
      <w:color w:val="86BC25" w:themeColor="accent1"/>
    </w:rPr>
  </w:style>
  <w:style w:type="paragraph" w:styleId="Revision">
    <w:name w:val="Revision"/>
    <w:hidden/>
    <w:uiPriority w:val="99"/>
    <w:semiHidden/>
    <w:rsid w:val="00A7379E"/>
    <w:pPr>
      <w:spacing w:line="240" w:lineRule="auto"/>
    </w:pPr>
    <w:rPr>
      <w:lang w:val="en-AU"/>
    </w:rPr>
  </w:style>
  <w:style w:type="character" w:customStyle="1" w:styleId="ListParagraphChar">
    <w:name w:val="List Paragraph Char"/>
    <w:aliases w:val="Use Case List Paragraph Char,List Paragraph - bullets Char,standard lewis Char,Numbered Para 1 Char,Dot pt Char,No Spacing1 Char,List Paragraph Char Char Char Char,Indicator Text Char,List Paragraph1 Char,Bullet Points Char,B1 Char"/>
    <w:basedOn w:val="DefaultParagraphFont"/>
    <w:link w:val="ListParagraph"/>
    <w:uiPriority w:val="34"/>
    <w:qFormat/>
    <w:rsid w:val="00A7379E"/>
    <w:rPr>
      <w:lang w:val="en-AU"/>
    </w:rPr>
  </w:style>
  <w:style w:type="character" w:styleId="UnresolvedMention">
    <w:name w:val="Unresolved Mention"/>
    <w:basedOn w:val="DefaultParagraphFont"/>
    <w:uiPriority w:val="99"/>
    <w:unhideWhenUsed/>
    <w:rsid w:val="00486212"/>
    <w:rPr>
      <w:color w:val="605E5C"/>
      <w:shd w:val="clear" w:color="auto" w:fill="E1DFDD"/>
    </w:rPr>
  </w:style>
  <w:style w:type="character" w:styleId="Mention">
    <w:name w:val="Mention"/>
    <w:basedOn w:val="DefaultParagraphFont"/>
    <w:uiPriority w:val="99"/>
    <w:unhideWhenUsed/>
    <w:rsid w:val="00452E15"/>
    <w:rPr>
      <w:color w:val="2B579A"/>
      <w:shd w:val="clear" w:color="auto" w:fill="E1DFDD"/>
    </w:rPr>
  </w:style>
  <w:style w:type="paragraph" w:customStyle="1" w:styleId="BodyCopyNEW">
    <w:name w:val="Body_Copy_NEW"/>
    <w:basedOn w:val="Normal"/>
    <w:qFormat/>
    <w:rsid w:val="003D5592"/>
    <w:pPr>
      <w:spacing w:after="120" w:line="264" w:lineRule="auto"/>
    </w:pPr>
    <w:rPr>
      <w:rFonts w:ascii="Calibri Light" w:hAnsi="Calibri Light" w:cs="Calibri Light"/>
      <w:szCs w:val="20"/>
    </w:rPr>
  </w:style>
  <w:style w:type="paragraph" w:customStyle="1" w:styleId="Bullet1">
    <w:name w:val="Bullet 1"/>
    <w:basedOn w:val="Normal"/>
    <w:qFormat/>
    <w:rsid w:val="00AE6859"/>
    <w:pPr>
      <w:numPr>
        <w:numId w:val="33"/>
      </w:numPr>
      <w:spacing w:before="60" w:after="0" w:line="240" w:lineRule="auto"/>
    </w:pPr>
    <w:rPr>
      <w:rFonts w:ascii="Calibri" w:eastAsia="Times New Roman" w:hAnsi="Calibri" w:cs="Arial"/>
      <w:sz w:val="22"/>
      <w:szCs w:val="20"/>
      <w:lang w:eastAsia="en-AU"/>
    </w:rPr>
  </w:style>
  <w:style w:type="character" w:customStyle="1" w:styleId="CaptionChar">
    <w:name w:val="Caption Char"/>
    <w:basedOn w:val="DefaultParagraphFont"/>
    <w:link w:val="Caption"/>
    <w:uiPriority w:val="3"/>
    <w:rsid w:val="00B410B6"/>
    <w:rPr>
      <w:iCs/>
      <w:color w:val="75787B" w:themeColor="accent6"/>
      <w:sz w:val="17"/>
      <w:lang w:val="en-AU"/>
    </w:rPr>
  </w:style>
  <w:style w:type="table" w:customStyle="1" w:styleId="Deloittetable12">
    <w:name w:val="Deloitte table12"/>
    <w:basedOn w:val="TableNormal"/>
    <w:uiPriority w:val="99"/>
    <w:rsid w:val="00AE11D2"/>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character" w:customStyle="1" w:styleId="normaltextrun">
    <w:name w:val="normaltextrun"/>
    <w:basedOn w:val="DefaultParagraphFont"/>
    <w:rsid w:val="008703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217259">
      <w:bodyDiv w:val="1"/>
      <w:marLeft w:val="0"/>
      <w:marRight w:val="0"/>
      <w:marTop w:val="0"/>
      <w:marBottom w:val="0"/>
      <w:divBdr>
        <w:top w:val="none" w:sz="0" w:space="0" w:color="auto"/>
        <w:left w:val="none" w:sz="0" w:space="0" w:color="auto"/>
        <w:bottom w:val="none" w:sz="0" w:space="0" w:color="auto"/>
        <w:right w:val="none" w:sz="0" w:space="0" w:color="auto"/>
      </w:divBdr>
    </w:div>
    <w:div w:id="154423843">
      <w:bodyDiv w:val="1"/>
      <w:marLeft w:val="0"/>
      <w:marRight w:val="0"/>
      <w:marTop w:val="0"/>
      <w:marBottom w:val="0"/>
      <w:divBdr>
        <w:top w:val="none" w:sz="0" w:space="0" w:color="auto"/>
        <w:left w:val="none" w:sz="0" w:space="0" w:color="auto"/>
        <w:bottom w:val="none" w:sz="0" w:space="0" w:color="auto"/>
        <w:right w:val="none" w:sz="0" w:space="0" w:color="auto"/>
      </w:divBdr>
    </w:div>
    <w:div w:id="160125378">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71272712">
      <w:bodyDiv w:val="1"/>
      <w:marLeft w:val="0"/>
      <w:marRight w:val="0"/>
      <w:marTop w:val="0"/>
      <w:marBottom w:val="0"/>
      <w:divBdr>
        <w:top w:val="none" w:sz="0" w:space="0" w:color="auto"/>
        <w:left w:val="none" w:sz="0" w:space="0" w:color="auto"/>
        <w:bottom w:val="none" w:sz="0" w:space="0" w:color="auto"/>
        <w:right w:val="none" w:sz="0" w:space="0" w:color="auto"/>
      </w:divBdr>
    </w:div>
    <w:div w:id="387461481">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70194839">
      <w:bodyDiv w:val="1"/>
      <w:marLeft w:val="0"/>
      <w:marRight w:val="0"/>
      <w:marTop w:val="0"/>
      <w:marBottom w:val="0"/>
      <w:divBdr>
        <w:top w:val="none" w:sz="0" w:space="0" w:color="auto"/>
        <w:left w:val="none" w:sz="0" w:space="0" w:color="auto"/>
        <w:bottom w:val="none" w:sz="0" w:space="0" w:color="auto"/>
        <w:right w:val="none" w:sz="0" w:space="0" w:color="auto"/>
      </w:divBdr>
    </w:div>
    <w:div w:id="593131801">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54071569">
      <w:bodyDiv w:val="1"/>
      <w:marLeft w:val="0"/>
      <w:marRight w:val="0"/>
      <w:marTop w:val="0"/>
      <w:marBottom w:val="0"/>
      <w:divBdr>
        <w:top w:val="none" w:sz="0" w:space="0" w:color="auto"/>
        <w:left w:val="none" w:sz="0" w:space="0" w:color="auto"/>
        <w:bottom w:val="none" w:sz="0" w:space="0" w:color="auto"/>
        <w:right w:val="none" w:sz="0" w:space="0" w:color="auto"/>
      </w:divBdr>
    </w:div>
    <w:div w:id="664749788">
      <w:bodyDiv w:val="1"/>
      <w:marLeft w:val="0"/>
      <w:marRight w:val="0"/>
      <w:marTop w:val="0"/>
      <w:marBottom w:val="0"/>
      <w:divBdr>
        <w:top w:val="none" w:sz="0" w:space="0" w:color="auto"/>
        <w:left w:val="none" w:sz="0" w:space="0" w:color="auto"/>
        <w:bottom w:val="none" w:sz="0" w:space="0" w:color="auto"/>
        <w:right w:val="none" w:sz="0" w:space="0" w:color="auto"/>
      </w:divBdr>
    </w:div>
    <w:div w:id="783502894">
      <w:bodyDiv w:val="1"/>
      <w:marLeft w:val="0"/>
      <w:marRight w:val="0"/>
      <w:marTop w:val="0"/>
      <w:marBottom w:val="0"/>
      <w:divBdr>
        <w:top w:val="none" w:sz="0" w:space="0" w:color="auto"/>
        <w:left w:val="none" w:sz="0" w:space="0" w:color="auto"/>
        <w:bottom w:val="none" w:sz="0" w:space="0" w:color="auto"/>
        <w:right w:val="none" w:sz="0" w:space="0" w:color="auto"/>
      </w:divBdr>
    </w:div>
    <w:div w:id="838546123">
      <w:bodyDiv w:val="1"/>
      <w:marLeft w:val="0"/>
      <w:marRight w:val="0"/>
      <w:marTop w:val="0"/>
      <w:marBottom w:val="0"/>
      <w:divBdr>
        <w:top w:val="none" w:sz="0" w:space="0" w:color="auto"/>
        <w:left w:val="none" w:sz="0" w:space="0" w:color="auto"/>
        <w:bottom w:val="none" w:sz="0" w:space="0" w:color="auto"/>
        <w:right w:val="none" w:sz="0" w:space="0" w:color="auto"/>
      </w:divBdr>
    </w:div>
    <w:div w:id="850334673">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84875686">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1006519243">
      <w:bodyDiv w:val="1"/>
      <w:marLeft w:val="0"/>
      <w:marRight w:val="0"/>
      <w:marTop w:val="0"/>
      <w:marBottom w:val="0"/>
      <w:divBdr>
        <w:top w:val="none" w:sz="0" w:space="0" w:color="auto"/>
        <w:left w:val="none" w:sz="0" w:space="0" w:color="auto"/>
        <w:bottom w:val="none" w:sz="0" w:space="0" w:color="auto"/>
        <w:right w:val="none" w:sz="0" w:space="0" w:color="auto"/>
      </w:divBdr>
      <w:divsChild>
        <w:div w:id="839079406">
          <w:marLeft w:val="0"/>
          <w:marRight w:val="0"/>
          <w:marTop w:val="0"/>
          <w:marBottom w:val="0"/>
          <w:divBdr>
            <w:top w:val="none" w:sz="0" w:space="0" w:color="auto"/>
            <w:left w:val="none" w:sz="0" w:space="0" w:color="auto"/>
            <w:bottom w:val="none" w:sz="0" w:space="0" w:color="auto"/>
            <w:right w:val="none" w:sz="0" w:space="0" w:color="auto"/>
          </w:divBdr>
        </w:div>
      </w:divsChild>
    </w:div>
    <w:div w:id="1069840049">
      <w:bodyDiv w:val="1"/>
      <w:marLeft w:val="0"/>
      <w:marRight w:val="0"/>
      <w:marTop w:val="0"/>
      <w:marBottom w:val="0"/>
      <w:divBdr>
        <w:top w:val="none" w:sz="0" w:space="0" w:color="auto"/>
        <w:left w:val="none" w:sz="0" w:space="0" w:color="auto"/>
        <w:bottom w:val="none" w:sz="0" w:space="0" w:color="auto"/>
        <w:right w:val="none" w:sz="0" w:space="0" w:color="auto"/>
      </w:divBdr>
    </w:div>
    <w:div w:id="1087388352">
      <w:bodyDiv w:val="1"/>
      <w:marLeft w:val="0"/>
      <w:marRight w:val="0"/>
      <w:marTop w:val="0"/>
      <w:marBottom w:val="0"/>
      <w:divBdr>
        <w:top w:val="none" w:sz="0" w:space="0" w:color="auto"/>
        <w:left w:val="none" w:sz="0" w:space="0" w:color="auto"/>
        <w:bottom w:val="none" w:sz="0" w:space="0" w:color="auto"/>
        <w:right w:val="none" w:sz="0" w:space="0" w:color="auto"/>
      </w:divBdr>
    </w:div>
    <w:div w:id="1113751084">
      <w:bodyDiv w:val="1"/>
      <w:marLeft w:val="0"/>
      <w:marRight w:val="0"/>
      <w:marTop w:val="0"/>
      <w:marBottom w:val="0"/>
      <w:divBdr>
        <w:top w:val="none" w:sz="0" w:space="0" w:color="auto"/>
        <w:left w:val="none" w:sz="0" w:space="0" w:color="auto"/>
        <w:bottom w:val="none" w:sz="0" w:space="0" w:color="auto"/>
        <w:right w:val="none" w:sz="0" w:space="0" w:color="auto"/>
      </w:divBdr>
    </w:div>
    <w:div w:id="1125387288">
      <w:bodyDiv w:val="1"/>
      <w:marLeft w:val="0"/>
      <w:marRight w:val="0"/>
      <w:marTop w:val="0"/>
      <w:marBottom w:val="0"/>
      <w:divBdr>
        <w:top w:val="none" w:sz="0" w:space="0" w:color="auto"/>
        <w:left w:val="none" w:sz="0" w:space="0" w:color="auto"/>
        <w:bottom w:val="none" w:sz="0" w:space="0" w:color="auto"/>
        <w:right w:val="none" w:sz="0" w:space="0" w:color="auto"/>
      </w:divBdr>
    </w:div>
    <w:div w:id="1136341118">
      <w:bodyDiv w:val="1"/>
      <w:marLeft w:val="0"/>
      <w:marRight w:val="0"/>
      <w:marTop w:val="0"/>
      <w:marBottom w:val="0"/>
      <w:divBdr>
        <w:top w:val="none" w:sz="0" w:space="0" w:color="auto"/>
        <w:left w:val="none" w:sz="0" w:space="0" w:color="auto"/>
        <w:bottom w:val="none" w:sz="0" w:space="0" w:color="auto"/>
        <w:right w:val="none" w:sz="0" w:space="0" w:color="auto"/>
      </w:divBdr>
    </w:div>
    <w:div w:id="1166437490">
      <w:bodyDiv w:val="1"/>
      <w:marLeft w:val="0"/>
      <w:marRight w:val="0"/>
      <w:marTop w:val="0"/>
      <w:marBottom w:val="0"/>
      <w:divBdr>
        <w:top w:val="none" w:sz="0" w:space="0" w:color="auto"/>
        <w:left w:val="none" w:sz="0" w:space="0" w:color="auto"/>
        <w:bottom w:val="none" w:sz="0" w:space="0" w:color="auto"/>
        <w:right w:val="none" w:sz="0" w:space="0" w:color="auto"/>
      </w:divBdr>
    </w:div>
    <w:div w:id="1186289691">
      <w:bodyDiv w:val="1"/>
      <w:marLeft w:val="0"/>
      <w:marRight w:val="0"/>
      <w:marTop w:val="0"/>
      <w:marBottom w:val="0"/>
      <w:divBdr>
        <w:top w:val="none" w:sz="0" w:space="0" w:color="auto"/>
        <w:left w:val="none" w:sz="0" w:space="0" w:color="auto"/>
        <w:bottom w:val="none" w:sz="0" w:space="0" w:color="auto"/>
        <w:right w:val="none" w:sz="0" w:space="0" w:color="auto"/>
      </w:divBdr>
    </w:div>
    <w:div w:id="1200438863">
      <w:bodyDiv w:val="1"/>
      <w:marLeft w:val="0"/>
      <w:marRight w:val="0"/>
      <w:marTop w:val="0"/>
      <w:marBottom w:val="0"/>
      <w:divBdr>
        <w:top w:val="none" w:sz="0" w:space="0" w:color="auto"/>
        <w:left w:val="none" w:sz="0" w:space="0" w:color="auto"/>
        <w:bottom w:val="none" w:sz="0" w:space="0" w:color="auto"/>
        <w:right w:val="none" w:sz="0" w:space="0" w:color="auto"/>
      </w:divBdr>
    </w:div>
    <w:div w:id="1211649174">
      <w:bodyDiv w:val="1"/>
      <w:marLeft w:val="0"/>
      <w:marRight w:val="0"/>
      <w:marTop w:val="0"/>
      <w:marBottom w:val="0"/>
      <w:divBdr>
        <w:top w:val="none" w:sz="0" w:space="0" w:color="auto"/>
        <w:left w:val="none" w:sz="0" w:space="0" w:color="auto"/>
        <w:bottom w:val="none" w:sz="0" w:space="0" w:color="auto"/>
        <w:right w:val="none" w:sz="0" w:space="0" w:color="auto"/>
      </w:divBdr>
      <w:divsChild>
        <w:div w:id="1520199846">
          <w:marLeft w:val="0"/>
          <w:marRight w:val="0"/>
          <w:marTop w:val="0"/>
          <w:marBottom w:val="0"/>
          <w:divBdr>
            <w:top w:val="none" w:sz="0" w:space="0" w:color="auto"/>
            <w:left w:val="none" w:sz="0" w:space="0" w:color="auto"/>
            <w:bottom w:val="none" w:sz="0" w:space="0" w:color="auto"/>
            <w:right w:val="none" w:sz="0" w:space="0" w:color="auto"/>
          </w:divBdr>
        </w:div>
      </w:divsChild>
    </w:div>
    <w:div w:id="1221526135">
      <w:bodyDiv w:val="1"/>
      <w:marLeft w:val="0"/>
      <w:marRight w:val="0"/>
      <w:marTop w:val="0"/>
      <w:marBottom w:val="0"/>
      <w:divBdr>
        <w:top w:val="none" w:sz="0" w:space="0" w:color="auto"/>
        <w:left w:val="none" w:sz="0" w:space="0" w:color="auto"/>
        <w:bottom w:val="none" w:sz="0" w:space="0" w:color="auto"/>
        <w:right w:val="none" w:sz="0" w:space="0" w:color="auto"/>
      </w:divBdr>
      <w:divsChild>
        <w:div w:id="748309641">
          <w:marLeft w:val="0"/>
          <w:marRight w:val="0"/>
          <w:marTop w:val="0"/>
          <w:marBottom w:val="0"/>
          <w:divBdr>
            <w:top w:val="none" w:sz="0" w:space="0" w:color="auto"/>
            <w:left w:val="none" w:sz="0" w:space="0" w:color="auto"/>
            <w:bottom w:val="none" w:sz="0" w:space="0" w:color="auto"/>
            <w:right w:val="none" w:sz="0" w:space="0" w:color="auto"/>
          </w:divBdr>
        </w:div>
      </w:divsChild>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54631217">
      <w:bodyDiv w:val="1"/>
      <w:marLeft w:val="0"/>
      <w:marRight w:val="0"/>
      <w:marTop w:val="0"/>
      <w:marBottom w:val="0"/>
      <w:divBdr>
        <w:top w:val="none" w:sz="0" w:space="0" w:color="auto"/>
        <w:left w:val="none" w:sz="0" w:space="0" w:color="auto"/>
        <w:bottom w:val="none" w:sz="0" w:space="0" w:color="auto"/>
        <w:right w:val="none" w:sz="0" w:space="0" w:color="auto"/>
      </w:divBdr>
    </w:div>
    <w:div w:id="1262177854">
      <w:bodyDiv w:val="1"/>
      <w:marLeft w:val="0"/>
      <w:marRight w:val="0"/>
      <w:marTop w:val="0"/>
      <w:marBottom w:val="0"/>
      <w:divBdr>
        <w:top w:val="none" w:sz="0" w:space="0" w:color="auto"/>
        <w:left w:val="none" w:sz="0" w:space="0" w:color="auto"/>
        <w:bottom w:val="none" w:sz="0" w:space="0" w:color="auto"/>
        <w:right w:val="none" w:sz="0" w:space="0" w:color="auto"/>
      </w:divBdr>
    </w:div>
    <w:div w:id="1262180183">
      <w:bodyDiv w:val="1"/>
      <w:marLeft w:val="0"/>
      <w:marRight w:val="0"/>
      <w:marTop w:val="0"/>
      <w:marBottom w:val="0"/>
      <w:divBdr>
        <w:top w:val="none" w:sz="0" w:space="0" w:color="auto"/>
        <w:left w:val="none" w:sz="0" w:space="0" w:color="auto"/>
        <w:bottom w:val="none" w:sz="0" w:space="0" w:color="auto"/>
        <w:right w:val="none" w:sz="0" w:space="0" w:color="auto"/>
      </w:divBdr>
    </w:div>
    <w:div w:id="1347947232">
      <w:bodyDiv w:val="1"/>
      <w:marLeft w:val="0"/>
      <w:marRight w:val="0"/>
      <w:marTop w:val="0"/>
      <w:marBottom w:val="0"/>
      <w:divBdr>
        <w:top w:val="none" w:sz="0" w:space="0" w:color="auto"/>
        <w:left w:val="none" w:sz="0" w:space="0" w:color="auto"/>
        <w:bottom w:val="none" w:sz="0" w:space="0" w:color="auto"/>
        <w:right w:val="none" w:sz="0" w:space="0" w:color="auto"/>
      </w:divBdr>
    </w:div>
    <w:div w:id="1397125152">
      <w:bodyDiv w:val="1"/>
      <w:marLeft w:val="0"/>
      <w:marRight w:val="0"/>
      <w:marTop w:val="0"/>
      <w:marBottom w:val="0"/>
      <w:divBdr>
        <w:top w:val="none" w:sz="0" w:space="0" w:color="auto"/>
        <w:left w:val="none" w:sz="0" w:space="0" w:color="auto"/>
        <w:bottom w:val="none" w:sz="0" w:space="0" w:color="auto"/>
        <w:right w:val="none" w:sz="0" w:space="0" w:color="auto"/>
      </w:divBdr>
    </w:div>
    <w:div w:id="1426345403">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15728904">
      <w:bodyDiv w:val="1"/>
      <w:marLeft w:val="0"/>
      <w:marRight w:val="0"/>
      <w:marTop w:val="0"/>
      <w:marBottom w:val="0"/>
      <w:divBdr>
        <w:top w:val="none" w:sz="0" w:space="0" w:color="auto"/>
        <w:left w:val="none" w:sz="0" w:space="0" w:color="auto"/>
        <w:bottom w:val="none" w:sz="0" w:space="0" w:color="auto"/>
        <w:right w:val="none" w:sz="0" w:space="0" w:color="auto"/>
      </w:divBdr>
    </w:div>
    <w:div w:id="1558079569">
      <w:bodyDiv w:val="1"/>
      <w:marLeft w:val="0"/>
      <w:marRight w:val="0"/>
      <w:marTop w:val="0"/>
      <w:marBottom w:val="0"/>
      <w:divBdr>
        <w:top w:val="none" w:sz="0" w:space="0" w:color="auto"/>
        <w:left w:val="none" w:sz="0" w:space="0" w:color="auto"/>
        <w:bottom w:val="none" w:sz="0" w:space="0" w:color="auto"/>
        <w:right w:val="none" w:sz="0" w:space="0" w:color="auto"/>
      </w:divBdr>
    </w:div>
    <w:div w:id="1593195478">
      <w:bodyDiv w:val="1"/>
      <w:marLeft w:val="0"/>
      <w:marRight w:val="0"/>
      <w:marTop w:val="0"/>
      <w:marBottom w:val="0"/>
      <w:divBdr>
        <w:top w:val="none" w:sz="0" w:space="0" w:color="auto"/>
        <w:left w:val="none" w:sz="0" w:space="0" w:color="auto"/>
        <w:bottom w:val="none" w:sz="0" w:space="0" w:color="auto"/>
        <w:right w:val="none" w:sz="0" w:space="0" w:color="auto"/>
      </w:divBdr>
    </w:div>
    <w:div w:id="1600865316">
      <w:bodyDiv w:val="1"/>
      <w:marLeft w:val="0"/>
      <w:marRight w:val="0"/>
      <w:marTop w:val="0"/>
      <w:marBottom w:val="0"/>
      <w:divBdr>
        <w:top w:val="none" w:sz="0" w:space="0" w:color="auto"/>
        <w:left w:val="none" w:sz="0" w:space="0" w:color="auto"/>
        <w:bottom w:val="none" w:sz="0" w:space="0" w:color="auto"/>
        <w:right w:val="none" w:sz="0" w:space="0" w:color="auto"/>
      </w:divBdr>
    </w:div>
    <w:div w:id="1626963321">
      <w:bodyDiv w:val="1"/>
      <w:marLeft w:val="0"/>
      <w:marRight w:val="0"/>
      <w:marTop w:val="0"/>
      <w:marBottom w:val="0"/>
      <w:divBdr>
        <w:top w:val="none" w:sz="0" w:space="0" w:color="auto"/>
        <w:left w:val="none" w:sz="0" w:space="0" w:color="auto"/>
        <w:bottom w:val="none" w:sz="0" w:space="0" w:color="auto"/>
        <w:right w:val="none" w:sz="0" w:space="0" w:color="auto"/>
      </w:divBdr>
    </w:div>
    <w:div w:id="1661734644">
      <w:bodyDiv w:val="1"/>
      <w:marLeft w:val="0"/>
      <w:marRight w:val="0"/>
      <w:marTop w:val="0"/>
      <w:marBottom w:val="0"/>
      <w:divBdr>
        <w:top w:val="none" w:sz="0" w:space="0" w:color="auto"/>
        <w:left w:val="none" w:sz="0" w:space="0" w:color="auto"/>
        <w:bottom w:val="none" w:sz="0" w:space="0" w:color="auto"/>
        <w:right w:val="none" w:sz="0" w:space="0" w:color="auto"/>
      </w:divBdr>
    </w:div>
    <w:div w:id="1704868686">
      <w:bodyDiv w:val="1"/>
      <w:marLeft w:val="0"/>
      <w:marRight w:val="0"/>
      <w:marTop w:val="0"/>
      <w:marBottom w:val="0"/>
      <w:divBdr>
        <w:top w:val="none" w:sz="0" w:space="0" w:color="auto"/>
        <w:left w:val="none" w:sz="0" w:space="0" w:color="auto"/>
        <w:bottom w:val="none" w:sz="0" w:space="0" w:color="auto"/>
        <w:right w:val="none" w:sz="0" w:space="0" w:color="auto"/>
      </w:divBdr>
    </w:div>
    <w:div w:id="1730031100">
      <w:bodyDiv w:val="1"/>
      <w:marLeft w:val="0"/>
      <w:marRight w:val="0"/>
      <w:marTop w:val="0"/>
      <w:marBottom w:val="0"/>
      <w:divBdr>
        <w:top w:val="none" w:sz="0" w:space="0" w:color="auto"/>
        <w:left w:val="none" w:sz="0" w:space="0" w:color="auto"/>
        <w:bottom w:val="none" w:sz="0" w:space="0" w:color="auto"/>
        <w:right w:val="none" w:sz="0" w:space="0" w:color="auto"/>
      </w:divBdr>
      <w:divsChild>
        <w:div w:id="229048653">
          <w:marLeft w:val="0"/>
          <w:marRight w:val="0"/>
          <w:marTop w:val="0"/>
          <w:marBottom w:val="0"/>
          <w:divBdr>
            <w:top w:val="none" w:sz="0" w:space="0" w:color="auto"/>
            <w:left w:val="none" w:sz="0" w:space="0" w:color="auto"/>
            <w:bottom w:val="none" w:sz="0" w:space="0" w:color="auto"/>
            <w:right w:val="none" w:sz="0" w:space="0" w:color="auto"/>
          </w:divBdr>
        </w:div>
        <w:div w:id="1287546610">
          <w:marLeft w:val="0"/>
          <w:marRight w:val="0"/>
          <w:marTop w:val="0"/>
          <w:marBottom w:val="0"/>
          <w:divBdr>
            <w:top w:val="none" w:sz="0" w:space="0" w:color="auto"/>
            <w:left w:val="none" w:sz="0" w:space="0" w:color="auto"/>
            <w:bottom w:val="none" w:sz="0" w:space="0" w:color="auto"/>
            <w:right w:val="none" w:sz="0" w:space="0" w:color="auto"/>
          </w:divBdr>
        </w:div>
        <w:div w:id="1567642178">
          <w:marLeft w:val="0"/>
          <w:marRight w:val="0"/>
          <w:marTop w:val="0"/>
          <w:marBottom w:val="0"/>
          <w:divBdr>
            <w:top w:val="none" w:sz="0" w:space="0" w:color="auto"/>
            <w:left w:val="none" w:sz="0" w:space="0" w:color="auto"/>
            <w:bottom w:val="none" w:sz="0" w:space="0" w:color="auto"/>
            <w:right w:val="none" w:sz="0" w:space="0" w:color="auto"/>
          </w:divBdr>
        </w:div>
      </w:divsChild>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850213504">
      <w:bodyDiv w:val="1"/>
      <w:marLeft w:val="0"/>
      <w:marRight w:val="0"/>
      <w:marTop w:val="0"/>
      <w:marBottom w:val="0"/>
      <w:divBdr>
        <w:top w:val="none" w:sz="0" w:space="0" w:color="auto"/>
        <w:left w:val="none" w:sz="0" w:space="0" w:color="auto"/>
        <w:bottom w:val="none" w:sz="0" w:space="0" w:color="auto"/>
        <w:right w:val="none" w:sz="0" w:space="0" w:color="auto"/>
      </w:divBdr>
    </w:div>
    <w:div w:id="1912305096">
      <w:bodyDiv w:val="1"/>
      <w:marLeft w:val="0"/>
      <w:marRight w:val="0"/>
      <w:marTop w:val="0"/>
      <w:marBottom w:val="0"/>
      <w:divBdr>
        <w:top w:val="none" w:sz="0" w:space="0" w:color="auto"/>
        <w:left w:val="none" w:sz="0" w:space="0" w:color="auto"/>
        <w:bottom w:val="none" w:sz="0" w:space="0" w:color="auto"/>
        <w:right w:val="none" w:sz="0" w:space="0" w:color="auto"/>
      </w:divBdr>
    </w:div>
    <w:div w:id="1965456263">
      <w:bodyDiv w:val="1"/>
      <w:marLeft w:val="0"/>
      <w:marRight w:val="0"/>
      <w:marTop w:val="0"/>
      <w:marBottom w:val="0"/>
      <w:divBdr>
        <w:top w:val="none" w:sz="0" w:space="0" w:color="auto"/>
        <w:left w:val="none" w:sz="0" w:space="0" w:color="auto"/>
        <w:bottom w:val="none" w:sz="0" w:space="0" w:color="auto"/>
        <w:right w:val="none" w:sz="0" w:space="0" w:color="auto"/>
      </w:divBdr>
    </w:div>
    <w:div w:id="1997415368">
      <w:bodyDiv w:val="1"/>
      <w:marLeft w:val="0"/>
      <w:marRight w:val="0"/>
      <w:marTop w:val="0"/>
      <w:marBottom w:val="0"/>
      <w:divBdr>
        <w:top w:val="none" w:sz="0" w:space="0" w:color="auto"/>
        <w:left w:val="none" w:sz="0" w:space="0" w:color="auto"/>
        <w:bottom w:val="none" w:sz="0" w:space="0" w:color="auto"/>
        <w:right w:val="none" w:sz="0" w:space="0" w:color="auto"/>
      </w:divBdr>
      <w:divsChild>
        <w:div w:id="898711329">
          <w:marLeft w:val="0"/>
          <w:marRight w:val="0"/>
          <w:marTop w:val="0"/>
          <w:marBottom w:val="0"/>
          <w:divBdr>
            <w:top w:val="none" w:sz="0" w:space="0" w:color="auto"/>
            <w:left w:val="none" w:sz="0" w:space="0" w:color="auto"/>
            <w:bottom w:val="none" w:sz="0" w:space="0" w:color="auto"/>
            <w:right w:val="none" w:sz="0" w:space="0" w:color="auto"/>
          </w:divBdr>
        </w:div>
      </w:divsChild>
    </w:div>
    <w:div w:id="2001813802">
      <w:bodyDiv w:val="1"/>
      <w:marLeft w:val="0"/>
      <w:marRight w:val="0"/>
      <w:marTop w:val="0"/>
      <w:marBottom w:val="0"/>
      <w:divBdr>
        <w:top w:val="none" w:sz="0" w:space="0" w:color="auto"/>
        <w:left w:val="none" w:sz="0" w:space="0" w:color="auto"/>
        <w:bottom w:val="none" w:sz="0" w:space="0" w:color="auto"/>
        <w:right w:val="none" w:sz="0" w:space="0" w:color="auto"/>
      </w:divBdr>
    </w:div>
    <w:div w:id="2035230951">
      <w:bodyDiv w:val="1"/>
      <w:marLeft w:val="0"/>
      <w:marRight w:val="0"/>
      <w:marTop w:val="0"/>
      <w:marBottom w:val="0"/>
      <w:divBdr>
        <w:top w:val="none" w:sz="0" w:space="0" w:color="auto"/>
        <w:left w:val="none" w:sz="0" w:space="0" w:color="auto"/>
        <w:bottom w:val="none" w:sz="0" w:space="0" w:color="auto"/>
        <w:right w:val="none" w:sz="0" w:space="0" w:color="auto"/>
      </w:divBdr>
      <w:divsChild>
        <w:div w:id="582030404">
          <w:marLeft w:val="0"/>
          <w:marRight w:val="0"/>
          <w:marTop w:val="0"/>
          <w:marBottom w:val="0"/>
          <w:divBdr>
            <w:top w:val="none" w:sz="0" w:space="0" w:color="auto"/>
            <w:left w:val="none" w:sz="0" w:space="0" w:color="auto"/>
            <w:bottom w:val="none" w:sz="0" w:space="0" w:color="auto"/>
            <w:right w:val="none" w:sz="0" w:space="0" w:color="auto"/>
          </w:divBdr>
        </w:div>
      </w:divsChild>
    </w:div>
    <w:div w:id="2059746499">
      <w:bodyDiv w:val="1"/>
      <w:marLeft w:val="0"/>
      <w:marRight w:val="0"/>
      <w:marTop w:val="0"/>
      <w:marBottom w:val="0"/>
      <w:divBdr>
        <w:top w:val="none" w:sz="0" w:space="0" w:color="auto"/>
        <w:left w:val="none" w:sz="0" w:space="0" w:color="auto"/>
        <w:bottom w:val="none" w:sz="0" w:space="0" w:color="auto"/>
        <w:right w:val="none" w:sz="0" w:space="0" w:color="auto"/>
      </w:divBdr>
    </w:div>
    <w:div w:id="2085568823">
      <w:bodyDiv w:val="1"/>
      <w:marLeft w:val="0"/>
      <w:marRight w:val="0"/>
      <w:marTop w:val="0"/>
      <w:marBottom w:val="0"/>
      <w:divBdr>
        <w:top w:val="none" w:sz="0" w:space="0" w:color="auto"/>
        <w:left w:val="none" w:sz="0" w:space="0" w:color="auto"/>
        <w:bottom w:val="none" w:sz="0" w:space="0" w:color="auto"/>
        <w:right w:val="none" w:sz="0" w:space="0" w:color="auto"/>
      </w:divBdr>
      <w:divsChild>
        <w:div w:id="2083748849">
          <w:marLeft w:val="0"/>
          <w:marRight w:val="0"/>
          <w:marTop w:val="0"/>
          <w:marBottom w:val="0"/>
          <w:divBdr>
            <w:top w:val="none" w:sz="0" w:space="0" w:color="auto"/>
            <w:left w:val="none" w:sz="0" w:space="0" w:color="auto"/>
            <w:bottom w:val="none" w:sz="0" w:space="0" w:color="auto"/>
            <w:right w:val="none" w:sz="0" w:space="0" w:color="auto"/>
          </w:divBdr>
          <w:divsChild>
            <w:div w:id="1843466328">
              <w:marLeft w:val="0"/>
              <w:marRight w:val="0"/>
              <w:marTop w:val="0"/>
              <w:marBottom w:val="0"/>
              <w:divBdr>
                <w:top w:val="none" w:sz="0" w:space="0" w:color="auto"/>
                <w:left w:val="none" w:sz="0" w:space="0" w:color="auto"/>
                <w:bottom w:val="none" w:sz="0" w:space="0" w:color="auto"/>
                <w:right w:val="none" w:sz="0" w:space="0" w:color="auto"/>
              </w:divBdr>
              <w:divsChild>
                <w:div w:id="1700085801">
                  <w:marLeft w:val="0"/>
                  <w:marRight w:val="0"/>
                  <w:marTop w:val="0"/>
                  <w:marBottom w:val="0"/>
                  <w:divBdr>
                    <w:top w:val="none" w:sz="0" w:space="0" w:color="auto"/>
                    <w:left w:val="none" w:sz="0" w:space="0" w:color="auto"/>
                    <w:bottom w:val="none" w:sz="0" w:space="0" w:color="auto"/>
                    <w:right w:val="none" w:sz="0" w:space="0" w:color="auto"/>
                  </w:divBdr>
                  <w:divsChild>
                    <w:div w:id="812142984">
                      <w:marLeft w:val="0"/>
                      <w:marRight w:val="0"/>
                      <w:marTop w:val="0"/>
                      <w:marBottom w:val="0"/>
                      <w:divBdr>
                        <w:top w:val="none" w:sz="0" w:space="0" w:color="auto"/>
                        <w:left w:val="none" w:sz="0" w:space="0" w:color="auto"/>
                        <w:bottom w:val="none" w:sz="0" w:space="0" w:color="auto"/>
                        <w:right w:val="none" w:sz="0" w:space="0" w:color="auto"/>
                      </w:divBdr>
                      <w:divsChild>
                        <w:div w:id="1908688966">
                          <w:marLeft w:val="0"/>
                          <w:marRight w:val="0"/>
                          <w:marTop w:val="0"/>
                          <w:marBottom w:val="0"/>
                          <w:divBdr>
                            <w:top w:val="none" w:sz="0" w:space="0" w:color="auto"/>
                            <w:left w:val="none" w:sz="0" w:space="0" w:color="auto"/>
                            <w:bottom w:val="none" w:sz="0" w:space="0" w:color="auto"/>
                            <w:right w:val="none" w:sz="0" w:space="0" w:color="auto"/>
                          </w:divBdr>
                          <w:divsChild>
                            <w:div w:id="2037079213">
                              <w:marLeft w:val="0"/>
                              <w:marRight w:val="0"/>
                              <w:marTop w:val="0"/>
                              <w:marBottom w:val="0"/>
                              <w:divBdr>
                                <w:top w:val="none" w:sz="0" w:space="0" w:color="auto"/>
                                <w:left w:val="none" w:sz="0" w:space="0" w:color="auto"/>
                                <w:bottom w:val="none" w:sz="0" w:space="0" w:color="auto"/>
                                <w:right w:val="none" w:sz="0" w:space="0" w:color="auto"/>
                              </w:divBdr>
                              <w:divsChild>
                                <w:div w:id="102402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2.xml"/><Relationship Id="rId26" Type="http://schemas.openxmlformats.org/officeDocument/2006/relationships/hyperlink" Target="http://www.engage.vic.gov.au/regulatory-impact-statement-draft-petroleum-regulations"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5.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chart" Target="charts/chart1.xml"/><Relationship Id="rId35"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energycouncil.com.au/media/11669/20180206-sa-energy-plan-review-final.pdf" TargetMode="External"/><Relationship Id="rId13" Type="http://schemas.openxmlformats.org/officeDocument/2006/relationships/hyperlink" Target="https://sarigbasis.pir.sa.gov.au/WebtopEw/ws/samref/sarig1/image/DDD/PGRG004.pdf" TargetMode="External"/><Relationship Id="rId18" Type="http://schemas.openxmlformats.org/officeDocument/2006/relationships/hyperlink" Target="https://industry.nt.gov.au/__data/assets/pdf_file/0007/663586/BNTIP_policy.pdf" TargetMode="External"/><Relationship Id="rId26" Type="http://schemas.openxmlformats.org/officeDocument/2006/relationships/hyperlink" Target="https://www.resourcesandgeoscience.nsw.gov.au/miners-and-explorers/enforcement/community-consultation-guidelines" TargetMode="External"/><Relationship Id="rId3" Type="http://schemas.openxmlformats.org/officeDocument/2006/relationships/hyperlink" Target="http://www.dmp.wa.gov.au/Geological-Survey/Exploration-Incentive-Scheme-1428.aspx" TargetMode="External"/><Relationship Id="rId21" Type="http://schemas.openxmlformats.org/officeDocument/2006/relationships/hyperlink" Target="https://depws.nt.gov.au/__data/assets/pdf_file/0011/705890/code-of-practice-onshore-petroleum-activity-nt.pdf" TargetMode="External"/><Relationship Id="rId7" Type="http://schemas.openxmlformats.org/officeDocument/2006/relationships/hyperlink" Target="https://www.commerce.wa.gov.au/sites/default/files/atoms/files/towards2024_0.pdf" TargetMode="External"/><Relationship Id="rId12" Type="http://schemas.openxmlformats.org/officeDocument/2006/relationships/hyperlink" Target="https://gisera.csiro.au/wp-content/uploads/2020/05/GISERA-Community-attitudes-south-east-SA_final-6.pdf" TargetMode="External"/><Relationship Id="rId17" Type="http://schemas.openxmlformats.org/officeDocument/2006/relationships/hyperlink" Target="https://frackinginquiry.nt.gov.au/inquiry-reports?a=494286" TargetMode="External"/><Relationship Id="rId25" Type="http://schemas.openxmlformats.org/officeDocument/2006/relationships/hyperlink" Target="https://www.resourcesandgeoscience.nsw.gov.au/landholders-and-community/coal-seam-gas/codes-and-policies/strategic-regional-land-use-policy" TargetMode="External"/><Relationship Id="rId2" Type="http://schemas.openxmlformats.org/officeDocument/2006/relationships/hyperlink" Target="https://www.business.qld.gov.au/industries/mining-energy-water/resources/safety-health/petroleum-gas/regulation/standards-codes" TargetMode="External"/><Relationship Id="rId16" Type="http://schemas.openxmlformats.org/officeDocument/2006/relationships/hyperlink" Target="https://resourcingtheterritory.nt.gov.au/about/previous-initiatives" TargetMode="External"/><Relationship Id="rId20" Type="http://schemas.openxmlformats.org/officeDocument/2006/relationships/hyperlink" Target="https://frackinginquiry.nt.gov.au/inquiry-reports?a=476740" TargetMode="External"/><Relationship Id="rId29" Type="http://schemas.openxmlformats.org/officeDocument/2006/relationships/hyperlink" Target="https://www.nopta.gov.au/guidelines-and-factsheets/offshore-petroleum-guidelines.html" TargetMode="External"/><Relationship Id="rId1" Type="http://schemas.openxmlformats.org/officeDocument/2006/relationships/hyperlink" Target="https://www.business.qld.gov.au/industries/mining-energy-water/resources/safety-health/petroleum-gas/regulation/standards-codes" TargetMode="External"/><Relationship Id="rId6" Type="http://schemas.openxmlformats.org/officeDocument/2006/relationships/hyperlink" Target="https://www.wa.gov.au/government/publications/wa-domestic-gas-policy" TargetMode="External"/><Relationship Id="rId11" Type="http://schemas.openxmlformats.org/officeDocument/2006/relationships/hyperlink" Target="http://assets.yoursay.sa.gov.au.s3.amazonaws.com/production/2017/02/14/02/04/54/0b18f662-4c27-42fc-9b35-37500e09a5f7/South%20Australian%20Multiple%20Land%20Use%20Framework.pdf" TargetMode="External"/><Relationship Id="rId24" Type="http://schemas.openxmlformats.org/officeDocument/2006/relationships/hyperlink" Target="https://www.resourcesandgeoscience.nsw.gov.au/miners-and-explorers/programs-and-initiatives/new-frontiers-cooperative-drilling" TargetMode="External"/><Relationship Id="rId5" Type="http://schemas.openxmlformats.org/officeDocument/2006/relationships/hyperlink" Target="https://www.dmp.wa.gov.au/Petroleum/Royalties-1578.aspx" TargetMode="External"/><Relationship Id="rId15" Type="http://schemas.openxmlformats.org/officeDocument/2006/relationships/hyperlink" Target="https://resourcingtheterritory.nt.gov.au/about" TargetMode="External"/><Relationship Id="rId23" Type="http://schemas.openxmlformats.org/officeDocument/2006/relationships/hyperlink" Target="https://www.fraserinstitute.org/sites/default/files/annual-survey-of-mining-companies-2019.pdf" TargetMode="External"/><Relationship Id="rId28" Type="http://schemas.openxmlformats.org/officeDocument/2006/relationships/hyperlink" Target="http://www.resourcesandenergy.nsw.gov.au/__data/assets/pdf_file/0020/581600/FINAL-Implementation-of-the-NSW-Gas-Plan.pdf" TargetMode="External"/><Relationship Id="rId10" Type="http://schemas.openxmlformats.org/officeDocument/2006/relationships/hyperlink" Target="https://www.pc.gov.au/inquiries/completed/resources/draft/resources-draft-overview.pdf" TargetMode="External"/><Relationship Id="rId19" Type="http://schemas.openxmlformats.org/officeDocument/2006/relationships/hyperlink" Target="https://industry.nt.gov.au/__data/assets/pdf_file/0008/664127/territory-benefit-policy.pdf" TargetMode="External"/><Relationship Id="rId4" Type="http://schemas.openxmlformats.org/officeDocument/2006/relationships/hyperlink" Target="https://www.wa.gov.au/government/publications/wa-domestic-gas-policy" TargetMode="External"/><Relationship Id="rId9" Type="http://schemas.openxmlformats.org/officeDocument/2006/relationships/hyperlink" Target="https://www.energymining.sa.gov.au/minerals/latest_updates/applications_now_open_for_$24_million_in_gas_extraction_grants" TargetMode="External"/><Relationship Id="rId14" Type="http://schemas.openxmlformats.org/officeDocument/2006/relationships/hyperlink" Target="https://www.petroleum.sa.gov.au/regulation/policies-and-guidelines/guidelines" TargetMode="External"/><Relationship Id="rId22" Type="http://schemas.openxmlformats.org/officeDocument/2006/relationships/hyperlink" Target="https://nt.gov.au/__data/assets/pdf_file/0004/295906/schedule-of-petroleum-onshore-requirements.pdf" TargetMode="External"/><Relationship Id="rId27" Type="http://schemas.openxmlformats.org/officeDocument/2006/relationships/hyperlink" Target="https://www.pc.gov.au/inquiries/completed/resources/report/resources.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usdeloitte-my.sharepoint.com/personal/aroger_deloitte_com_au/Documents/Documents/Projects/RIS%20DJPR/Australian%20Energy%20Statistics%202020%20Table%20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AU" sz="900" b="0"/>
              <a:t>%</a:t>
            </a:r>
          </a:p>
        </c:rich>
      </c:tx>
      <c:layout>
        <c:manualLayout>
          <c:xMode val="edge"/>
          <c:yMode val="edge"/>
          <c:x val="1.8416666666666654E-2"/>
          <c:y val="2.7777777777777776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VIC!$P$4</c:f>
              <c:strCache>
                <c:ptCount val="1"/>
                <c:pt idx="0">
                  <c:v>Natural Gas</c:v>
                </c:pt>
              </c:strCache>
            </c:strRef>
          </c:tx>
          <c:spPr>
            <a:solidFill>
              <a:schemeClr val="accent1"/>
            </a:solidFill>
            <a:ln>
              <a:noFill/>
            </a:ln>
            <a:effectLst/>
          </c:spPr>
          <c:invertIfNegative val="0"/>
          <c:cat>
            <c:strRef>
              <c:f>VIC!$Q$3:$R$3</c:f>
              <c:strCache>
                <c:ptCount val="2"/>
                <c:pt idx="0">
                  <c:v>Victoria</c:v>
                </c:pt>
                <c:pt idx="1">
                  <c:v>Australia</c:v>
                </c:pt>
              </c:strCache>
            </c:strRef>
          </c:cat>
          <c:val>
            <c:numRef>
              <c:f>VIC!$Q$4:$R$4</c:f>
              <c:numCache>
                <c:formatCode>0</c:formatCode>
                <c:ptCount val="2"/>
                <c:pt idx="0">
                  <c:v>72.78266582503511</c:v>
                </c:pt>
                <c:pt idx="1">
                  <c:v>42.594714367914719</c:v>
                </c:pt>
              </c:numCache>
            </c:numRef>
          </c:val>
          <c:extLst>
            <c:ext xmlns:c16="http://schemas.microsoft.com/office/drawing/2014/chart" uri="{C3380CC4-5D6E-409C-BE32-E72D297353CC}">
              <c16:uniqueId val="{00000000-0C8D-4387-BA5D-30AC6D0A3BA0}"/>
            </c:ext>
          </c:extLst>
        </c:ser>
        <c:ser>
          <c:idx val="1"/>
          <c:order val="1"/>
          <c:tx>
            <c:strRef>
              <c:f>VIC!$P$5</c:f>
              <c:strCache>
                <c:ptCount val="1"/>
                <c:pt idx="0">
                  <c:v>Other</c:v>
                </c:pt>
              </c:strCache>
            </c:strRef>
          </c:tx>
          <c:spPr>
            <a:solidFill>
              <a:schemeClr val="accent2"/>
            </a:solidFill>
            <a:ln>
              <a:noFill/>
            </a:ln>
            <a:effectLst/>
          </c:spPr>
          <c:invertIfNegative val="0"/>
          <c:cat>
            <c:strRef>
              <c:f>VIC!$Q$3:$R$3</c:f>
              <c:strCache>
                <c:ptCount val="2"/>
                <c:pt idx="0">
                  <c:v>Victoria</c:v>
                </c:pt>
                <c:pt idx="1">
                  <c:v>Australia</c:v>
                </c:pt>
              </c:strCache>
            </c:strRef>
          </c:cat>
          <c:val>
            <c:numRef>
              <c:f>VIC!$Q$5:$R$5</c:f>
              <c:numCache>
                <c:formatCode>0</c:formatCode>
                <c:ptCount val="2"/>
                <c:pt idx="0">
                  <c:v>27.217334174964897</c:v>
                </c:pt>
                <c:pt idx="1">
                  <c:v>57.405285632085281</c:v>
                </c:pt>
              </c:numCache>
            </c:numRef>
          </c:val>
          <c:extLst>
            <c:ext xmlns:c16="http://schemas.microsoft.com/office/drawing/2014/chart" uri="{C3380CC4-5D6E-409C-BE32-E72D297353CC}">
              <c16:uniqueId val="{00000001-0C8D-4387-BA5D-30AC6D0A3BA0}"/>
            </c:ext>
          </c:extLst>
        </c:ser>
        <c:dLbls>
          <c:showLegendKey val="0"/>
          <c:showVal val="0"/>
          <c:showCatName val="0"/>
          <c:showSerName val="0"/>
          <c:showPercent val="0"/>
          <c:showBubbleSize val="0"/>
        </c:dLbls>
        <c:gapWidth val="150"/>
        <c:overlap val="100"/>
        <c:axId val="2104568896"/>
        <c:axId val="1886136864"/>
      </c:barChart>
      <c:catAx>
        <c:axId val="210456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6136864"/>
        <c:crosses val="autoZero"/>
        <c:auto val="1"/>
        <c:lblAlgn val="ctr"/>
        <c:lblOffset val="100"/>
        <c:noMultiLvlLbl val="0"/>
      </c:catAx>
      <c:valAx>
        <c:axId val="1886136864"/>
        <c:scaling>
          <c:orientation val="minMax"/>
          <c:max val="100"/>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456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1FA428DBF6E4976BEC5D7994A026DD8"/>
        <w:category>
          <w:name w:val="General"/>
          <w:gallery w:val="placeholder"/>
        </w:category>
        <w:types>
          <w:type w:val="bbPlcHdr"/>
        </w:types>
        <w:behaviors>
          <w:behavior w:val="content"/>
        </w:behaviors>
        <w:guid w:val="{01FD7496-4AF7-456F-B19D-96200314E5FF}"/>
      </w:docPartPr>
      <w:docPartBody>
        <w:p w:rsidR="002C7053" w:rsidRDefault="0031761E">
          <w:pPr>
            <w:pStyle w:val="C1FA428DBF6E4976BEC5D7994A026DD8"/>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00000001"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316"/>
    <w:rsid w:val="00000730"/>
    <w:rsid w:val="00001060"/>
    <w:rsid w:val="0002423C"/>
    <w:rsid w:val="00032257"/>
    <w:rsid w:val="000332A2"/>
    <w:rsid w:val="000352F8"/>
    <w:rsid w:val="00042400"/>
    <w:rsid w:val="00045635"/>
    <w:rsid w:val="00052F1D"/>
    <w:rsid w:val="000610D7"/>
    <w:rsid w:val="000840F3"/>
    <w:rsid w:val="00087772"/>
    <w:rsid w:val="00095316"/>
    <w:rsid w:val="000A0C69"/>
    <w:rsid w:val="000B1545"/>
    <w:rsid w:val="000B1B77"/>
    <w:rsid w:val="000C06D1"/>
    <w:rsid w:val="000C1FD2"/>
    <w:rsid w:val="000D6AD7"/>
    <w:rsid w:val="000D6ADB"/>
    <w:rsid w:val="001023D9"/>
    <w:rsid w:val="001200FD"/>
    <w:rsid w:val="00121DD3"/>
    <w:rsid w:val="00122175"/>
    <w:rsid w:val="001239DD"/>
    <w:rsid w:val="00125B6D"/>
    <w:rsid w:val="00132E74"/>
    <w:rsid w:val="00132E75"/>
    <w:rsid w:val="00133465"/>
    <w:rsid w:val="001478DE"/>
    <w:rsid w:val="00154E7B"/>
    <w:rsid w:val="00161694"/>
    <w:rsid w:val="00177D06"/>
    <w:rsid w:val="00181B33"/>
    <w:rsid w:val="00183C82"/>
    <w:rsid w:val="0018731B"/>
    <w:rsid w:val="0019500D"/>
    <w:rsid w:val="001960DA"/>
    <w:rsid w:val="001A34FC"/>
    <w:rsid w:val="001A40C3"/>
    <w:rsid w:val="001B537B"/>
    <w:rsid w:val="001C252C"/>
    <w:rsid w:val="002032EC"/>
    <w:rsid w:val="002214FB"/>
    <w:rsid w:val="002375D7"/>
    <w:rsid w:val="002559F9"/>
    <w:rsid w:val="002761AC"/>
    <w:rsid w:val="00287A03"/>
    <w:rsid w:val="00292BFA"/>
    <w:rsid w:val="00294F3A"/>
    <w:rsid w:val="002B2149"/>
    <w:rsid w:val="002B3451"/>
    <w:rsid w:val="002C7053"/>
    <w:rsid w:val="002D0982"/>
    <w:rsid w:val="002D126D"/>
    <w:rsid w:val="002E35F7"/>
    <w:rsid w:val="002E560E"/>
    <w:rsid w:val="0031761E"/>
    <w:rsid w:val="0032079E"/>
    <w:rsid w:val="003430E2"/>
    <w:rsid w:val="00343876"/>
    <w:rsid w:val="00361108"/>
    <w:rsid w:val="003A4001"/>
    <w:rsid w:val="003A7A5D"/>
    <w:rsid w:val="003B13D0"/>
    <w:rsid w:val="003C67CE"/>
    <w:rsid w:val="003F09DF"/>
    <w:rsid w:val="004172A9"/>
    <w:rsid w:val="00441B51"/>
    <w:rsid w:val="00446E3F"/>
    <w:rsid w:val="004616B2"/>
    <w:rsid w:val="00467092"/>
    <w:rsid w:val="004679F0"/>
    <w:rsid w:val="004813A0"/>
    <w:rsid w:val="004825CF"/>
    <w:rsid w:val="00482D02"/>
    <w:rsid w:val="00491092"/>
    <w:rsid w:val="00491EFA"/>
    <w:rsid w:val="00491F04"/>
    <w:rsid w:val="0049509D"/>
    <w:rsid w:val="004A04C2"/>
    <w:rsid w:val="004B7301"/>
    <w:rsid w:val="00500ACA"/>
    <w:rsid w:val="00540F95"/>
    <w:rsid w:val="00542F9F"/>
    <w:rsid w:val="00551B65"/>
    <w:rsid w:val="0055778D"/>
    <w:rsid w:val="00564304"/>
    <w:rsid w:val="00573F6E"/>
    <w:rsid w:val="005E7401"/>
    <w:rsid w:val="005F6DDB"/>
    <w:rsid w:val="006111A8"/>
    <w:rsid w:val="00640ADC"/>
    <w:rsid w:val="00641776"/>
    <w:rsid w:val="0064389F"/>
    <w:rsid w:val="006470E2"/>
    <w:rsid w:val="0069622D"/>
    <w:rsid w:val="006A25BF"/>
    <w:rsid w:val="006A6B81"/>
    <w:rsid w:val="006D7032"/>
    <w:rsid w:val="006E7B05"/>
    <w:rsid w:val="007633D0"/>
    <w:rsid w:val="00771945"/>
    <w:rsid w:val="00784389"/>
    <w:rsid w:val="007849C3"/>
    <w:rsid w:val="007879F9"/>
    <w:rsid w:val="00796DBB"/>
    <w:rsid w:val="007B55A1"/>
    <w:rsid w:val="007E0798"/>
    <w:rsid w:val="007F072E"/>
    <w:rsid w:val="00813885"/>
    <w:rsid w:val="008219EA"/>
    <w:rsid w:val="00832EEC"/>
    <w:rsid w:val="00845B0C"/>
    <w:rsid w:val="00846FD8"/>
    <w:rsid w:val="008A7681"/>
    <w:rsid w:val="008B5363"/>
    <w:rsid w:val="008B633E"/>
    <w:rsid w:val="008D2EB2"/>
    <w:rsid w:val="008D3E44"/>
    <w:rsid w:val="008D5A43"/>
    <w:rsid w:val="008D6FFA"/>
    <w:rsid w:val="00907BA5"/>
    <w:rsid w:val="009135EA"/>
    <w:rsid w:val="0097450F"/>
    <w:rsid w:val="00995860"/>
    <w:rsid w:val="009A3404"/>
    <w:rsid w:val="009B5FB9"/>
    <w:rsid w:val="009C4EBF"/>
    <w:rsid w:val="009D12B1"/>
    <w:rsid w:val="009E397B"/>
    <w:rsid w:val="009E3DF7"/>
    <w:rsid w:val="009E41C4"/>
    <w:rsid w:val="009E672E"/>
    <w:rsid w:val="009E7C44"/>
    <w:rsid w:val="009F0393"/>
    <w:rsid w:val="009F4FF4"/>
    <w:rsid w:val="00A1011B"/>
    <w:rsid w:val="00A10BB3"/>
    <w:rsid w:val="00A41C6F"/>
    <w:rsid w:val="00A45033"/>
    <w:rsid w:val="00A5146E"/>
    <w:rsid w:val="00A53C04"/>
    <w:rsid w:val="00A74AD5"/>
    <w:rsid w:val="00A7601D"/>
    <w:rsid w:val="00A90694"/>
    <w:rsid w:val="00A93A15"/>
    <w:rsid w:val="00A9710C"/>
    <w:rsid w:val="00AA352D"/>
    <w:rsid w:val="00AC637B"/>
    <w:rsid w:val="00AD0B5F"/>
    <w:rsid w:val="00AD5182"/>
    <w:rsid w:val="00AF7ADD"/>
    <w:rsid w:val="00B0767F"/>
    <w:rsid w:val="00B07C39"/>
    <w:rsid w:val="00B16FE0"/>
    <w:rsid w:val="00B50D1D"/>
    <w:rsid w:val="00B531D2"/>
    <w:rsid w:val="00B531D8"/>
    <w:rsid w:val="00B7718F"/>
    <w:rsid w:val="00B807DF"/>
    <w:rsid w:val="00B82FC3"/>
    <w:rsid w:val="00B853BA"/>
    <w:rsid w:val="00B870EC"/>
    <w:rsid w:val="00B90015"/>
    <w:rsid w:val="00B90355"/>
    <w:rsid w:val="00BA0462"/>
    <w:rsid w:val="00BA0E55"/>
    <w:rsid w:val="00BA589F"/>
    <w:rsid w:val="00BB3144"/>
    <w:rsid w:val="00BD0EE3"/>
    <w:rsid w:val="00BD38F2"/>
    <w:rsid w:val="00BD4592"/>
    <w:rsid w:val="00BF0C53"/>
    <w:rsid w:val="00BF5B2E"/>
    <w:rsid w:val="00C104F5"/>
    <w:rsid w:val="00C109CD"/>
    <w:rsid w:val="00C17F44"/>
    <w:rsid w:val="00C22174"/>
    <w:rsid w:val="00C34B4F"/>
    <w:rsid w:val="00C40A76"/>
    <w:rsid w:val="00C64703"/>
    <w:rsid w:val="00C67BC8"/>
    <w:rsid w:val="00C730A6"/>
    <w:rsid w:val="00C8048A"/>
    <w:rsid w:val="00C84D92"/>
    <w:rsid w:val="00C9219D"/>
    <w:rsid w:val="00CA4836"/>
    <w:rsid w:val="00CA4A21"/>
    <w:rsid w:val="00CB2965"/>
    <w:rsid w:val="00CB5D53"/>
    <w:rsid w:val="00CC7D95"/>
    <w:rsid w:val="00CE0403"/>
    <w:rsid w:val="00CF63B6"/>
    <w:rsid w:val="00D0254E"/>
    <w:rsid w:val="00D15441"/>
    <w:rsid w:val="00D16EDF"/>
    <w:rsid w:val="00D24370"/>
    <w:rsid w:val="00D25AB3"/>
    <w:rsid w:val="00D2798C"/>
    <w:rsid w:val="00D33E4B"/>
    <w:rsid w:val="00D35545"/>
    <w:rsid w:val="00D3663D"/>
    <w:rsid w:val="00D46D0D"/>
    <w:rsid w:val="00D656D3"/>
    <w:rsid w:val="00D75ECC"/>
    <w:rsid w:val="00D93E4A"/>
    <w:rsid w:val="00DA05E2"/>
    <w:rsid w:val="00DA3A01"/>
    <w:rsid w:val="00DC2789"/>
    <w:rsid w:val="00DC27AE"/>
    <w:rsid w:val="00E37F7E"/>
    <w:rsid w:val="00E568B5"/>
    <w:rsid w:val="00E63570"/>
    <w:rsid w:val="00E64936"/>
    <w:rsid w:val="00E65EB2"/>
    <w:rsid w:val="00E679DF"/>
    <w:rsid w:val="00E71EC9"/>
    <w:rsid w:val="00E76258"/>
    <w:rsid w:val="00EB1AB6"/>
    <w:rsid w:val="00EC5E63"/>
    <w:rsid w:val="00ED721F"/>
    <w:rsid w:val="00EE1B8B"/>
    <w:rsid w:val="00EE78CE"/>
    <w:rsid w:val="00EF79A1"/>
    <w:rsid w:val="00F305E5"/>
    <w:rsid w:val="00F31E63"/>
    <w:rsid w:val="00F35276"/>
    <w:rsid w:val="00F44F9C"/>
    <w:rsid w:val="00F532CA"/>
    <w:rsid w:val="00F67C4E"/>
    <w:rsid w:val="00F81F38"/>
    <w:rsid w:val="00F85549"/>
    <w:rsid w:val="00F91DF0"/>
    <w:rsid w:val="00FA2AD8"/>
    <w:rsid w:val="00FB4FB8"/>
    <w:rsid w:val="00FB6F62"/>
    <w:rsid w:val="00FC4A34"/>
    <w:rsid w:val="00FC5B42"/>
    <w:rsid w:val="00FD389A"/>
    <w:rsid w:val="00FD4FC9"/>
    <w:rsid w:val="00FF69D5"/>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character" w:styleId="PlaceholderText">
    <w:name w:val="Placeholder Text"/>
    <w:basedOn w:val="DefaultParagraphFont"/>
    <w:uiPriority w:val="99"/>
    <w:semiHidden/>
    <w:rsid w:val="00482D02"/>
    <w:rPr>
      <w:color w:val="808080"/>
      <w:lang w:val="en-GB"/>
    </w:rPr>
  </w:style>
  <w:style w:type="table" w:customStyle="1" w:styleId="Tabel-Gitter1">
    <w:name w:val="Tabel - Gitter1"/>
    <w:basedOn w:val="TableNormal"/>
    <w:next w:val="TableGrid"/>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C1FA428DBF6E4976BEC5D7994A026DD8">
    <w:name w:val="C1FA428DBF6E4976BEC5D7994A026DD8"/>
    <w:pPr>
      <w:spacing w:after="160" w:line="259" w:lineRule="auto"/>
    </w:pPr>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CFB2AB06094443A67F0F176BBCD325" ma:contentTypeVersion="6" ma:contentTypeDescription="Create a new document." ma:contentTypeScope="" ma:versionID="091f968c6f87e48c4f4b897441fdd30f">
  <xsd:schema xmlns:xsd="http://www.w3.org/2001/XMLSchema" xmlns:xs="http://www.w3.org/2001/XMLSchema" xmlns:p="http://schemas.microsoft.com/office/2006/metadata/properties" xmlns:ns2="1a132dbe-c4d7-4bfd-97a5-a113a1b8a699" xmlns:ns3="8c23d6a6-18ed-40b0-b75b-3432a9ea6b48" targetNamespace="http://schemas.microsoft.com/office/2006/metadata/properties" ma:root="true" ma:fieldsID="0d35637f0da23f39e62225257f7f982b" ns2:_="" ns3:_="">
    <xsd:import namespace="1a132dbe-c4d7-4bfd-97a5-a113a1b8a699"/>
    <xsd:import namespace="8c23d6a6-18ed-40b0-b75b-3432a9ea6b4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32dbe-c4d7-4bfd-97a5-a113a1b8a6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23d6a6-18ed-40b0-b75b-3432a9ea6b4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a132dbe-c4d7-4bfd-97a5-a113a1b8a699">
      <UserInfo>
        <DisplayName>Preethi Rupanagudi (DJPR)</DisplayName>
        <AccountId>20</AccountId>
        <AccountType/>
      </UserInfo>
      <UserInfo>
        <DisplayName>John Krbaleski (DJPR)</DisplayName>
        <AccountId>53</AccountId>
        <AccountType/>
      </UserInfo>
      <UserInfo>
        <DisplayName>Anthony M Hurst (DJPR)</DisplayName>
        <AccountId>128</AccountId>
        <AccountType/>
      </UserInfo>
      <UserInfo>
        <DisplayName>Jane E Burton (DJPR)</DisplayName>
        <AccountId>56</AccountId>
        <AccountType/>
      </UserInfo>
      <UserInfo>
        <DisplayName>Paul A McDonald (DJPR)</DisplayName>
        <AccountId>127</AccountId>
        <AccountType/>
      </UserInfo>
      <UserInfo>
        <DisplayName>Linda Bibby (DJPR)</DisplayName>
        <AccountId>37</AccountId>
        <AccountType/>
      </UserInfo>
      <UserInfo>
        <DisplayName>Laura E Helm (DJPR)</DisplayName>
        <AccountId>46</AccountId>
        <AccountType/>
      </UserInfo>
      <UserInfo>
        <DisplayName>Laura M Cronin (DJPR)</DisplayName>
        <AccountId>30</AccountId>
        <AccountType/>
      </UserInfo>
      <UserInfo>
        <DisplayName>Danny Suster (DJPR)</DisplayName>
        <AccountId>132</AccountId>
        <AccountType/>
      </UserInfo>
      <UserInfo>
        <DisplayName>Wes G Douglass (DJPR)</DisplayName>
        <AccountId>233</AccountId>
        <AccountType/>
      </UserInfo>
      <UserInfo>
        <DisplayName>Grant E Clarke (DJPR)</DisplayName>
        <AccountId>131</AccountId>
        <AccountType/>
      </UserInfo>
      <UserInfo>
        <DisplayName>Lewis A Hill (DJPR)</DisplayName>
        <AccountId>63</AccountId>
        <AccountType/>
      </UserInfo>
      <UserInfo>
        <DisplayName>Tony C Robinson (DJPR)</DisplayName>
        <AccountId>226</AccountId>
        <AccountType/>
      </UserInfo>
      <UserInfo>
        <DisplayName>Tony P Ising (DJPR)</DisplayName>
        <AccountId>91</AccountId>
        <AccountType/>
      </UserInfo>
      <UserInfo>
        <DisplayName>Mark J Farrugia (DJPR)</DisplayName>
        <AccountId>62</AccountId>
        <AccountType/>
      </UserInfo>
      <UserInfo>
        <DisplayName>Jaselyn OSullivan (DJPR)</DisplayName>
        <AccountId>92</AccountId>
        <AccountType/>
      </UserInfo>
      <UserInfo>
        <DisplayName>Michael N Lombardo (DJPR)</DisplayName>
        <AccountId>50</AccountId>
        <AccountType/>
      </UserInfo>
      <UserInfo>
        <DisplayName>Alison J Rault (DJPR)</DisplayName>
        <AccountId>143</AccountId>
        <AccountType/>
      </UserInfo>
      <UserInfo>
        <DisplayName>Sandra Vin (DJPR)</DisplayName>
        <AccountId>234</AccountId>
        <AccountType/>
      </UserInfo>
      <UserInfo>
        <DisplayName>Lara S Veamatahau (DJPR)</DisplayName>
        <AccountId>319</AccountId>
        <AccountType/>
      </UserInfo>
      <UserInfo>
        <DisplayName>Tj Appalla (DJPR)</DisplayName>
        <AccountId>235</AccountId>
        <AccountType/>
      </UserInfo>
      <UserInfo>
        <DisplayName>Lynley Keene (DJPR)</DisplayName>
        <AccountId>55</AccountId>
        <AccountType/>
      </UserInfo>
      <UserInfo>
        <DisplayName>Nikita Buck (DJPR)</DisplayName>
        <AccountId>38</AccountId>
        <AccountType/>
      </UserInfo>
      <UserInfo>
        <DisplayName>Sedar Altun (VICMIN)</DisplayName>
        <AccountId>383</AccountId>
        <AccountType/>
      </UserInfo>
      <UserInfo>
        <DisplayName>Niki Oleenik (DJPR)</DisplayName>
        <AccountId>382</AccountId>
        <AccountType/>
      </UserInfo>
      <UserInfo>
        <DisplayName>Claire E McRae (DJPR)</DisplayName>
        <AccountId>296</AccountId>
        <AccountType/>
      </UserInfo>
      <UserInfo>
        <DisplayName>Ken Macpherson (VICMIN)</DisplayName>
        <AccountId>384</AccountId>
        <AccountType/>
      </UserInfo>
      <UserInfo>
        <DisplayName>Rebecca Andrews (VICMIN)</DisplayName>
        <AccountId>385</AccountId>
        <AccountType/>
      </UserInfo>
      <UserInfo>
        <DisplayName>Lydia M Gifford (DJPR)</DisplayName>
        <AccountId>392</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0BC9F-31A2-4DEF-AB13-FE2C092A6809}">
  <ds:schemaRefs>
    <ds:schemaRef ds:uri="http://www.w3.org/2001/XMLSchema"/>
  </ds:schemaRefs>
</ds:datastoreItem>
</file>

<file path=customXml/itemProps2.xml><?xml version="1.0" encoding="utf-8"?>
<ds:datastoreItem xmlns:ds="http://schemas.openxmlformats.org/officeDocument/2006/customXml" ds:itemID="{F7E4C9D6-532E-4A08-A3A4-C18FDA0225E9}">
  <ds:schemaRefs>
    <ds:schemaRef ds:uri="http://schemas.microsoft.com/sharepoint/v3/contenttype/forms"/>
  </ds:schemaRefs>
</ds:datastoreItem>
</file>

<file path=customXml/itemProps3.xml><?xml version="1.0" encoding="utf-8"?>
<ds:datastoreItem xmlns:ds="http://schemas.openxmlformats.org/officeDocument/2006/customXml" ds:itemID="{EAAB3221-05F9-4ABD-96FB-0AE2676D9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132dbe-c4d7-4bfd-97a5-a113a1b8a699"/>
    <ds:schemaRef ds:uri="8c23d6a6-18ed-40b0-b75b-3432a9ea6b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6A736D-B46D-4E9C-BE08-0EF6BCB567B0}">
  <ds:schemaRefs>
    <ds:schemaRef ds:uri="http://schemas.openxmlformats.org/package/2006/metadata/core-properties"/>
    <ds:schemaRef ds:uri="8c23d6a6-18ed-40b0-b75b-3432a9ea6b48"/>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1a132dbe-c4d7-4bfd-97a5-a113a1b8a699"/>
    <ds:schemaRef ds:uri="http://www.w3.org/XML/1998/namespace"/>
    <ds:schemaRef ds:uri="http://purl.org/dc/dcmitype/"/>
  </ds:schemaRefs>
</ds:datastoreItem>
</file>

<file path=customXml/itemProps5.xml><?xml version="1.0" encoding="utf-8"?>
<ds:datastoreItem xmlns:ds="http://schemas.openxmlformats.org/officeDocument/2006/customXml" ds:itemID="{627C55A8-CB0E-4CDD-B1CE-6DC98D55B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87</Pages>
  <Words>36685</Words>
  <Characters>209111</Characters>
  <Application>Microsoft Office Word</Application>
  <DocSecurity>0</DocSecurity>
  <Lines>1742</Lines>
  <Paragraphs>490</Paragraphs>
  <ScaleCrop>false</ScaleCrop>
  <HeadingPairs>
    <vt:vector size="6" baseType="variant">
      <vt:variant>
        <vt:lpstr>Title</vt:lpstr>
      </vt:variant>
      <vt:variant>
        <vt:i4>1</vt:i4>
      </vt:variant>
      <vt:variant>
        <vt:lpstr>Titel</vt:lpstr>
      </vt:variant>
      <vt:variant>
        <vt:i4>1</vt:i4>
      </vt:variant>
      <vt:variant>
        <vt:lpstr>Overskrifter</vt:lpstr>
      </vt:variant>
      <vt:variant>
        <vt:i4>2</vt:i4>
      </vt:variant>
    </vt:vector>
  </HeadingPairs>
  <TitlesOfParts>
    <vt:vector size="4" baseType="lpstr">
      <vt:lpstr>Proposed Petroleum Regulations - Regulatory Impact Statement</vt:lpstr>
      <vt:lpstr>Document title</vt:lpstr>
      <vt:lpstr/>
      <vt:lpstr>    </vt:lpstr>
    </vt:vector>
  </TitlesOfParts>
  <Company/>
  <LinksUpToDate>false</LinksUpToDate>
  <CharactersWithSpaces>245306</CharactersWithSpaces>
  <SharedDoc>false</SharedDoc>
  <HLinks>
    <vt:vector size="456" baseType="variant">
      <vt:variant>
        <vt:i4>1441855</vt:i4>
      </vt:variant>
      <vt:variant>
        <vt:i4>275</vt:i4>
      </vt:variant>
      <vt:variant>
        <vt:i4>0</vt:i4>
      </vt:variant>
      <vt:variant>
        <vt:i4>5</vt:i4>
      </vt:variant>
      <vt:variant>
        <vt:lpwstr/>
      </vt:variant>
      <vt:variant>
        <vt:lpwstr>_Toc68799777</vt:lpwstr>
      </vt:variant>
      <vt:variant>
        <vt:i4>1310783</vt:i4>
      </vt:variant>
      <vt:variant>
        <vt:i4>266</vt:i4>
      </vt:variant>
      <vt:variant>
        <vt:i4>0</vt:i4>
      </vt:variant>
      <vt:variant>
        <vt:i4>5</vt:i4>
      </vt:variant>
      <vt:variant>
        <vt:lpwstr/>
      </vt:variant>
      <vt:variant>
        <vt:lpwstr>_Toc68799775</vt:lpwstr>
      </vt:variant>
      <vt:variant>
        <vt:i4>1376319</vt:i4>
      </vt:variant>
      <vt:variant>
        <vt:i4>260</vt:i4>
      </vt:variant>
      <vt:variant>
        <vt:i4>0</vt:i4>
      </vt:variant>
      <vt:variant>
        <vt:i4>5</vt:i4>
      </vt:variant>
      <vt:variant>
        <vt:lpwstr/>
      </vt:variant>
      <vt:variant>
        <vt:lpwstr>_Toc68799774</vt:lpwstr>
      </vt:variant>
      <vt:variant>
        <vt:i4>1179711</vt:i4>
      </vt:variant>
      <vt:variant>
        <vt:i4>254</vt:i4>
      </vt:variant>
      <vt:variant>
        <vt:i4>0</vt:i4>
      </vt:variant>
      <vt:variant>
        <vt:i4>5</vt:i4>
      </vt:variant>
      <vt:variant>
        <vt:lpwstr/>
      </vt:variant>
      <vt:variant>
        <vt:lpwstr>_Toc68799773</vt:lpwstr>
      </vt:variant>
      <vt:variant>
        <vt:i4>1245247</vt:i4>
      </vt:variant>
      <vt:variant>
        <vt:i4>248</vt:i4>
      </vt:variant>
      <vt:variant>
        <vt:i4>0</vt:i4>
      </vt:variant>
      <vt:variant>
        <vt:i4>5</vt:i4>
      </vt:variant>
      <vt:variant>
        <vt:lpwstr/>
      </vt:variant>
      <vt:variant>
        <vt:lpwstr>_Toc68799772</vt:lpwstr>
      </vt:variant>
      <vt:variant>
        <vt:i4>1048639</vt:i4>
      </vt:variant>
      <vt:variant>
        <vt:i4>242</vt:i4>
      </vt:variant>
      <vt:variant>
        <vt:i4>0</vt:i4>
      </vt:variant>
      <vt:variant>
        <vt:i4>5</vt:i4>
      </vt:variant>
      <vt:variant>
        <vt:lpwstr/>
      </vt:variant>
      <vt:variant>
        <vt:lpwstr>_Toc68799771</vt:lpwstr>
      </vt:variant>
      <vt:variant>
        <vt:i4>1114175</vt:i4>
      </vt:variant>
      <vt:variant>
        <vt:i4>236</vt:i4>
      </vt:variant>
      <vt:variant>
        <vt:i4>0</vt:i4>
      </vt:variant>
      <vt:variant>
        <vt:i4>5</vt:i4>
      </vt:variant>
      <vt:variant>
        <vt:lpwstr/>
      </vt:variant>
      <vt:variant>
        <vt:lpwstr>_Toc68799770</vt:lpwstr>
      </vt:variant>
      <vt:variant>
        <vt:i4>1572926</vt:i4>
      </vt:variant>
      <vt:variant>
        <vt:i4>230</vt:i4>
      </vt:variant>
      <vt:variant>
        <vt:i4>0</vt:i4>
      </vt:variant>
      <vt:variant>
        <vt:i4>5</vt:i4>
      </vt:variant>
      <vt:variant>
        <vt:lpwstr/>
      </vt:variant>
      <vt:variant>
        <vt:lpwstr>_Toc68799769</vt:lpwstr>
      </vt:variant>
      <vt:variant>
        <vt:i4>1638462</vt:i4>
      </vt:variant>
      <vt:variant>
        <vt:i4>224</vt:i4>
      </vt:variant>
      <vt:variant>
        <vt:i4>0</vt:i4>
      </vt:variant>
      <vt:variant>
        <vt:i4>5</vt:i4>
      </vt:variant>
      <vt:variant>
        <vt:lpwstr/>
      </vt:variant>
      <vt:variant>
        <vt:lpwstr>_Toc68799768</vt:lpwstr>
      </vt:variant>
      <vt:variant>
        <vt:i4>1441854</vt:i4>
      </vt:variant>
      <vt:variant>
        <vt:i4>218</vt:i4>
      </vt:variant>
      <vt:variant>
        <vt:i4>0</vt:i4>
      </vt:variant>
      <vt:variant>
        <vt:i4>5</vt:i4>
      </vt:variant>
      <vt:variant>
        <vt:lpwstr/>
      </vt:variant>
      <vt:variant>
        <vt:lpwstr>_Toc68799767</vt:lpwstr>
      </vt:variant>
      <vt:variant>
        <vt:i4>1310782</vt:i4>
      </vt:variant>
      <vt:variant>
        <vt:i4>212</vt:i4>
      </vt:variant>
      <vt:variant>
        <vt:i4>0</vt:i4>
      </vt:variant>
      <vt:variant>
        <vt:i4>5</vt:i4>
      </vt:variant>
      <vt:variant>
        <vt:lpwstr/>
      </vt:variant>
      <vt:variant>
        <vt:lpwstr>_Toc68799765</vt:lpwstr>
      </vt:variant>
      <vt:variant>
        <vt:i4>1507391</vt:i4>
      </vt:variant>
      <vt:variant>
        <vt:i4>203</vt:i4>
      </vt:variant>
      <vt:variant>
        <vt:i4>0</vt:i4>
      </vt:variant>
      <vt:variant>
        <vt:i4>5</vt:i4>
      </vt:variant>
      <vt:variant>
        <vt:lpwstr/>
      </vt:variant>
      <vt:variant>
        <vt:lpwstr>_Toc68799776</vt:lpwstr>
      </vt:variant>
      <vt:variant>
        <vt:i4>1835070</vt:i4>
      </vt:variant>
      <vt:variant>
        <vt:i4>194</vt:i4>
      </vt:variant>
      <vt:variant>
        <vt:i4>0</vt:i4>
      </vt:variant>
      <vt:variant>
        <vt:i4>5</vt:i4>
      </vt:variant>
      <vt:variant>
        <vt:lpwstr/>
      </vt:variant>
      <vt:variant>
        <vt:lpwstr>_Toc69839594</vt:lpwstr>
      </vt:variant>
      <vt:variant>
        <vt:i4>1769534</vt:i4>
      </vt:variant>
      <vt:variant>
        <vt:i4>188</vt:i4>
      </vt:variant>
      <vt:variant>
        <vt:i4>0</vt:i4>
      </vt:variant>
      <vt:variant>
        <vt:i4>5</vt:i4>
      </vt:variant>
      <vt:variant>
        <vt:lpwstr/>
      </vt:variant>
      <vt:variant>
        <vt:lpwstr>_Toc69839593</vt:lpwstr>
      </vt:variant>
      <vt:variant>
        <vt:i4>1703998</vt:i4>
      </vt:variant>
      <vt:variant>
        <vt:i4>182</vt:i4>
      </vt:variant>
      <vt:variant>
        <vt:i4>0</vt:i4>
      </vt:variant>
      <vt:variant>
        <vt:i4>5</vt:i4>
      </vt:variant>
      <vt:variant>
        <vt:lpwstr/>
      </vt:variant>
      <vt:variant>
        <vt:lpwstr>_Toc69839592</vt:lpwstr>
      </vt:variant>
      <vt:variant>
        <vt:i4>1638462</vt:i4>
      </vt:variant>
      <vt:variant>
        <vt:i4>176</vt:i4>
      </vt:variant>
      <vt:variant>
        <vt:i4>0</vt:i4>
      </vt:variant>
      <vt:variant>
        <vt:i4>5</vt:i4>
      </vt:variant>
      <vt:variant>
        <vt:lpwstr/>
      </vt:variant>
      <vt:variant>
        <vt:lpwstr>_Toc69839591</vt:lpwstr>
      </vt:variant>
      <vt:variant>
        <vt:i4>1572926</vt:i4>
      </vt:variant>
      <vt:variant>
        <vt:i4>170</vt:i4>
      </vt:variant>
      <vt:variant>
        <vt:i4>0</vt:i4>
      </vt:variant>
      <vt:variant>
        <vt:i4>5</vt:i4>
      </vt:variant>
      <vt:variant>
        <vt:lpwstr/>
      </vt:variant>
      <vt:variant>
        <vt:lpwstr>_Toc69839590</vt:lpwstr>
      </vt:variant>
      <vt:variant>
        <vt:i4>1114175</vt:i4>
      </vt:variant>
      <vt:variant>
        <vt:i4>164</vt:i4>
      </vt:variant>
      <vt:variant>
        <vt:i4>0</vt:i4>
      </vt:variant>
      <vt:variant>
        <vt:i4>5</vt:i4>
      </vt:variant>
      <vt:variant>
        <vt:lpwstr/>
      </vt:variant>
      <vt:variant>
        <vt:lpwstr>_Toc69839589</vt:lpwstr>
      </vt:variant>
      <vt:variant>
        <vt:i4>1048639</vt:i4>
      </vt:variant>
      <vt:variant>
        <vt:i4>158</vt:i4>
      </vt:variant>
      <vt:variant>
        <vt:i4>0</vt:i4>
      </vt:variant>
      <vt:variant>
        <vt:i4>5</vt:i4>
      </vt:variant>
      <vt:variant>
        <vt:lpwstr/>
      </vt:variant>
      <vt:variant>
        <vt:lpwstr>_Toc69839588</vt:lpwstr>
      </vt:variant>
      <vt:variant>
        <vt:i4>2031679</vt:i4>
      </vt:variant>
      <vt:variant>
        <vt:i4>152</vt:i4>
      </vt:variant>
      <vt:variant>
        <vt:i4>0</vt:i4>
      </vt:variant>
      <vt:variant>
        <vt:i4>5</vt:i4>
      </vt:variant>
      <vt:variant>
        <vt:lpwstr/>
      </vt:variant>
      <vt:variant>
        <vt:lpwstr>_Toc69839587</vt:lpwstr>
      </vt:variant>
      <vt:variant>
        <vt:i4>1966143</vt:i4>
      </vt:variant>
      <vt:variant>
        <vt:i4>146</vt:i4>
      </vt:variant>
      <vt:variant>
        <vt:i4>0</vt:i4>
      </vt:variant>
      <vt:variant>
        <vt:i4>5</vt:i4>
      </vt:variant>
      <vt:variant>
        <vt:lpwstr/>
      </vt:variant>
      <vt:variant>
        <vt:lpwstr>_Toc69839586</vt:lpwstr>
      </vt:variant>
      <vt:variant>
        <vt:i4>1900607</vt:i4>
      </vt:variant>
      <vt:variant>
        <vt:i4>140</vt:i4>
      </vt:variant>
      <vt:variant>
        <vt:i4>0</vt:i4>
      </vt:variant>
      <vt:variant>
        <vt:i4>5</vt:i4>
      </vt:variant>
      <vt:variant>
        <vt:lpwstr/>
      </vt:variant>
      <vt:variant>
        <vt:lpwstr>_Toc69839585</vt:lpwstr>
      </vt:variant>
      <vt:variant>
        <vt:i4>1835071</vt:i4>
      </vt:variant>
      <vt:variant>
        <vt:i4>134</vt:i4>
      </vt:variant>
      <vt:variant>
        <vt:i4>0</vt:i4>
      </vt:variant>
      <vt:variant>
        <vt:i4>5</vt:i4>
      </vt:variant>
      <vt:variant>
        <vt:lpwstr/>
      </vt:variant>
      <vt:variant>
        <vt:lpwstr>_Toc69839584</vt:lpwstr>
      </vt:variant>
      <vt:variant>
        <vt:i4>1769535</vt:i4>
      </vt:variant>
      <vt:variant>
        <vt:i4>128</vt:i4>
      </vt:variant>
      <vt:variant>
        <vt:i4>0</vt:i4>
      </vt:variant>
      <vt:variant>
        <vt:i4>5</vt:i4>
      </vt:variant>
      <vt:variant>
        <vt:lpwstr/>
      </vt:variant>
      <vt:variant>
        <vt:lpwstr>_Toc69839583</vt:lpwstr>
      </vt:variant>
      <vt:variant>
        <vt:i4>1703999</vt:i4>
      </vt:variant>
      <vt:variant>
        <vt:i4>122</vt:i4>
      </vt:variant>
      <vt:variant>
        <vt:i4>0</vt:i4>
      </vt:variant>
      <vt:variant>
        <vt:i4>5</vt:i4>
      </vt:variant>
      <vt:variant>
        <vt:lpwstr/>
      </vt:variant>
      <vt:variant>
        <vt:lpwstr>_Toc69839582</vt:lpwstr>
      </vt:variant>
      <vt:variant>
        <vt:i4>1638463</vt:i4>
      </vt:variant>
      <vt:variant>
        <vt:i4>116</vt:i4>
      </vt:variant>
      <vt:variant>
        <vt:i4>0</vt:i4>
      </vt:variant>
      <vt:variant>
        <vt:i4>5</vt:i4>
      </vt:variant>
      <vt:variant>
        <vt:lpwstr/>
      </vt:variant>
      <vt:variant>
        <vt:lpwstr>_Toc69839581</vt:lpwstr>
      </vt:variant>
      <vt:variant>
        <vt:i4>1572927</vt:i4>
      </vt:variant>
      <vt:variant>
        <vt:i4>110</vt:i4>
      </vt:variant>
      <vt:variant>
        <vt:i4>0</vt:i4>
      </vt:variant>
      <vt:variant>
        <vt:i4>5</vt:i4>
      </vt:variant>
      <vt:variant>
        <vt:lpwstr/>
      </vt:variant>
      <vt:variant>
        <vt:lpwstr>_Toc69839580</vt:lpwstr>
      </vt:variant>
      <vt:variant>
        <vt:i4>1114160</vt:i4>
      </vt:variant>
      <vt:variant>
        <vt:i4>104</vt:i4>
      </vt:variant>
      <vt:variant>
        <vt:i4>0</vt:i4>
      </vt:variant>
      <vt:variant>
        <vt:i4>5</vt:i4>
      </vt:variant>
      <vt:variant>
        <vt:lpwstr/>
      </vt:variant>
      <vt:variant>
        <vt:lpwstr>_Toc69839579</vt:lpwstr>
      </vt:variant>
      <vt:variant>
        <vt:i4>1048624</vt:i4>
      </vt:variant>
      <vt:variant>
        <vt:i4>98</vt:i4>
      </vt:variant>
      <vt:variant>
        <vt:i4>0</vt:i4>
      </vt:variant>
      <vt:variant>
        <vt:i4>5</vt:i4>
      </vt:variant>
      <vt:variant>
        <vt:lpwstr/>
      </vt:variant>
      <vt:variant>
        <vt:lpwstr>_Toc69839578</vt:lpwstr>
      </vt:variant>
      <vt:variant>
        <vt:i4>2031664</vt:i4>
      </vt:variant>
      <vt:variant>
        <vt:i4>92</vt:i4>
      </vt:variant>
      <vt:variant>
        <vt:i4>0</vt:i4>
      </vt:variant>
      <vt:variant>
        <vt:i4>5</vt:i4>
      </vt:variant>
      <vt:variant>
        <vt:lpwstr/>
      </vt:variant>
      <vt:variant>
        <vt:lpwstr>_Toc69839577</vt:lpwstr>
      </vt:variant>
      <vt:variant>
        <vt:i4>1966128</vt:i4>
      </vt:variant>
      <vt:variant>
        <vt:i4>86</vt:i4>
      </vt:variant>
      <vt:variant>
        <vt:i4>0</vt:i4>
      </vt:variant>
      <vt:variant>
        <vt:i4>5</vt:i4>
      </vt:variant>
      <vt:variant>
        <vt:lpwstr/>
      </vt:variant>
      <vt:variant>
        <vt:lpwstr>_Toc69839576</vt:lpwstr>
      </vt:variant>
      <vt:variant>
        <vt:i4>1900592</vt:i4>
      </vt:variant>
      <vt:variant>
        <vt:i4>80</vt:i4>
      </vt:variant>
      <vt:variant>
        <vt:i4>0</vt:i4>
      </vt:variant>
      <vt:variant>
        <vt:i4>5</vt:i4>
      </vt:variant>
      <vt:variant>
        <vt:lpwstr/>
      </vt:variant>
      <vt:variant>
        <vt:lpwstr>_Toc69839575</vt:lpwstr>
      </vt:variant>
      <vt:variant>
        <vt:i4>1835056</vt:i4>
      </vt:variant>
      <vt:variant>
        <vt:i4>74</vt:i4>
      </vt:variant>
      <vt:variant>
        <vt:i4>0</vt:i4>
      </vt:variant>
      <vt:variant>
        <vt:i4>5</vt:i4>
      </vt:variant>
      <vt:variant>
        <vt:lpwstr/>
      </vt:variant>
      <vt:variant>
        <vt:lpwstr>_Toc69839574</vt:lpwstr>
      </vt:variant>
      <vt:variant>
        <vt:i4>1769520</vt:i4>
      </vt:variant>
      <vt:variant>
        <vt:i4>68</vt:i4>
      </vt:variant>
      <vt:variant>
        <vt:i4>0</vt:i4>
      </vt:variant>
      <vt:variant>
        <vt:i4>5</vt:i4>
      </vt:variant>
      <vt:variant>
        <vt:lpwstr/>
      </vt:variant>
      <vt:variant>
        <vt:lpwstr>_Toc69839573</vt:lpwstr>
      </vt:variant>
      <vt:variant>
        <vt:i4>1703984</vt:i4>
      </vt:variant>
      <vt:variant>
        <vt:i4>62</vt:i4>
      </vt:variant>
      <vt:variant>
        <vt:i4>0</vt:i4>
      </vt:variant>
      <vt:variant>
        <vt:i4>5</vt:i4>
      </vt:variant>
      <vt:variant>
        <vt:lpwstr/>
      </vt:variant>
      <vt:variant>
        <vt:lpwstr>_Toc69839572</vt:lpwstr>
      </vt:variant>
      <vt:variant>
        <vt:i4>1638448</vt:i4>
      </vt:variant>
      <vt:variant>
        <vt:i4>56</vt:i4>
      </vt:variant>
      <vt:variant>
        <vt:i4>0</vt:i4>
      </vt:variant>
      <vt:variant>
        <vt:i4>5</vt:i4>
      </vt:variant>
      <vt:variant>
        <vt:lpwstr/>
      </vt:variant>
      <vt:variant>
        <vt:lpwstr>_Toc69839571</vt:lpwstr>
      </vt:variant>
      <vt:variant>
        <vt:i4>1572912</vt:i4>
      </vt:variant>
      <vt:variant>
        <vt:i4>50</vt:i4>
      </vt:variant>
      <vt:variant>
        <vt:i4>0</vt:i4>
      </vt:variant>
      <vt:variant>
        <vt:i4>5</vt:i4>
      </vt:variant>
      <vt:variant>
        <vt:lpwstr/>
      </vt:variant>
      <vt:variant>
        <vt:lpwstr>_Toc69839570</vt:lpwstr>
      </vt:variant>
      <vt:variant>
        <vt:i4>1114161</vt:i4>
      </vt:variant>
      <vt:variant>
        <vt:i4>44</vt:i4>
      </vt:variant>
      <vt:variant>
        <vt:i4>0</vt:i4>
      </vt:variant>
      <vt:variant>
        <vt:i4>5</vt:i4>
      </vt:variant>
      <vt:variant>
        <vt:lpwstr/>
      </vt:variant>
      <vt:variant>
        <vt:lpwstr>_Toc69839569</vt:lpwstr>
      </vt:variant>
      <vt:variant>
        <vt:i4>1048625</vt:i4>
      </vt:variant>
      <vt:variant>
        <vt:i4>38</vt:i4>
      </vt:variant>
      <vt:variant>
        <vt:i4>0</vt:i4>
      </vt:variant>
      <vt:variant>
        <vt:i4>5</vt:i4>
      </vt:variant>
      <vt:variant>
        <vt:lpwstr/>
      </vt:variant>
      <vt:variant>
        <vt:lpwstr>_Toc69839568</vt:lpwstr>
      </vt:variant>
      <vt:variant>
        <vt:i4>2031665</vt:i4>
      </vt:variant>
      <vt:variant>
        <vt:i4>32</vt:i4>
      </vt:variant>
      <vt:variant>
        <vt:i4>0</vt:i4>
      </vt:variant>
      <vt:variant>
        <vt:i4>5</vt:i4>
      </vt:variant>
      <vt:variant>
        <vt:lpwstr/>
      </vt:variant>
      <vt:variant>
        <vt:lpwstr>_Toc69839567</vt:lpwstr>
      </vt:variant>
      <vt:variant>
        <vt:i4>1966129</vt:i4>
      </vt:variant>
      <vt:variant>
        <vt:i4>26</vt:i4>
      </vt:variant>
      <vt:variant>
        <vt:i4>0</vt:i4>
      </vt:variant>
      <vt:variant>
        <vt:i4>5</vt:i4>
      </vt:variant>
      <vt:variant>
        <vt:lpwstr/>
      </vt:variant>
      <vt:variant>
        <vt:lpwstr>_Toc69839566</vt:lpwstr>
      </vt:variant>
      <vt:variant>
        <vt:i4>1900593</vt:i4>
      </vt:variant>
      <vt:variant>
        <vt:i4>20</vt:i4>
      </vt:variant>
      <vt:variant>
        <vt:i4>0</vt:i4>
      </vt:variant>
      <vt:variant>
        <vt:i4>5</vt:i4>
      </vt:variant>
      <vt:variant>
        <vt:lpwstr/>
      </vt:variant>
      <vt:variant>
        <vt:lpwstr>_Toc69839565</vt:lpwstr>
      </vt:variant>
      <vt:variant>
        <vt:i4>1835057</vt:i4>
      </vt:variant>
      <vt:variant>
        <vt:i4>14</vt:i4>
      </vt:variant>
      <vt:variant>
        <vt:i4>0</vt:i4>
      </vt:variant>
      <vt:variant>
        <vt:i4>5</vt:i4>
      </vt:variant>
      <vt:variant>
        <vt:lpwstr/>
      </vt:variant>
      <vt:variant>
        <vt:lpwstr>_Toc69839564</vt:lpwstr>
      </vt:variant>
      <vt:variant>
        <vt:i4>1769521</vt:i4>
      </vt:variant>
      <vt:variant>
        <vt:i4>8</vt:i4>
      </vt:variant>
      <vt:variant>
        <vt:i4>0</vt:i4>
      </vt:variant>
      <vt:variant>
        <vt:i4>5</vt:i4>
      </vt:variant>
      <vt:variant>
        <vt:lpwstr/>
      </vt:variant>
      <vt:variant>
        <vt:lpwstr>_Toc69839563</vt:lpwstr>
      </vt:variant>
      <vt:variant>
        <vt:i4>1703985</vt:i4>
      </vt:variant>
      <vt:variant>
        <vt:i4>2</vt:i4>
      </vt:variant>
      <vt:variant>
        <vt:i4>0</vt:i4>
      </vt:variant>
      <vt:variant>
        <vt:i4>5</vt:i4>
      </vt:variant>
      <vt:variant>
        <vt:lpwstr/>
      </vt:variant>
      <vt:variant>
        <vt:lpwstr>_Toc69839562</vt:lpwstr>
      </vt:variant>
      <vt:variant>
        <vt:i4>6946931</vt:i4>
      </vt:variant>
      <vt:variant>
        <vt:i4>3</vt:i4>
      </vt:variant>
      <vt:variant>
        <vt:i4>0</vt:i4>
      </vt:variant>
      <vt:variant>
        <vt:i4>5</vt:i4>
      </vt:variant>
      <vt:variant>
        <vt:lpwstr>https://commbarmatters.com.au/2020/03/03/update-on-victorian-petroleum-moratorium/</vt:lpwstr>
      </vt:variant>
      <vt:variant>
        <vt:lpwstr/>
      </vt:variant>
      <vt:variant>
        <vt:i4>1114238</vt:i4>
      </vt:variant>
      <vt:variant>
        <vt:i4>0</vt:i4>
      </vt:variant>
      <vt:variant>
        <vt:i4>0</vt:i4>
      </vt:variant>
      <vt:variant>
        <vt:i4>5</vt:i4>
      </vt:variant>
      <vt:variant>
        <vt:lpwstr>mailto:nikita.buck@ecodev.vic.gov.au</vt:lpwstr>
      </vt:variant>
      <vt:variant>
        <vt:lpwstr/>
      </vt:variant>
      <vt:variant>
        <vt:i4>5439500</vt:i4>
      </vt:variant>
      <vt:variant>
        <vt:i4>84</vt:i4>
      </vt:variant>
      <vt:variant>
        <vt:i4>0</vt:i4>
      </vt:variant>
      <vt:variant>
        <vt:i4>5</vt:i4>
      </vt:variant>
      <vt:variant>
        <vt:lpwstr>https://www.nopta.gov.au/guidelines-and-factsheets/offshore-petroleum-guidelines.html</vt:lpwstr>
      </vt:variant>
      <vt:variant>
        <vt:lpwstr/>
      </vt:variant>
      <vt:variant>
        <vt:i4>7077959</vt:i4>
      </vt:variant>
      <vt:variant>
        <vt:i4>81</vt:i4>
      </vt:variant>
      <vt:variant>
        <vt:i4>0</vt:i4>
      </vt:variant>
      <vt:variant>
        <vt:i4>5</vt:i4>
      </vt:variant>
      <vt:variant>
        <vt:lpwstr>http://www.resourcesandenergy.nsw.gov.au/__data/assets/pdf_file/0020/581600/FINAL-Implementation-of-the-NSW-Gas-Plan.pdf</vt:lpwstr>
      </vt:variant>
      <vt:variant>
        <vt:lpwstr/>
      </vt:variant>
      <vt:variant>
        <vt:i4>5832799</vt:i4>
      </vt:variant>
      <vt:variant>
        <vt:i4>78</vt:i4>
      </vt:variant>
      <vt:variant>
        <vt:i4>0</vt:i4>
      </vt:variant>
      <vt:variant>
        <vt:i4>5</vt:i4>
      </vt:variant>
      <vt:variant>
        <vt:lpwstr>https://www.pc.gov.au/inquiries/completed/resources/report/resources.pdf</vt:lpwstr>
      </vt:variant>
      <vt:variant>
        <vt:lpwstr/>
      </vt:variant>
      <vt:variant>
        <vt:i4>4194382</vt:i4>
      </vt:variant>
      <vt:variant>
        <vt:i4>75</vt:i4>
      </vt:variant>
      <vt:variant>
        <vt:i4>0</vt:i4>
      </vt:variant>
      <vt:variant>
        <vt:i4>5</vt:i4>
      </vt:variant>
      <vt:variant>
        <vt:lpwstr>https://www.resourcesandgeoscience.nsw.gov.au/miners-and-explorers/enforcement/community-consultation-guidelines</vt:lpwstr>
      </vt:variant>
      <vt:variant>
        <vt:lpwstr/>
      </vt:variant>
      <vt:variant>
        <vt:i4>6291492</vt:i4>
      </vt:variant>
      <vt:variant>
        <vt:i4>72</vt:i4>
      </vt:variant>
      <vt:variant>
        <vt:i4>0</vt:i4>
      </vt:variant>
      <vt:variant>
        <vt:i4>5</vt:i4>
      </vt:variant>
      <vt:variant>
        <vt:lpwstr>https://www.resourcesandgeoscience.nsw.gov.au/landholders-and-community/coal-seam-gas/codes-and-policies/strategic-regional-land-use-policy</vt:lpwstr>
      </vt:variant>
      <vt:variant>
        <vt:lpwstr/>
      </vt:variant>
      <vt:variant>
        <vt:i4>7471143</vt:i4>
      </vt:variant>
      <vt:variant>
        <vt:i4>69</vt:i4>
      </vt:variant>
      <vt:variant>
        <vt:i4>0</vt:i4>
      </vt:variant>
      <vt:variant>
        <vt:i4>5</vt:i4>
      </vt:variant>
      <vt:variant>
        <vt:lpwstr>https://www.resourcesandgeoscience.nsw.gov.au/miners-and-explorers/programs-and-initiatives/new-frontiers-cooperative-drilling</vt:lpwstr>
      </vt:variant>
      <vt:variant>
        <vt:lpwstr/>
      </vt:variant>
      <vt:variant>
        <vt:i4>2818151</vt:i4>
      </vt:variant>
      <vt:variant>
        <vt:i4>66</vt:i4>
      </vt:variant>
      <vt:variant>
        <vt:i4>0</vt:i4>
      </vt:variant>
      <vt:variant>
        <vt:i4>5</vt:i4>
      </vt:variant>
      <vt:variant>
        <vt:lpwstr>https://www.fraserinstitute.org/sites/default/files/annual-survey-of-mining-companies-2019.pdf</vt:lpwstr>
      </vt:variant>
      <vt:variant>
        <vt:lpwstr/>
      </vt:variant>
      <vt:variant>
        <vt:i4>8061010</vt:i4>
      </vt:variant>
      <vt:variant>
        <vt:i4>63</vt:i4>
      </vt:variant>
      <vt:variant>
        <vt:i4>0</vt:i4>
      </vt:variant>
      <vt:variant>
        <vt:i4>5</vt:i4>
      </vt:variant>
      <vt:variant>
        <vt:lpwstr>https://nt.gov.au/__data/assets/pdf_file/0004/295906/schedule-of-petroleum-onshore-requirements.pdf</vt:lpwstr>
      </vt:variant>
      <vt:variant>
        <vt:lpwstr/>
      </vt:variant>
      <vt:variant>
        <vt:i4>1179758</vt:i4>
      </vt:variant>
      <vt:variant>
        <vt:i4>60</vt:i4>
      </vt:variant>
      <vt:variant>
        <vt:i4>0</vt:i4>
      </vt:variant>
      <vt:variant>
        <vt:i4>5</vt:i4>
      </vt:variant>
      <vt:variant>
        <vt:lpwstr>https://depws.nt.gov.au/__data/assets/pdf_file/0011/705890/code-of-practice-onshore-petroleum-activity-nt.pdf</vt:lpwstr>
      </vt:variant>
      <vt:variant>
        <vt:lpwstr/>
      </vt:variant>
      <vt:variant>
        <vt:i4>6946914</vt:i4>
      </vt:variant>
      <vt:variant>
        <vt:i4>57</vt:i4>
      </vt:variant>
      <vt:variant>
        <vt:i4>0</vt:i4>
      </vt:variant>
      <vt:variant>
        <vt:i4>5</vt:i4>
      </vt:variant>
      <vt:variant>
        <vt:lpwstr>https://frackinginquiry.nt.gov.au/inquiry-reports?a=476740</vt:lpwstr>
      </vt:variant>
      <vt:variant>
        <vt:lpwstr/>
      </vt:variant>
      <vt:variant>
        <vt:i4>4390949</vt:i4>
      </vt:variant>
      <vt:variant>
        <vt:i4>54</vt:i4>
      </vt:variant>
      <vt:variant>
        <vt:i4>0</vt:i4>
      </vt:variant>
      <vt:variant>
        <vt:i4>5</vt:i4>
      </vt:variant>
      <vt:variant>
        <vt:lpwstr>https://industry.nt.gov.au/__data/assets/pdf_file/0008/664127/territory-benefit-policy.pdf</vt:lpwstr>
      </vt:variant>
      <vt:variant>
        <vt:lpwstr/>
      </vt:variant>
      <vt:variant>
        <vt:i4>6357025</vt:i4>
      </vt:variant>
      <vt:variant>
        <vt:i4>51</vt:i4>
      </vt:variant>
      <vt:variant>
        <vt:i4>0</vt:i4>
      </vt:variant>
      <vt:variant>
        <vt:i4>5</vt:i4>
      </vt:variant>
      <vt:variant>
        <vt:lpwstr>https://industry.nt.gov.au/__data/assets/pdf_file/0007/663586/BNTIP_policy.pdf</vt:lpwstr>
      </vt:variant>
      <vt:variant>
        <vt:lpwstr/>
      </vt:variant>
      <vt:variant>
        <vt:i4>6750316</vt:i4>
      </vt:variant>
      <vt:variant>
        <vt:i4>48</vt:i4>
      </vt:variant>
      <vt:variant>
        <vt:i4>0</vt:i4>
      </vt:variant>
      <vt:variant>
        <vt:i4>5</vt:i4>
      </vt:variant>
      <vt:variant>
        <vt:lpwstr>https://frackinginquiry.nt.gov.au/inquiry-reports?a=494286</vt:lpwstr>
      </vt:variant>
      <vt:variant>
        <vt:lpwstr/>
      </vt:variant>
      <vt:variant>
        <vt:i4>2818167</vt:i4>
      </vt:variant>
      <vt:variant>
        <vt:i4>45</vt:i4>
      </vt:variant>
      <vt:variant>
        <vt:i4>0</vt:i4>
      </vt:variant>
      <vt:variant>
        <vt:i4>5</vt:i4>
      </vt:variant>
      <vt:variant>
        <vt:lpwstr>https://resourcingtheterritory.nt.gov.au/about/previous-initiatives</vt:lpwstr>
      </vt:variant>
      <vt:variant>
        <vt:lpwstr/>
      </vt:variant>
      <vt:variant>
        <vt:i4>7864363</vt:i4>
      </vt:variant>
      <vt:variant>
        <vt:i4>42</vt:i4>
      </vt:variant>
      <vt:variant>
        <vt:i4>0</vt:i4>
      </vt:variant>
      <vt:variant>
        <vt:i4>5</vt:i4>
      </vt:variant>
      <vt:variant>
        <vt:lpwstr>https://resourcingtheterritory.nt.gov.au/about</vt:lpwstr>
      </vt:variant>
      <vt:variant>
        <vt:lpwstr/>
      </vt:variant>
      <vt:variant>
        <vt:i4>5439557</vt:i4>
      </vt:variant>
      <vt:variant>
        <vt:i4>39</vt:i4>
      </vt:variant>
      <vt:variant>
        <vt:i4>0</vt:i4>
      </vt:variant>
      <vt:variant>
        <vt:i4>5</vt:i4>
      </vt:variant>
      <vt:variant>
        <vt:lpwstr>https://www.petroleum.sa.gov.au/regulation/policies-and-guidelines/guidelines</vt:lpwstr>
      </vt:variant>
      <vt:variant>
        <vt:lpwstr/>
      </vt:variant>
      <vt:variant>
        <vt:i4>4390943</vt:i4>
      </vt:variant>
      <vt:variant>
        <vt:i4>36</vt:i4>
      </vt:variant>
      <vt:variant>
        <vt:i4>0</vt:i4>
      </vt:variant>
      <vt:variant>
        <vt:i4>5</vt:i4>
      </vt:variant>
      <vt:variant>
        <vt:lpwstr>https://sarigbasis.pir.sa.gov.au/WebtopEw/ws/samref/sarig1/image/DDD/PGRG004.pdf</vt:lpwstr>
      </vt:variant>
      <vt:variant>
        <vt:lpwstr/>
      </vt:variant>
      <vt:variant>
        <vt:i4>1310847</vt:i4>
      </vt:variant>
      <vt:variant>
        <vt:i4>33</vt:i4>
      </vt:variant>
      <vt:variant>
        <vt:i4>0</vt:i4>
      </vt:variant>
      <vt:variant>
        <vt:i4>5</vt:i4>
      </vt:variant>
      <vt:variant>
        <vt:lpwstr>https://gisera.csiro.au/wp-content/uploads/2020/05/GISERA-Community-attitudes-south-east-SA_final-6.pdf</vt:lpwstr>
      </vt:variant>
      <vt:variant>
        <vt:lpwstr/>
      </vt:variant>
      <vt:variant>
        <vt:i4>4259840</vt:i4>
      </vt:variant>
      <vt:variant>
        <vt:i4>30</vt:i4>
      </vt:variant>
      <vt:variant>
        <vt:i4>0</vt:i4>
      </vt:variant>
      <vt:variant>
        <vt:i4>5</vt:i4>
      </vt:variant>
      <vt:variant>
        <vt:lpwstr>http://assets.yoursay.sa.gov.au.s3.amazonaws.com/production/2017/02/14/02/04/54/0b18f662-4c27-42fc-9b35-37500e09a5f7/South Australian Multiple Land Use Framework.pdf</vt:lpwstr>
      </vt:variant>
      <vt:variant>
        <vt:lpwstr/>
      </vt:variant>
      <vt:variant>
        <vt:i4>7012448</vt:i4>
      </vt:variant>
      <vt:variant>
        <vt:i4>27</vt:i4>
      </vt:variant>
      <vt:variant>
        <vt:i4>0</vt:i4>
      </vt:variant>
      <vt:variant>
        <vt:i4>5</vt:i4>
      </vt:variant>
      <vt:variant>
        <vt:lpwstr>https://www.pc.gov.au/inquiries/completed/resources/draft/resources-draft-overview.pdf</vt:lpwstr>
      </vt:variant>
      <vt:variant>
        <vt:lpwstr/>
      </vt:variant>
      <vt:variant>
        <vt:i4>917578</vt:i4>
      </vt:variant>
      <vt:variant>
        <vt:i4>24</vt:i4>
      </vt:variant>
      <vt:variant>
        <vt:i4>0</vt:i4>
      </vt:variant>
      <vt:variant>
        <vt:i4>5</vt:i4>
      </vt:variant>
      <vt:variant>
        <vt:lpwstr>https://www.energymining.sa.gov.au/minerals/latest_updates/applications_now_open_for_$24_million_in_gas_extraction_grants</vt:lpwstr>
      </vt:variant>
      <vt:variant>
        <vt:lpwstr/>
      </vt:variant>
      <vt:variant>
        <vt:i4>17</vt:i4>
      </vt:variant>
      <vt:variant>
        <vt:i4>21</vt:i4>
      </vt:variant>
      <vt:variant>
        <vt:i4>0</vt:i4>
      </vt:variant>
      <vt:variant>
        <vt:i4>5</vt:i4>
      </vt:variant>
      <vt:variant>
        <vt:lpwstr>https://www.energycouncil.com.au/media/11669/20180206-sa-energy-plan-review-final.pdf</vt:lpwstr>
      </vt:variant>
      <vt:variant>
        <vt:lpwstr/>
      </vt:variant>
      <vt:variant>
        <vt:i4>1704053</vt:i4>
      </vt:variant>
      <vt:variant>
        <vt:i4>18</vt:i4>
      </vt:variant>
      <vt:variant>
        <vt:i4>0</vt:i4>
      </vt:variant>
      <vt:variant>
        <vt:i4>5</vt:i4>
      </vt:variant>
      <vt:variant>
        <vt:lpwstr>https://www.commerce.wa.gov.au/sites/default/files/atoms/files/towards2024_0.pdf</vt:lpwstr>
      </vt:variant>
      <vt:variant>
        <vt:lpwstr/>
      </vt:variant>
      <vt:variant>
        <vt:i4>6094940</vt:i4>
      </vt:variant>
      <vt:variant>
        <vt:i4>15</vt:i4>
      </vt:variant>
      <vt:variant>
        <vt:i4>0</vt:i4>
      </vt:variant>
      <vt:variant>
        <vt:i4>5</vt:i4>
      </vt:variant>
      <vt:variant>
        <vt:lpwstr>https://www.wa.gov.au/government/publications/wa-domestic-gas-policy</vt:lpwstr>
      </vt:variant>
      <vt:variant>
        <vt:lpwstr/>
      </vt:variant>
      <vt:variant>
        <vt:i4>3801212</vt:i4>
      </vt:variant>
      <vt:variant>
        <vt:i4>12</vt:i4>
      </vt:variant>
      <vt:variant>
        <vt:i4>0</vt:i4>
      </vt:variant>
      <vt:variant>
        <vt:i4>5</vt:i4>
      </vt:variant>
      <vt:variant>
        <vt:lpwstr>https://www.dmp.wa.gov.au/Petroleum/Royalties-1578.aspx</vt:lpwstr>
      </vt:variant>
      <vt:variant>
        <vt:lpwstr/>
      </vt:variant>
      <vt:variant>
        <vt:i4>6094940</vt:i4>
      </vt:variant>
      <vt:variant>
        <vt:i4>9</vt:i4>
      </vt:variant>
      <vt:variant>
        <vt:i4>0</vt:i4>
      </vt:variant>
      <vt:variant>
        <vt:i4>5</vt:i4>
      </vt:variant>
      <vt:variant>
        <vt:lpwstr>https://www.wa.gov.au/government/publications/wa-domestic-gas-policy</vt:lpwstr>
      </vt:variant>
      <vt:variant>
        <vt:lpwstr/>
      </vt:variant>
      <vt:variant>
        <vt:i4>5767246</vt:i4>
      </vt:variant>
      <vt:variant>
        <vt:i4>6</vt:i4>
      </vt:variant>
      <vt:variant>
        <vt:i4>0</vt:i4>
      </vt:variant>
      <vt:variant>
        <vt:i4>5</vt:i4>
      </vt:variant>
      <vt:variant>
        <vt:lpwstr>http://www.dmp.wa.gov.au/Geological-Survey/Exploration-Incentive-Scheme-1428.aspx</vt:lpwstr>
      </vt:variant>
      <vt:variant>
        <vt:lpwstr/>
      </vt:variant>
      <vt:variant>
        <vt:i4>6422562</vt:i4>
      </vt:variant>
      <vt:variant>
        <vt:i4>3</vt:i4>
      </vt:variant>
      <vt:variant>
        <vt:i4>0</vt:i4>
      </vt:variant>
      <vt:variant>
        <vt:i4>5</vt:i4>
      </vt:variant>
      <vt:variant>
        <vt:lpwstr>https://www.business.qld.gov.au/industries/mining-energy-water/resources/safety-health/petroleum-gas/regulation/standards-codes</vt:lpwstr>
      </vt:variant>
      <vt:variant>
        <vt:lpwstr/>
      </vt:variant>
      <vt:variant>
        <vt:i4>6422562</vt:i4>
      </vt:variant>
      <vt:variant>
        <vt:i4>0</vt:i4>
      </vt:variant>
      <vt:variant>
        <vt:i4>0</vt:i4>
      </vt:variant>
      <vt:variant>
        <vt:i4>5</vt:i4>
      </vt:variant>
      <vt:variant>
        <vt:lpwstr>https://www.business.qld.gov.au/industries/mining-energy-water/resources/safety-health/petroleum-gas/regulation/standards-codes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Petroleum Regulations - Regulatory Impact Statement</dc:title>
  <dc:subject/>
  <dc:creator>Taylor, Joseph</dc:creator>
  <cp:keywords/>
  <cp:lastModifiedBy>Lydia M Gifford (DJPR)</cp:lastModifiedBy>
  <cp:revision>4</cp:revision>
  <cp:lastPrinted>2021-05-14T05:12:00Z</cp:lastPrinted>
  <dcterms:created xsi:type="dcterms:W3CDTF">2021-08-05T02:02:00Z</dcterms:created>
  <dcterms:modified xsi:type="dcterms:W3CDTF">2021-08-05T03:03:00Z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TemplafyTimeStamp">
    <vt:lpwstr>2019-04-23T06:49:37.1161361</vt:lpwstr>
  </property>
  <property fmtid="{D5CDD505-2E9C-101B-9397-08002B2CF9AE}" pid="5" name="CustomerId">
    <vt:lpwstr>deloitteaus</vt:lpwstr>
  </property>
  <property fmtid="{D5CDD505-2E9C-101B-9397-08002B2CF9AE}" pid="6" name="TemplateId">
    <vt:lpwstr>636915989771161361</vt:lpwstr>
  </property>
  <property fmtid="{D5CDD505-2E9C-101B-9397-08002B2CF9AE}" pid="7" name="UserProfileId">
    <vt:lpwstr>636880461422814697</vt:lpwstr>
  </property>
  <property fmtid="{D5CDD505-2E9C-101B-9397-08002B2CF9AE}" pid="8" name="MSIP_Label_ea60d57e-af5b-4752-ac57-3e4f28ca11dc_Enabled">
    <vt:lpwstr>true</vt:lpwstr>
  </property>
  <property fmtid="{D5CDD505-2E9C-101B-9397-08002B2CF9AE}" pid="9" name="MSIP_Label_ea60d57e-af5b-4752-ac57-3e4f28ca11dc_SetDate">
    <vt:lpwstr>2020-12-07T03:40:24Z</vt:lpwstr>
  </property>
  <property fmtid="{D5CDD505-2E9C-101B-9397-08002B2CF9AE}" pid="10" name="MSIP_Label_ea60d57e-af5b-4752-ac57-3e4f28ca11dc_Method">
    <vt:lpwstr>Standard</vt:lpwstr>
  </property>
  <property fmtid="{D5CDD505-2E9C-101B-9397-08002B2CF9AE}" pid="11" name="MSIP_Label_ea60d57e-af5b-4752-ac57-3e4f28ca11dc_Name">
    <vt:lpwstr>ea60d57e-af5b-4752-ac57-3e4f28ca11dc</vt:lpwstr>
  </property>
  <property fmtid="{D5CDD505-2E9C-101B-9397-08002B2CF9AE}" pid="12" name="MSIP_Label_ea60d57e-af5b-4752-ac57-3e4f28ca11dc_SiteId">
    <vt:lpwstr>36da45f1-dd2c-4d1f-af13-5abe46b99921</vt:lpwstr>
  </property>
  <property fmtid="{D5CDD505-2E9C-101B-9397-08002B2CF9AE}" pid="13" name="MSIP_Label_ea60d57e-af5b-4752-ac57-3e4f28ca11dc_ActionId">
    <vt:lpwstr>64ed71fb-f45f-4d1c-a658-fbf11b69749b</vt:lpwstr>
  </property>
  <property fmtid="{D5CDD505-2E9C-101B-9397-08002B2CF9AE}" pid="14" name="MSIP_Label_ea60d57e-af5b-4752-ac57-3e4f28ca11dc_ContentBits">
    <vt:lpwstr>0</vt:lpwstr>
  </property>
  <property fmtid="{D5CDD505-2E9C-101B-9397-08002B2CF9AE}" pid="15" name="ContentTypeId">
    <vt:lpwstr>0x010100EDCFB2AB06094443A67F0F176BBCD325</vt:lpwstr>
  </property>
  <property fmtid="{D5CDD505-2E9C-101B-9397-08002B2CF9AE}" pid="16" name="MSIP_Label_7158ebbd-6c5e-441f-bfc9-4eb8c11e3978_Enabled">
    <vt:lpwstr>true</vt:lpwstr>
  </property>
  <property fmtid="{D5CDD505-2E9C-101B-9397-08002B2CF9AE}" pid="17" name="MSIP_Label_7158ebbd-6c5e-441f-bfc9-4eb8c11e3978_SetDate">
    <vt:lpwstr>2021-05-25T23:56:50Z</vt:lpwstr>
  </property>
  <property fmtid="{D5CDD505-2E9C-101B-9397-08002B2CF9AE}" pid="18" name="MSIP_Label_7158ebbd-6c5e-441f-bfc9-4eb8c11e3978_Method">
    <vt:lpwstr>Privileged</vt:lpwstr>
  </property>
  <property fmtid="{D5CDD505-2E9C-101B-9397-08002B2CF9AE}" pid="19" name="MSIP_Label_7158ebbd-6c5e-441f-bfc9-4eb8c11e3978_Name">
    <vt:lpwstr>7158ebbd-6c5e-441f-bfc9-4eb8c11e3978</vt:lpwstr>
  </property>
  <property fmtid="{D5CDD505-2E9C-101B-9397-08002B2CF9AE}" pid="20" name="MSIP_Label_7158ebbd-6c5e-441f-bfc9-4eb8c11e3978_SiteId">
    <vt:lpwstr>722ea0be-3e1c-4b11-ad6f-9401d6856e24</vt:lpwstr>
  </property>
  <property fmtid="{D5CDD505-2E9C-101B-9397-08002B2CF9AE}" pid="21" name="MSIP_Label_7158ebbd-6c5e-441f-bfc9-4eb8c11e3978_ActionId">
    <vt:lpwstr>59b5c40c-7a8c-4c85-a385-a177b8bb332f</vt:lpwstr>
  </property>
  <property fmtid="{D5CDD505-2E9C-101B-9397-08002B2CF9AE}" pid="22" name="MSIP_Label_7158ebbd-6c5e-441f-bfc9-4eb8c11e3978_ContentBits">
    <vt:lpwstr>2</vt:lpwstr>
  </property>
</Properties>
</file>